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面向 AI 行业的模型数据协同能力要求检验项目原始记录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委托单位</w:t>
            </w:r>
          </w:p>
        </w:tc>
        <w:tc>
          <w:tcPr>
            <w:tcW w:type="dxa" w:w="2160"/>
          </w:tcPr>
          <w:p>
            <w:r>
              <w:t>{{ENTRUSTED_ORG}}</w:t>
            </w:r>
          </w:p>
        </w:tc>
        <w:tc>
          <w:tcPr>
            <w:tcW w:type="dxa" w:w="2160"/>
          </w:tcPr>
          <w:p>
            <w:r>
              <w:t>生产单位</w:t>
            </w:r>
          </w:p>
        </w:tc>
        <w:tc>
          <w:tcPr>
            <w:tcW w:type="dxa" w:w="2160"/>
          </w:tcPr>
          <w:p>
            <w:r>
              <w:t>{{PRODUCER_ORG}}</w:t>
            </w:r>
          </w:p>
        </w:tc>
      </w:tr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{{PRODUCT_NAME}}</w:t>
            </w:r>
          </w:p>
        </w:tc>
        <w:tc>
          <w:tcPr>
            <w:tcW w:type="dxa" w:w="2160"/>
          </w:tcPr>
          <w:p>
            <w:r>
              <w:t>产品型号</w:t>
            </w:r>
          </w:p>
        </w:tc>
        <w:tc>
          <w:tcPr>
            <w:tcW w:type="dxa" w:w="2160"/>
          </w:tcPr>
          <w:p>
            <w:r>
              <w:t>{{PRODUCT_MODEL}}</w:t>
            </w:r>
          </w:p>
        </w:tc>
      </w:tr>
      <w:tr>
        <w:tc>
          <w:tcPr>
            <w:tcW w:type="dxa" w:w="2160"/>
          </w:tcPr>
          <w:p>
            <w:r>
              <w:t>样品编号</w:t>
            </w:r>
          </w:p>
        </w:tc>
        <w:tc>
          <w:tcPr>
            <w:tcW w:type="dxa" w:w="2160"/>
          </w:tcPr>
          <w:p>
            <w:r>
              <w:t>{{SAMPLE_NUMBER}}</w:t>
            </w:r>
          </w:p>
        </w:tc>
        <w:tc>
          <w:tcPr>
            <w:tcW w:type="dxa" w:w="2160"/>
          </w:tcPr>
          <w:p>
            <w:r>
              <w:t>软件版本</w:t>
            </w:r>
          </w:p>
        </w:tc>
        <w:tc>
          <w:tcPr>
            <w:tcW w:type="dxa" w:w="2160"/>
          </w:tcPr>
          <w:p>
            <w:r>
              <w:t>{{SOFTWARE_VERSION}}</w:t>
            </w:r>
          </w:p>
        </w:tc>
      </w:tr>
      <w:tr>
        <w:tc>
          <w:tcPr>
            <w:tcW w:type="dxa" w:w="2160"/>
          </w:tcPr>
          <w:p>
            <w:r>
              <w:t>样品数量</w:t>
            </w:r>
          </w:p>
        </w:tc>
        <w:tc>
          <w:tcPr>
            <w:tcW w:type="dxa" w:w="2160"/>
          </w:tcPr>
          <w:p>
            <w:r>
              <w:t>{{SAMPLE_QUANTITY}}</w:t>
            </w:r>
          </w:p>
        </w:tc>
        <w:tc>
          <w:tcPr>
            <w:tcW w:type="dxa" w:w="2160"/>
          </w:tcPr>
          <w:p>
            <w:r>
              <w:t>送样人</w:t>
            </w:r>
          </w:p>
        </w:tc>
        <w:tc>
          <w:tcPr>
            <w:tcW w:type="dxa" w:w="2160"/>
          </w:tcPr>
          <w:p>
            <w:r>
              <w:t>{{SAMPLE_SENDER}}</w:t>
            </w:r>
          </w:p>
        </w:tc>
      </w:tr>
      <w:tr>
        <w:tc>
          <w:tcPr>
            <w:tcW w:type="dxa" w:w="2160"/>
          </w:tcPr>
          <w:p>
            <w:r>
              <w:t>抽样基数</w:t>
            </w:r>
          </w:p>
        </w:tc>
        <w:tc>
          <w:tcPr>
            <w:tcW w:type="dxa" w:w="2160"/>
          </w:tcPr>
          <w:p>
            <w:r>
              <w:t>{{SAMPLING_BASE}}</w:t>
            </w:r>
          </w:p>
        </w:tc>
        <w:tc>
          <w:tcPr>
            <w:tcW w:type="dxa" w:w="2160"/>
          </w:tcPr>
          <w:p>
            <w:r>
              <w:t>抽样日期</w:t>
            </w:r>
          </w:p>
        </w:tc>
        <w:tc>
          <w:tcPr>
            <w:tcW w:type="dxa" w:w="2160"/>
          </w:tcPr>
          <w:p>
            <w:r>
              <w:t>{{SAMPLING_DATE}}</w:t>
            </w:r>
          </w:p>
        </w:tc>
      </w:tr>
      <w:tr>
        <w:tc>
          <w:tcPr>
            <w:tcW w:type="dxa" w:w="2160"/>
          </w:tcPr>
          <w:p>
            <w:r>
              <w:t>到样日期</w:t>
            </w:r>
          </w:p>
        </w:tc>
        <w:tc>
          <w:tcPr>
            <w:tcW w:type="dxa" w:w="2160"/>
          </w:tcPr>
          <w:p>
            <w:r>
              <w:t>{{ARRIVAL_DATE}}</w:t>
            </w:r>
          </w:p>
        </w:tc>
        <w:tc>
          <w:tcPr>
            <w:tcW w:type="dxa" w:w="2160"/>
          </w:tcPr>
          <w:p>
            <w:r>
              <w:t>检验日期</w:t>
            </w:r>
          </w:p>
        </w:tc>
        <w:tc>
          <w:tcPr>
            <w:tcW w:type="dxa" w:w="2160"/>
          </w:tcPr>
          <w:p>
            <w:r>
              <w:t>{{INSPECTION_DATE}}</w:t>
            </w:r>
          </w:p>
        </w:tc>
      </w:tr>
      <w:tr>
        <w:tc>
          <w:tcPr>
            <w:tcW w:type="dxa" w:w="2160"/>
          </w:tcPr>
          <w:p>
            <w:r>
              <w:t>检验地点</w:t>
            </w:r>
          </w:p>
        </w:tc>
        <w:tc>
          <w:tcPr>
            <w:tcW w:type="dxa" w:w="2160"/>
          </w:tcPr>
          <w:p>
            <w:r>
              <w:t>{{INSPECTION_LOCATION}}</w:t>
            </w:r>
          </w:p>
        </w:tc>
        <w:tc>
          <w:tcPr>
            <w:tcW w:type="dxa" w:w="2160"/>
          </w:tcPr>
          <w:p>
            <w:r>
              <w:t>拍摄地点</w:t>
            </w:r>
          </w:p>
        </w:tc>
        <w:tc>
          <w:tcPr>
            <w:tcW w:type="dxa" w:w="2160"/>
          </w:tcPr>
          <w:p>
            <w:r>
              <w:t>{{PHOTO_LOCATION}}</w:t>
            </w:r>
          </w:p>
        </w:tc>
      </w:tr>
      <w:tr>
        <w:tc>
          <w:tcPr>
            <w:tcW w:type="dxa" w:w="2160"/>
          </w:tcPr>
          <w:p>
            <w:r>
              <w:t>产品描述</w:t>
            </w:r>
          </w:p>
        </w:tc>
        <w:tc>
          <w:tcPr>
            <w:tcW w:type="dxa" w:w="2160"/>
          </w:tcPr>
          <w:p>
            <w:r>
              <w:t>{{PRODUCT_DESCRIPTION}}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{{PHOTO_DATE}}</w:t>
            </w:r>
          </w:p>
        </w:tc>
      </w:tr>
      <w:tr>
        <w:tc>
          <w:tcPr>
            <w:tcW w:type="dxa" w:w="2160"/>
          </w:tcPr>
          <w:p>
            <w:r>
              <w:t>检验前状态</w:t>
            </w:r>
          </w:p>
        </w:tc>
        <w:tc>
          <w:tcPr>
            <w:tcW w:type="dxa" w:w="2160"/>
          </w:tcPr>
          <w:p>
            <w:r>
              <w:t>{{PRE_SAMPLE_STATE}}</w:t>
            </w:r>
          </w:p>
        </w:tc>
        <w:tc>
          <w:tcPr>
            <w:tcW w:type="dxa" w:w="2160"/>
          </w:tcPr>
          <w:p>
            <w:r>
              <w:t>检验后状态</w:t>
            </w:r>
          </w:p>
        </w:tc>
        <w:tc>
          <w:tcPr>
            <w:tcW w:type="dxa" w:w="2160"/>
          </w:tcPr>
          <w:p>
            <w:r>
              <w:t>{{POST_SAMPLE_STATE}}</w:t>
            </w:r>
          </w:p>
        </w:tc>
      </w:tr>
      <w:tr>
        <w:tc>
          <w:tcPr>
            <w:tcW w:type="dxa" w:w="2160"/>
          </w:tcPr>
          <w:p>
            <w:r>
              <w:t>检验汇总</w:t>
            </w:r>
          </w:p>
        </w:tc>
        <w:tc>
          <w:tcPr>
            <w:tcW w:type="dxa" w:w="2160"/>
          </w:tcPr>
          <w:p>
            <w:r>
              <w:t>{{SUMMARY}}</w:t>
            </w:r>
          </w:p>
        </w:tc>
        <w:tc>
          <w:tcPr>
            <w:tcW w:type="dxa" w:w="2160"/>
          </w:tcPr>
          <w:p>
            <w:r>
              <w:t>总体备注</w:t>
            </w:r>
          </w:p>
        </w:tc>
        <w:tc>
          <w:tcPr>
            <w:tcW w:type="dxa" w:w="2160"/>
          </w:tcPr>
          <w:p>
            <w:r>
              <w:t>{{GENERAL_NOTE}}</w:t>
            </w:r>
          </w:p>
        </w:tc>
      </w:tr>
      <w:tr>
        <w:tc>
          <w:tcPr>
            <w:tcW w:type="dxa" w:w="2160"/>
          </w:tcPr>
          <w:p>
            <w:r>
              <w:t>资料来源</w:t>
            </w:r>
          </w:p>
        </w:tc>
        <w:tc>
          <w:tcPr>
            <w:tcW w:type="dxa" w:w="2160"/>
          </w:tcPr>
          <w:p>
            <w:r>
              <w:t>用户提供《原始记录》；正文标题已识别为模型数据协同能力要求</w:t>
            </w:r>
          </w:p>
        </w:tc>
        <w:tc>
          <w:tcPr>
            <w:tcW w:type="dxa" w:w="2160"/>
          </w:tcPr>
          <w:p>
            <w:r>
              <w:t>主检/审核</w:t>
            </w:r>
          </w:p>
        </w:tc>
        <w:tc>
          <w:tcPr>
            <w:tcW w:type="dxa" w:w="2160"/>
          </w:tcPr>
          <w:p>
            <w:r>
              <w:t>由认证方填写</w:t>
            </w:r>
          </w:p>
        </w:tc>
      </w:tr>
    </w:tbl>
    <w:p>
      <w:r>
        <w:t>检验用仪表设备：笔记本电脑终端 / ThinkPad T14p 2023款（00CD） / 联想 / PF4J36F2 / DX231120ZJW02 / 正常</w:t>
      </w:r>
    </w:p>
    <w:p>
      <w:r>
        <w:t>统一检验环境：{{SHARED_ENVIRONMENT}}</w:t>
      </w:r>
    </w:p>
    <w:p>
      <w:pPr>
        <w:pStyle w:val="Heading2"/>
      </w:pPr>
      <w:r>
        <w:t>101-1  验证模型注册、上传、存储及元数据管理功能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验证验证模型注册、上传、存储及元数据管理功能相关能力及其交付证据的完整性。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登录模型管理平台，进入模型注册界面。</w:t>
              <w:br/>
              <w:t>上传不同格式（如TensorFlow SavedModel、PyTorch、ONNX）的模型文件。</w:t>
              <w:br/>
              <w:t>填写模型名称、版本、描述、标签等元数据信息。</w:t>
              <w:br/>
              <w:t>提交注册，检查模型是否成功存储至指定存储后端（如对象存储、分布式文件系统）。</w:t>
              <w:br/>
              <w:t>从模型列表中查询已注册模型，查看元数据是否完整可读。</w:t>
              <w:br/>
              <w:t>下载已注册模型文件，与原始文件进行哈希比对，验证一致性。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登录模型管理平台，进入模型注册界面。</w:t>
              <w:br/>
              <w:t>上传不同格式（如TensorFlow SavedModel、PyTorch、ONNX）的模型文件。</w:t>
              <w:br/>
              <w:t>填写模型名称、版本、描述、标签等元数据信息。</w:t>
              <w:br/>
              <w:t>提交注册，检查模型是否成功存储至指定存储后端（如对象存储、分布式文件系统）。</w:t>
              <w:br/>
              <w:t>从模型列表中查询已注册模型，查看元数据是否完整可读。</w:t>
              <w:br/>
              <w:t>下载已注册模型文件，与原始文件进行哈希比对，验证一致性。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{{RESULT_101_1}}</w:t>
              <w:br/>
              <w:t>[[DEMO_101_1]]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{{CONCLUSION_101_1}}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{{NOTE_101_1}}</w:t>
            </w:r>
          </w:p>
        </w:tc>
      </w:tr>
    </w:tbl>
    <w:p>
      <w:pPr>
        <w:pStyle w:val="Heading2"/>
      </w:pPr>
      <w:r>
        <w:t>101-2  验证模型版本控制、版本切换、版本比对及版本删除能力。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验证验证模型版本控制、版本切换、版本比对及版本删除能力。相关能力及其交付证据的完整性。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支持多版本管理，版本号唯一且可追溯。</w:t>
              <w:br/>
              <w:t>可指定任意版本为默认版本，推理服务自动切换。</w:t>
              <w:br/>
              <w:t>提供版本比对功能（至少能展示元数据差异）。</w:t>
              <w:br/>
              <w:t>非默认版本可安全删除，不影响当前服务。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支持多版本管理，版本号唯一且可追溯。</w:t>
              <w:br/>
              <w:t>可指定任意版本为默认版本，推理服务自动切换。</w:t>
              <w:br/>
              <w:t>提供版本比对功能（至少能展示元数据差异）。</w:t>
              <w:br/>
              <w:t>非默认版本可安全删除，不影响当前服务。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{{RESULT_101_2}}</w:t>
              <w:br/>
              <w:t>[[DEMO_101_2]]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{{CONCLUSION_101_2}}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{{NOTE_101_2}}</w:t>
            </w:r>
          </w:p>
        </w:tc>
      </w:tr>
    </w:tbl>
    <w:p>
      <w:pPr>
        <w:pStyle w:val="Heading2"/>
      </w:pPr>
      <w:r>
        <w:t>101-3  验证模型从开发、测试、部署、下线到归档的全生命周期状态流转。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验证验证模型从开发、测试、部署、下线到归档的全生命周期状态流转。相关能力及其交付证据的完整性。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创建新模型，初始状态为“开发中”。</w:t>
              <w:br/>
              <w:t>提交模型测试报告，状态变更为“待发布”。</w:t>
              <w:br/>
              <w:t>审批通过后发布至生产环境，状态变更为“已部署”。</w:t>
              <w:br/>
              <w:t>模拟模型性能下降，触发告警后下线模型，状态变更为“已下线”。</w:t>
              <w:br/>
              <w:t>执行归档操作，模型进入“已归档”状态，不可用于推理但可恢复。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模型状态按预设流程流转（开发→测试→部署→下线→归档）。</w:t>
              <w:br/>
              <w:t>不同状态对应不同的操作权限（如已部署模型不可直接修改）。</w:t>
              <w:br/>
              <w:t>归档模型可恢复至已部署状态。</w:t>
              <w:br/>
              <w:t>所有状态变更记录操作日志。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{{RESULT_101_3}}</w:t>
              <w:br/>
              <w:t>[[DEMO_101_3]]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{{CONCLUSION_101_3}}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{{NOTE_101_3}}</w:t>
            </w:r>
          </w:p>
        </w:tc>
      </w:tr>
    </w:tbl>
    <w:p>
      <w:pPr>
        <w:pStyle w:val="Heading2"/>
      </w:pPr>
      <w:r>
        <w:t>102-1  验证结构化、非结构化数据的接入方式及采集任务调度能力。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数据管理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验证验证结构化、非结构化数据的接入方式及采集任务调度能力。相关能力及其交付证据的完整性。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配置数据源连接（如MySQL、S3、Kafka、本地文件上传）。</w:t>
              <w:br/>
              <w:t>创建采集任务，设置增量/全量采集模式及调度周期（如每小时）。</w:t>
              <w:br/>
              <w:t>手动触发采集，检查数据是否正确写入数据湖或数据仓库。</w:t>
              <w:br/>
              <w:t>采集过程中模拟网络中断，验证断点续传或重试机制。</w:t>
              <w:br/>
              <w:t>查看采集日志，确认记录条数、数据大小及异常信息。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支持常见数据源类型（数据库、对象存储、消息队列、文件）。</w:t>
              <w:br/>
              <w:t>支持定时调度和手动触发，采集任务可监控运行状态。</w:t>
              <w:br/>
              <w:t>增量采集能正确识别新增数据，不重复不遗漏。</w:t>
              <w:br/>
              <w:t>异常情况有重试机制，数据最终一致。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{{RESULT_102_1}}</w:t>
              <w:br/>
              <w:t>[[DEMO_102_1]]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{{CONCLUSION_102_1}}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{{NOTE_102_1}}</w:t>
            </w:r>
          </w:p>
        </w:tc>
      </w:tr>
    </w:tbl>
    <w:p>
      <w:pPr>
        <w:pStyle w:val="Heading2"/>
      </w:pPr>
      <w:r>
        <w:t>102-2  验证数据分区、目录结构、元数据索引及查询性能。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数据管理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验证验证数据分区、目录结构、元数据索引及查询性能。相关能力及其交付证据的完整性。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按日期、业务线等维度创建数据分区。</w:t>
              <w:br/>
              <w:t>在指定分区下上传多个文件，形成层级目录结构。</w:t>
              <w:br/>
              <w:t>使用元数据服务对文件添加标签（如“训练集”“测试集”）。</w:t>
              <w:br/>
              <w:t>执行条件查询：按分区范围 + 标签筛选数据，记录返回时间。</w:t>
              <w:br/>
              <w:t>查询百万级数据量下的响应时间，对比建索引前后的性能。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支持自定义分区策略，数据按分区物理隔离。</w:t>
              <w:br/>
              <w:t>目录结构清晰，支持嵌套。</w:t>
              <w:br/>
              <w:t>元数据索引生效，复杂查询响应时间≤3秒（百万级）。</w:t>
              <w:br/>
              <w:t>支持常见文件格式（Parquet、CSV、图片等）的预览。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{{RESULT_102_2}}</w:t>
              <w:br/>
              <w:t>[[DEMO_102_2]]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{{CONCLUSION_102_2}}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{{NOTE_102_2}}</w:t>
            </w:r>
          </w:p>
        </w:tc>
      </w:tr>
    </w:tbl>
    <w:p>
      <w:pPr>
        <w:pStyle w:val="Heading2"/>
      </w:pPr>
      <w:r>
        <w:t>102-3  验证数据质量检查、数据血缘、数据生命周期策略。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数据管理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验证验证数据质量检查、数据血缘、数据生命周期策略。相关能力及其交付证据的完整性。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创建数据质量规则（如空值率≤5%、唯一性约束）。</w:t>
              <w:br/>
              <w:t>对测试数据集运行质量检查，生成质量报告。</w:t>
              <w:br/>
              <w:t>查看数据血缘图谱，选择一个表追溯其上游来源和下游应用。</w:t>
              <w:br/>
              <w:t>配置数据生命周期：热存储30天后转冷存储，180天后删除。</w:t>
              <w:br/>
              <w:t>模拟时间推移，检查数据是否自动迁移和过期清理。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支持配置多维度质量规则，自动执行并输出报告。</w:t>
              <w:br/>
              <w:t>血缘关系清晰展示ETL过程和依赖。</w:t>
              <w:br/>
              <w:t>数据生命周期策略按设定执行，提供迁移日志和删除备份。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{{RESULT_102_3}}</w:t>
              <w:br/>
              <w:t>[[DEMO_102_3]]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{{CONCLUSION_102_3}}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{{NOTE_102_3}}</w:t>
            </w:r>
          </w:p>
        </w:tc>
      </w:tr>
    </w:tbl>
    <w:p>
      <w:pPr>
        <w:pStyle w:val="Heading2"/>
      </w:pPr>
      <w:r>
        <w:t>102-4  验证数据加密、脱敏、访问控制及审计日志。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数据管理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验证验证数据加密、脱敏、访问控制及审计日志。相关能力及其交付证据的完整性。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对上传的敏感数据（如身份证号）启用自动脱敏规则（如显示前3后4）。</w:t>
              <w:br/>
              <w:t>配置不同角色（数据拥有者、分析师、访客）的访问权限。</w:t>
              <w:br/>
              <w:t>使用分析师角色访问敏感字段，验证返回脱敏后的值。</w:t>
              <w:br/>
              <w:t>使用访客角色尝试下载原始数据，验证被拒绝。</w:t>
              <w:br/>
              <w:t>查看审计日志，确认有访问记录（谁、何时、操作类型）。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支持字段级动态脱敏，根据用户角色展示不同级别数据。</w:t>
              <w:br/>
              <w:t>细粒度权限控制（读、写、导出、删除）有效。</w:t>
              <w:br/>
              <w:t>数据传输和存储均加密（如TLS、AES-256）。</w:t>
              <w:br/>
              <w:t>审计日志不可篡改，至少保留90天。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{{RESULT_102_4}}</w:t>
              <w:br/>
              <w:t>[[DEMO_102_4]]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{{CONCLUSION_102_4}}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{{NOTE_102_4}}</w:t>
            </w:r>
          </w:p>
        </w:tc>
      </w:tr>
    </w:tbl>
    <w:p>
      <w:pPr>
        <w:pStyle w:val="Heading2"/>
      </w:pPr>
      <w:r>
        <w:t>103-1  验证数据预处理算子（清洗、归一化、增强）与模型输入格式的自动适配。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验证验证数据预处理算子（清洗、归一化、增强）与模型输入格式的自动适配。相关能力及其交付证据的完整性。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选择原始图像数据集，配置预处理流水线（缩放、归一化、数据增强）。</w:t>
              <w:br/>
              <w:t>选择一个图像分类模型（输入尺寸224x224），自动应用预处理流水线。</w:t>
              <w:br/>
              <w:t>运行预处理任务，输出处理后数据集。</w:t>
              <w:br/>
              <w:t>直接使用模型推理接口输入原始图像，验证系统是否自动调用预处理。</w:t>
              <w:br/>
              <w:t>查看预处理日志，记录每个步骤的参数和耗时。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内置常见预处理算子（Resize、Normalize、RandomCrop等）。</w:t>
              <w:br/>
              <w:t>预处理流水线可保存、复用和导出。</w:t>
              <w:br/>
              <w:t>模型适配层能自动将原始数据转换为模型所需张量格式。</w:t>
              <w:br/>
              <w:t>自动预处理对用户透明，不影响推理接口调用。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{{RESULT_103_1}}</w:t>
              <w:br/>
              <w:t>[[DEMO_103_1]]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{{CONCLUSION_103_1}}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{{NOTE_103_1}}</w:t>
            </w:r>
          </w:p>
        </w:tc>
      </w:tr>
    </w:tbl>
    <w:p>
      <w:pPr>
        <w:pStyle w:val="Heading2"/>
      </w:pPr>
      <w:r>
        <w:t>103-2  验证训练任务与数据版本绑定、数据动态加载及数据缓存加速。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验证验证训练任务与数据版本绑定、数据动态加载及数据缓存加速。相关能力及其交付证据的完整性。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创建训练任务，指定使用的数据集版本（如v2.0）。</w:t>
              <w:br/>
              <w:t>启动分布式训练，监控数据加载器是否从存储中分片读取。</w:t>
              <w:br/>
              <w:t>训练过程中模拟新增数据，检查是否支持在线数据扩增。</w:t>
              <w:br/>
              <w:t>启用数据缓存（如SSD缓存），第二次相同数据加载时记录耗时减少。</w:t>
              <w:br/>
              <w:t>查看训练日志，确认每个epoch使用的数据量正确。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训练任务可精确关联数据版本，数据变更不影响进行中的任务。</w:t>
              <w:br/>
              <w:t>支持流式数据加载，适应大规模数据集。</w:t>
              <w:br/>
              <w:t>数据缓存机制有效提升重复读取速度（≥50%）。</w:t>
              <w:br/>
              <w:t>训练与数据存储解耦，支持数据位置感知调度。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{{RESULT_103_2}}</w:t>
              <w:br/>
              <w:t>[[DEMO_103_2]]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{{CONCLUSION_103_2}}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{{NOTE_103_2}}</w:t>
            </w:r>
          </w:p>
        </w:tc>
      </w:tr>
    </w:tbl>
    <w:p>
      <w:pPr>
        <w:pStyle w:val="Heading2"/>
      </w:pPr>
      <w:r>
        <w:t>103-3  验证推理请求与特征数据关联、批处理及结果回写能力。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验证验证推理请求与特征数据关联、批处理及结果回写能力。相关能力及其交付证据的完整性。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构建推理请求，携带原始数据ID（如用户ID、图片URL）。</w:t>
              <w:br/>
              <w:t>系统从特征存储中自动拉取对应特征向量，拼接模型输入。</w:t>
              <w:br/>
              <w:t>发送批量推理请求（如32条），检查批处理合并及响应时间。</w:t>
              <w:br/>
              <w:t>推理完成后，将结果写回指定数据表（如预测结果表）。</w:t>
              <w:br/>
              <w:t>通过数据溯源查询某条推理结果对应的输入特征版本。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支持在线特征检索与拼接。</w:t>
              <w:br/>
              <w:t>动态批处理可配置最大批次和最大等待时间。</w:t>
              <w:br/>
              <w:t>推理结果支持写回数据湖或消息队列。</w:t>
              <w:br/>
              <w:t>推理请求与数据版本可双向追溯。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{{RESULT_103_3}}</w:t>
              <w:br/>
              <w:t>[[DEMO_103_3]]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{{CONCLUSION_103_3}}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{{NOTE_103_3}}</w:t>
            </w:r>
          </w:p>
        </w:tc>
      </w:tr>
    </w:tbl>
    <w:p>
      <w:pPr>
        <w:pStyle w:val="Heading2"/>
      </w:pPr>
      <w:r>
        <w:t>103-4  验证模型输出到训练数据、特征工程代码的完整血缘追溯。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验证验证模型输出到训练数据、特征工程代码的完整血缘追溯。相关能力及其交付证据的完整性。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部署一个已训练模型，记录模型ID。</w:t>
              <w:br/>
              <w:t>通过溯源界面查询该模型，展示其使用的训练数据集、特征版本、训练代码commit。</w:t>
              <w:br/>
              <w:t>选择一个推理结果，追溯其输入数据、模型版本和推理环境。</w:t>
              <w:br/>
              <w:t>模拟数据质量问题，快速定位受影响的模型版本列表。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提供可视化血缘图谱，包含数据、代码、模型、运行环境。</w:t>
              <w:br/>
              <w:t>支持对模型输出进行反向追溯至原始数据行。</w:t>
              <w:br/>
              <w:t>血缘信息自动采集，无需人工录入。</w:t>
              <w:br/>
              <w:t>支持血缘影响分析（如某数据变更影响哪些模型）。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{{RESULT_103_4}}</w:t>
              <w:br/>
              <w:t>[[DEMO_103_4]]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{{CONCLUSION_103_4}}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{{NOTE_103_4}}</w:t>
            </w:r>
          </w:p>
        </w:tc>
      </w:tr>
    </w:tbl>
    <w:p>
      <w:pPr>
        <w:pStyle w:val="Heading2"/>
      </w:pPr>
      <w:r>
        <w:t>104-1  验证数据读写接口规范、认证鉴权及分页查询。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验证验证数据读写接口规范、认证鉴权及分页查询。相关能力及其交付证据的完整性。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调用创建数据集接口，携带认证token。</w:t>
              <w:br/>
              <w:t>使用无效token调用，验证返回401。</w:t>
              <w:br/>
              <w:t>调用分页查询数据集列表，检查分页字段。</w:t>
              <w:br/>
              <w:t>调用获取单条数据内容接口，验证返回格式符合OpenAPI定义。</w:t>
              <w:br/>
              <w:t>使用gRPC客户端调用proto定义的方法，进行数据上传下载。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接口符合OpenAPI 3.0规范，提供在线文档。</w:t>
              <w:br/>
              <w:t>支持Bearer Token或API Key认证，权限控制正确。</w:t>
              <w:br/>
              <w:t>分页返回total、page、size字段，数据不重复不遗漏。</w:t>
              <w:br/>
              <w:t>gRPC接口与RESTful接口功能对等，支持双向流。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{{RESULT_104_1}}</w:t>
              <w:br/>
              <w:t>[[DEMO_104_1]]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{{CONCLUSION_104_1}}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{{NOTE_104_1}}</w:t>
            </w:r>
          </w:p>
        </w:tc>
      </w:tr>
    </w:tbl>
    <w:p>
      <w:pPr>
        <w:pStyle w:val="Heading2"/>
      </w:pPr>
      <w:r>
        <w:t>104-2  验证模型部署、调用、更新接口的标准符合性及版本管理。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验证验证模型部署、调用、更新接口的标准符合性及版本管理。相关能力及其交付证据的完整性。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通过接口部署模型（POST /models），传入模型文件URL或二进制。</w:t>
              <w:br/>
              <w:t>获取模型状态接口（GET /models/{id}）轮询至“Running”。</w:t>
              <w:br/>
              <w:t>调用预测接口（POST /models/{id}/predict），传入JSON输入。</w:t>
              <w:br/>
              <w:t>修改模型版本至v2，再次调用同一接口，验证返回结果变化。</w:t>
              <w:br/>
              <w:t>调用删除模型接口（DELETE /models/{id}），确认资源释放。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a) 应提供标准化的模型推理API，支持模型服务的统一调用；</w:t>
              <w:br/>
              <w:t>b) 应支持模型推理请求的批量处理接口，提升推理效率；</w:t>
              <w:br/>
              <w:t>c) 应支持模型元数据查询接口，提供模型信息、版本、能力等元数据的查询能力；</w:t>
              <w:br/>
              <w:t>d) 应支持模型状态查询接口，提供模型服务状态、健康状况等信息的查询能力；</w:t>
              <w:br/>
              <w:t>e) 应支持模型推理结果的结构化返回，包含推理结果、置信度、耗时等元信息；</w:t>
              <w:br/>
              <w:t>f) 宜支持模型推理的流式输出接口，满足实时性推理场景需求。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{{RESULT_104_2}}</w:t>
              <w:br/>
              <w:t>[[DEMO_104_2]]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{{CONCLUSION_104_2}}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{{NOTE_104_2}}</w:t>
            </w:r>
          </w:p>
        </w:tc>
      </w:tr>
    </w:tbl>
    <w:p>
      <w:pPr>
        <w:pStyle w:val="Heading2"/>
      </w:pPr>
      <w:r>
        <w:t>104-3  验证模型训练、数据预处理、评估等流水线任务的编排接口。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模型数据协同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验证验证模型训练、数据预处理、评估等流水线任务的编排接口。相关能力及其交付证据的完整性。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a) 应支持工作流定义的标准化接口，提供工作流的创建、修改、查询、删除等管理能力；</w:t>
              <w:br/>
              <w:t>b) 应支持工作流执行的触发接口，支持基于事件、定时、API调用等多种触发方式；</w:t>
              <w:br/>
              <w:t>c) 应支持工作流执行状态的查询接口，提供工作流实例、任务节点、执行日志等查询能力；</w:t>
              <w:br/>
              <w:t>d) 应支持工作流节点的数据交互接口，实现工作流各节点间的数据传递与共享；</w:t>
              <w:br/>
              <w:t>e) 应支持工作流执行结果的通知接口，通过回调、Webhook等方式通知执行结果；</w:t>
              <w:br/>
              <w:t>f) 宜支持工作流编排的可视化编辑接口，提供图形化的工作流设计工具。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a) 应支持工作流定义的标准化接口，提供工作流的创建、修改、查询、删除等管理能力；</w:t>
              <w:br/>
              <w:t>b) 应支持工作流执行的触发接口，支持基于事件、定时、API调用等多种触发方式；</w:t>
              <w:br/>
              <w:t>c) 应支持工作流执行状态的查询接口，提供工作流实例、任务节点、执行日志等查询能力；</w:t>
              <w:br/>
              <w:t>d) 应支持工作流节点的数据交互接口，实现工作流各节点间的数据传递与共享；</w:t>
              <w:br/>
              <w:t>e) 应支持工作流执行结果的通知接口，通过回调、Webhook等方式通知执行结果；</w:t>
              <w:br/>
              <w:t>f) 宜支持工作流编排的可视化编辑接口，提供图形化的工作流设计工具。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{{RESULT_104_3}}</w:t>
              <w:br/>
              <w:t>[[DEMO_104_3]]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{{CONCLUSION_104_3}}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{{NOTE_104_3}}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