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智算云服务模型交付能力要求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用户提供《智算云服务 模型交付能力要求测试用例（一期）》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检验依据：用户提供《智算云服务 模型交付能力要求测试用例（一期）》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交付需求与范围确认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交付目标、边界、约束和验收依据完整且无明显冲突。  2. 相对性表述已有可执行的判定口径，未使用未定义条件直接验收。  3. 需求基线已确认，变更能够进行影响分析并留存记录。  4. 能力等级判定符合适用条款和客观证据要求。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{{RESULT_TC_MD_001}}</w:t>
              <w:br/>
              <w:t>[[DEMO_TC_MD_001]]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{{CONCLUSION_TC_MD_001}}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角色职责、计划与环境就绪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关键活动均有责任主体、沟通升级机制和审批要求。  2. 计划覆盖交付全过程，并具备异常和失败处置预案。  3. 目标环境满足部署前置要求，环境差异和风险已识别。  4. 未就绪项具有责任人、处理期限和复核记录。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{{RESULT_TC_MD_002}}</w:t>
              <w:br/>
              <w:t>[[DEMO_TC_MD_002]]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{{CONCLUSION_TC_MD_002}}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模型来源、许可证与选型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模型来源和权利状态清晰，完整性校验通过。  2. 许可证义务与交付场景一致，冲突或不明确事项已处置。  3. 选型评价条件、结果和理由可复核，并覆盖适用边界。  4. 选定模型已建立唯一、受控且可追溯的基线。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{{RESULT_TC_MD_003}}</w:t>
              <w:br/>
              <w:t>[[DEMO_TC_MD_003]]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{{CONCLUSION_TC_MD_003}}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模型基线与适配方案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适配活动以唯一且受控的模型基线为起点。  2. 适配方案与业务目标和环境约束一致，输入输出和停止条件明确。  3. 主要质量、安全、合规和资源风险已分析并设置控制措施。  4. 能够恢复到适配前已验证基线。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{{RESULT_TC_MD_004}}</w:t>
              <w:br/>
              <w:t>[[DEMO_TC_MD_004]]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{{CONCLUSION_TC_MD_004}}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数据样本与适配过程控制</w:t>
            </w:r>
          </w:p>
        </w:tc>
        <w:tc>
          <w:tcPr>
            <w:tcW w:type="dxa" w:w="3119"/>
          </w:tcPr>
          <w:p>
            <w:r>
              <w:t>1. 数据来源和用途清晰，授权、隔离、质量和敏感数据保护措施有效。  2. 适配输入、环境、参数、日志和产出物形成完整追溯链。  3. 异常和失败结果不会污染已验证基线或正式制品。  4. 关键结果可复现，或随机因素、外部依赖和限制已被明确记录。</w:t>
            </w:r>
          </w:p>
        </w:tc>
        <w:tc>
          <w:tcPr>
            <w:tcW w:type="dxa" w:w="1308"/>
          </w:tcPr>
          <w:p>
            <w:r>
              <w:t>{{RESULT_TC_MD_005}}</w:t>
              <w:br/>
              <w:t>[[DEMO_TC_MD_005]]</w:t>
            </w:r>
          </w:p>
        </w:tc>
        <w:tc>
          <w:tcPr>
            <w:tcW w:type="dxa" w:w="1208"/>
          </w:tcPr>
          <w:p>
            <w:r>
              <w:t>{{CONCLUSION_TC_MD_005}}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推理优化与适配结果评审</w:t>
            </w:r>
          </w:p>
        </w:tc>
        <w:tc>
          <w:tcPr>
            <w:tcW w:type="dxa" w:w="3119"/>
          </w:tcPr>
          <w:p>
            <w:r>
              <w:t>1. 优化前后数据使用相同或等效条件，结果可比较、可追溯。  2. 优化结果达到验收基线，关键能力无未接受退化。  3. 环境依赖、已知限制和性能质量权衡已记录。  4. 不合格结果被阻断，且可恢复到已验证基线。</w:t>
            </w:r>
          </w:p>
        </w:tc>
        <w:tc>
          <w:tcPr>
            <w:tcW w:type="dxa" w:w="1308"/>
          </w:tcPr>
          <w:p>
            <w:r>
              <w:t>{{RESULT_TC_MD_006}}</w:t>
              <w:br/>
              <w:t>[[DEMO_TC_MD_006]]</w:t>
            </w:r>
          </w:p>
        </w:tc>
        <w:tc>
          <w:tcPr>
            <w:tcW w:type="dxa" w:w="1208"/>
          </w:tcPr>
          <w:p>
            <w:r>
              <w:t>{{CONCLUSION_TC_MD_006}}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模型制品、版本与交付文档</w:t>
            </w:r>
          </w:p>
        </w:tc>
        <w:tc>
          <w:tcPr>
            <w:tcW w:type="dxa" w:w="3119"/>
          </w:tcPr>
          <w:p>
            <w:r>
              <w:t>1. 适用交付项全部提供，缺失、替代或不适用项有正式说明。  2. 交付清单与实际制品一一对应，版本、状态和责任主体清晰。  3. 关键制品完整性验证通过，未验证制品无法进入生产发布。  4. 兼容性和运维文档与实际制品及操作流程一致。  5. 可从制品追溯至模型来源、适配过程、部署和验证记录。</w:t>
            </w:r>
          </w:p>
        </w:tc>
        <w:tc>
          <w:tcPr>
            <w:tcW w:type="dxa" w:w="1308"/>
          </w:tcPr>
          <w:p>
            <w:r>
              <w:t>{{RESULT_TC_MD_007}}</w:t>
              <w:br/>
              <w:t>[[DEMO_TC_MD_007]]</w:t>
            </w:r>
          </w:p>
        </w:tc>
        <w:tc>
          <w:tcPr>
            <w:tcW w:type="dxa" w:w="1208"/>
          </w:tcPr>
          <w:p>
            <w:r>
              <w:t>{{CONCLUSION_TC_MD_007}}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部署实施、配置与发布回滚</w:t>
            </w:r>
          </w:p>
        </w:tc>
        <w:tc>
          <w:tcPr>
            <w:tcW w:type="dxa" w:w="3119"/>
          </w:tcPr>
          <w:p>
            <w:r>
              <w:t>1. 部署使用已验证制品，实际环境和配置记录完整。  2. 口令、密钥、令牌和证书未以明文进入制品或脚本。  3. 重复部署具有幂等性，异常能够暂停、终止或回滚。  4. 回滚后服务恢复到已验证状态，过程和结果可追溯。  5. 部署失败未破坏已有可用版本。</w:t>
            </w:r>
          </w:p>
        </w:tc>
        <w:tc>
          <w:tcPr>
            <w:tcW w:type="dxa" w:w="1308"/>
          </w:tcPr>
          <w:p>
            <w:r>
              <w:t>{{RESULT_TC_MD_008}}</w:t>
              <w:br/>
              <w:t>[[DEMO_TC_MD_008]]</w:t>
            </w:r>
          </w:p>
        </w:tc>
        <w:tc>
          <w:tcPr>
            <w:tcW w:type="dxa" w:w="1208"/>
          </w:tcPr>
          <w:p>
            <w:r>
              <w:t>{{CONCLUSION_TC_MD_008}}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功能、接口与模型质量验证</w:t>
            </w:r>
          </w:p>
        </w:tc>
        <w:tc>
          <w:tcPr>
            <w:tcW w:type="dxa" w:w="3119"/>
          </w:tcPr>
          <w:p>
            <w:r>
              <w:t>1. 制品和文档一致，服务基本生命周期操作正常。  2. 接口、鉴权、异常、超时和重试行为符合约定。  3. 关键模型质量指标达到验收阈值，无未接受的能力退化。  4. 边界、分布变化和干扰条件下的表现及已知限制得到记录。  5. 每项结果可追溯到测试条件、数据和原始记录。</w:t>
            </w:r>
          </w:p>
        </w:tc>
        <w:tc>
          <w:tcPr>
            <w:tcW w:type="dxa" w:w="1308"/>
          </w:tcPr>
          <w:p>
            <w:r>
              <w:t>{{RESULT_TC_MD_009}}</w:t>
              <w:br/>
              <w:t>[[DEMO_TC_MD_009]]</w:t>
            </w:r>
          </w:p>
        </w:tc>
        <w:tc>
          <w:tcPr>
            <w:tcW w:type="dxa" w:w="1208"/>
          </w:tcPr>
          <w:p>
            <w:r>
              <w:t>{{CONCLUSION_TC_MD_009}}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性能、资源、可靠性与安全验证</w:t>
            </w:r>
          </w:p>
        </w:tc>
        <w:tc>
          <w:tcPr>
            <w:tcW w:type="dxa" w:w="3119"/>
          </w:tcPr>
          <w:p>
            <w:r>
              <w:t>1. 性能数值均带有完整测试条件并达到验收基线。  2. 资源使用和容量边界清晰，过载后能够按约定降级或恢复。  3. 可靠性项目达到约定目标，故障和恢复行为可复核。  4. 不存在未处置的高风险漏洞、恶意内容或不可接受模型安全风险。  5. 敏感数据、凭据、配置和日志保护措施有效。</w:t>
            </w:r>
          </w:p>
        </w:tc>
        <w:tc>
          <w:tcPr>
            <w:tcW w:type="dxa" w:w="1308"/>
          </w:tcPr>
          <w:p>
            <w:r>
              <w:t>{{RESULT_TC_MD_010}}</w:t>
              <w:br/>
              <w:t>[[DEMO_TC_MD_010]]</w:t>
            </w:r>
          </w:p>
        </w:tc>
        <w:tc>
          <w:tcPr>
            <w:tcW w:type="dxa" w:w="1208"/>
          </w:tcPr>
          <w:p>
            <w:r>
              <w:t>{{CONCLUSION_TC_MD_010}}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验收闭环与运维移交</w:t>
            </w:r>
          </w:p>
        </w:tc>
        <w:tc>
          <w:tcPr>
            <w:tcW w:type="dxa" w:w="3119"/>
          </w:tcPr>
          <w:p>
            <w:r>
              <w:t>1. 验收结论由接收方或授权主体确认，问题和遗留风险均有明确状态。  2. 监控、告警、日志和故障定位能力在目标环境有效。  3. 文档、知识、权限和责任移交完整，敏感凭据未出现在移交记录中。  4. 运维人员能够执行关键操作，后续变更和退役有受控流程。</w:t>
            </w:r>
          </w:p>
        </w:tc>
        <w:tc>
          <w:tcPr>
            <w:tcW w:type="dxa" w:w="1308"/>
          </w:tcPr>
          <w:p>
            <w:r>
              <w:t>{{RESULT_TC_MD_011}}</w:t>
              <w:br/>
              <w:t>[[DEMO_TC_MD_011]]</w:t>
            </w:r>
          </w:p>
        </w:tc>
        <w:tc>
          <w:tcPr>
            <w:tcW w:type="dxa" w:w="1208"/>
          </w:tcPr>
          <w:p>
            <w:r>
              <w:t>{{CONCLUSION_TC_MD_011}}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质量、安全、合规、审计与连续性治理</w:t>
            </w:r>
          </w:p>
        </w:tc>
        <w:tc>
          <w:tcPr>
            <w:tcW w:type="dxa" w:w="3119"/>
          </w:tcPr>
          <w:p>
            <w:r>
              <w:t>1. 质量门禁和评审机制有效，交付物之间保持完整和一致。  2. 安全、隐私、供应链、合规和知识产权风险得到识别和控制。  3. 运行实例、需求、问题和验收结论均可双向追溯，审计记录完整受控。  4. 不可接受风险能够阻断发布或验收。  5. 关键依赖、单点故障、备份恢复和连续性措施经过验证。</w:t>
            </w:r>
          </w:p>
        </w:tc>
        <w:tc>
          <w:tcPr>
            <w:tcW w:type="dxa" w:w="1308"/>
          </w:tcPr>
          <w:p>
            <w:r>
              <w:t>{{RESULT_TC_MD_012}}</w:t>
              <w:br/>
              <w:t>[[DEMO_TC_MD_012]]</w:t>
            </w:r>
          </w:p>
        </w:tc>
        <w:tc>
          <w:tcPr>
            <w:tcW w:type="dxa" w:w="1208"/>
          </w:tcPr>
          <w:p>
            <w:r>
              <w:t>{{CONCLUSION_TC_MD_012}}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智算云服务模型交付能力要求检验报告在线生成模板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