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智算云服务模型交付能力要求检验项目原始记录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委托单位</w:t>
            </w:r>
          </w:p>
        </w:tc>
        <w:tc>
          <w:tcPr>
            <w:tcW w:type="dxa" w:w="2160"/>
          </w:tcPr>
          <w:p>
            <w:r>
              <w:t>{{ENTRUSTED_ORG}}</w:t>
            </w:r>
          </w:p>
        </w:tc>
        <w:tc>
          <w:tcPr>
            <w:tcW w:type="dxa" w:w="2160"/>
          </w:tcPr>
          <w:p>
            <w:r>
              <w:t>生产单位</w:t>
            </w:r>
          </w:p>
        </w:tc>
        <w:tc>
          <w:tcPr>
            <w:tcW w:type="dxa" w:w="2160"/>
          </w:tcPr>
          <w:p>
            <w:r>
              <w:t>{{PRODUCER_ORG}}</w:t>
            </w:r>
          </w:p>
        </w:tc>
      </w:tr>
      <w:tr>
        <w:tc>
          <w:tcPr>
            <w:tcW w:type="dxa" w:w="2160"/>
          </w:tcPr>
          <w:p>
            <w:r>
              <w:t>产品名称</w:t>
            </w:r>
          </w:p>
        </w:tc>
        <w:tc>
          <w:tcPr>
            <w:tcW w:type="dxa" w:w="2160"/>
          </w:tcPr>
          <w:p>
            <w:r>
              <w:t>{{PRODUCT_NAME}}</w:t>
            </w:r>
          </w:p>
        </w:tc>
        <w:tc>
          <w:tcPr>
            <w:tcW w:type="dxa" w:w="2160"/>
          </w:tcPr>
          <w:p>
            <w:r>
              <w:t>产品型号</w:t>
            </w:r>
          </w:p>
        </w:tc>
        <w:tc>
          <w:tcPr>
            <w:tcW w:type="dxa" w:w="2160"/>
          </w:tcPr>
          <w:p>
            <w:r>
              <w:t>{{PRODUCT_MODEL}}</w:t>
            </w:r>
          </w:p>
        </w:tc>
      </w:tr>
      <w:tr>
        <w:tc>
          <w:tcPr>
            <w:tcW w:type="dxa" w:w="2160"/>
          </w:tcPr>
          <w:p>
            <w:r>
              <w:t>样品编号</w:t>
            </w:r>
          </w:p>
        </w:tc>
        <w:tc>
          <w:tcPr>
            <w:tcW w:type="dxa" w:w="2160"/>
          </w:tcPr>
          <w:p>
            <w:r>
              <w:t>{{SAMPLE_NUMBER}}</w:t>
            </w:r>
          </w:p>
        </w:tc>
        <w:tc>
          <w:tcPr>
            <w:tcW w:type="dxa" w:w="2160"/>
          </w:tcPr>
          <w:p>
            <w:r>
              <w:t>软件版本</w:t>
            </w:r>
          </w:p>
        </w:tc>
        <w:tc>
          <w:tcPr>
            <w:tcW w:type="dxa" w:w="2160"/>
          </w:tcPr>
          <w:p>
            <w:r>
              <w:t>{{SOFTWARE_VERSION}}</w:t>
            </w:r>
          </w:p>
        </w:tc>
      </w:tr>
      <w:tr>
        <w:tc>
          <w:tcPr>
            <w:tcW w:type="dxa" w:w="2160"/>
          </w:tcPr>
          <w:p>
            <w:r>
              <w:t>样品数量</w:t>
            </w:r>
          </w:p>
        </w:tc>
        <w:tc>
          <w:tcPr>
            <w:tcW w:type="dxa" w:w="2160"/>
          </w:tcPr>
          <w:p>
            <w:r>
              <w:t>{{SAMPLE_QUANTITY}}</w:t>
            </w:r>
          </w:p>
        </w:tc>
        <w:tc>
          <w:tcPr>
            <w:tcW w:type="dxa" w:w="2160"/>
          </w:tcPr>
          <w:p>
            <w:r>
              <w:t>送样人</w:t>
            </w:r>
          </w:p>
        </w:tc>
        <w:tc>
          <w:tcPr>
            <w:tcW w:type="dxa" w:w="2160"/>
          </w:tcPr>
          <w:p>
            <w:r>
              <w:t>{{SAMPLE_SENDER}}</w:t>
            </w:r>
          </w:p>
        </w:tc>
      </w:tr>
      <w:tr>
        <w:tc>
          <w:tcPr>
            <w:tcW w:type="dxa" w:w="2160"/>
          </w:tcPr>
          <w:p>
            <w:r>
              <w:t>抽样基数</w:t>
            </w:r>
          </w:p>
        </w:tc>
        <w:tc>
          <w:tcPr>
            <w:tcW w:type="dxa" w:w="2160"/>
          </w:tcPr>
          <w:p>
            <w:r>
              <w:t>{{SAMPLING_BASE}}</w:t>
            </w:r>
          </w:p>
        </w:tc>
        <w:tc>
          <w:tcPr>
            <w:tcW w:type="dxa" w:w="2160"/>
          </w:tcPr>
          <w:p>
            <w:r>
              <w:t>抽样日期</w:t>
            </w:r>
          </w:p>
        </w:tc>
        <w:tc>
          <w:tcPr>
            <w:tcW w:type="dxa" w:w="2160"/>
          </w:tcPr>
          <w:p>
            <w:r>
              <w:t>{{SAMPLING_DATE}}</w:t>
            </w:r>
          </w:p>
        </w:tc>
      </w:tr>
      <w:tr>
        <w:tc>
          <w:tcPr>
            <w:tcW w:type="dxa" w:w="2160"/>
          </w:tcPr>
          <w:p>
            <w:r>
              <w:t>到样日期</w:t>
            </w:r>
          </w:p>
        </w:tc>
        <w:tc>
          <w:tcPr>
            <w:tcW w:type="dxa" w:w="2160"/>
          </w:tcPr>
          <w:p>
            <w:r>
              <w:t>{{ARRIVAL_DATE}}</w:t>
            </w:r>
          </w:p>
        </w:tc>
        <w:tc>
          <w:tcPr>
            <w:tcW w:type="dxa" w:w="2160"/>
          </w:tcPr>
          <w:p>
            <w:r>
              <w:t>检验日期</w:t>
            </w:r>
          </w:p>
        </w:tc>
        <w:tc>
          <w:tcPr>
            <w:tcW w:type="dxa" w:w="2160"/>
          </w:tcPr>
          <w:p>
            <w:r>
              <w:t>{{INSPECTION_DATE}}</w:t>
            </w:r>
          </w:p>
        </w:tc>
      </w:tr>
      <w:tr>
        <w:tc>
          <w:tcPr>
            <w:tcW w:type="dxa" w:w="2160"/>
          </w:tcPr>
          <w:p>
            <w:r>
              <w:t>检验地点</w:t>
            </w:r>
          </w:p>
        </w:tc>
        <w:tc>
          <w:tcPr>
            <w:tcW w:type="dxa" w:w="2160"/>
          </w:tcPr>
          <w:p>
            <w:r>
              <w:t>{{INSPECTION_LOCATION}}</w:t>
            </w:r>
          </w:p>
        </w:tc>
        <w:tc>
          <w:tcPr>
            <w:tcW w:type="dxa" w:w="2160"/>
          </w:tcPr>
          <w:p>
            <w:r>
              <w:t>拍摄地点</w:t>
            </w:r>
          </w:p>
        </w:tc>
        <w:tc>
          <w:tcPr>
            <w:tcW w:type="dxa" w:w="2160"/>
          </w:tcPr>
          <w:p>
            <w:r>
              <w:t>{{PHOTO_LOCATION}}</w:t>
            </w:r>
          </w:p>
        </w:tc>
      </w:tr>
      <w:tr>
        <w:tc>
          <w:tcPr>
            <w:tcW w:type="dxa" w:w="2160"/>
          </w:tcPr>
          <w:p>
            <w:r>
              <w:t>产品描述</w:t>
            </w:r>
          </w:p>
        </w:tc>
        <w:tc>
          <w:tcPr>
            <w:tcW w:type="dxa" w:w="2160"/>
          </w:tcPr>
          <w:p>
            <w:r>
              <w:t>{{PRODUCT_DESCRIPTION}}</w:t>
            </w:r>
          </w:p>
        </w:tc>
        <w:tc>
          <w:tcPr>
            <w:tcW w:type="dxa" w:w="2160"/>
          </w:tcPr>
          <w:p>
            <w:r>
              <w:t>拍摄日期</w:t>
            </w:r>
          </w:p>
        </w:tc>
        <w:tc>
          <w:tcPr>
            <w:tcW w:type="dxa" w:w="2160"/>
          </w:tcPr>
          <w:p>
            <w:r>
              <w:t>{{PHOTO_DATE}}</w:t>
            </w:r>
          </w:p>
        </w:tc>
      </w:tr>
      <w:tr>
        <w:tc>
          <w:tcPr>
            <w:tcW w:type="dxa" w:w="2160"/>
          </w:tcPr>
          <w:p>
            <w:r>
              <w:t>检验前状态</w:t>
            </w:r>
          </w:p>
        </w:tc>
        <w:tc>
          <w:tcPr>
            <w:tcW w:type="dxa" w:w="2160"/>
          </w:tcPr>
          <w:p>
            <w:r>
              <w:t>{{PRE_SAMPLE_STATE}}</w:t>
            </w:r>
          </w:p>
        </w:tc>
        <w:tc>
          <w:tcPr>
            <w:tcW w:type="dxa" w:w="2160"/>
          </w:tcPr>
          <w:p>
            <w:r>
              <w:t>检验后状态</w:t>
            </w:r>
          </w:p>
        </w:tc>
        <w:tc>
          <w:tcPr>
            <w:tcW w:type="dxa" w:w="2160"/>
          </w:tcPr>
          <w:p>
            <w:r>
              <w:t>{{POST_SAMPLE_STATE}}</w:t>
            </w:r>
          </w:p>
        </w:tc>
      </w:tr>
      <w:tr>
        <w:tc>
          <w:tcPr>
            <w:tcW w:type="dxa" w:w="2160"/>
          </w:tcPr>
          <w:p>
            <w:r>
              <w:t>检验汇总</w:t>
            </w:r>
          </w:p>
        </w:tc>
        <w:tc>
          <w:tcPr>
            <w:tcW w:type="dxa" w:w="2160"/>
          </w:tcPr>
          <w:p>
            <w:r>
              <w:t>{{SUMMARY}}</w:t>
            </w:r>
          </w:p>
        </w:tc>
        <w:tc>
          <w:tcPr>
            <w:tcW w:type="dxa" w:w="2160"/>
          </w:tcPr>
          <w:p>
            <w:r>
              <w:t>总体备注</w:t>
            </w:r>
          </w:p>
        </w:tc>
        <w:tc>
          <w:tcPr>
            <w:tcW w:type="dxa" w:w="2160"/>
          </w:tcPr>
          <w:p>
            <w:r>
              <w:t>{{GENERAL_NOTE}}</w:t>
            </w:r>
          </w:p>
        </w:tc>
      </w:tr>
      <w:tr>
        <w:tc>
          <w:tcPr>
            <w:tcW w:type="dxa" w:w="2160"/>
          </w:tcPr>
          <w:p>
            <w:r>
              <w:t>资料来源</w:t>
            </w:r>
          </w:p>
        </w:tc>
        <w:tc>
          <w:tcPr>
            <w:tcW w:type="dxa" w:w="2160"/>
          </w:tcPr>
          <w:p>
            <w:r>
              <w:t>用户提供《智算云服务 模型交付能力要求测试用例（一期）》</w:t>
            </w:r>
          </w:p>
        </w:tc>
        <w:tc>
          <w:tcPr>
            <w:tcW w:type="dxa" w:w="2160"/>
          </w:tcPr>
          <w:p>
            <w:r>
              <w:t>主检/审核</w:t>
            </w:r>
          </w:p>
        </w:tc>
        <w:tc>
          <w:tcPr>
            <w:tcW w:type="dxa" w:w="2160"/>
          </w:tcPr>
          <w:p>
            <w:r>
              <w:t>由认证方填写</w:t>
            </w:r>
          </w:p>
        </w:tc>
      </w:tr>
    </w:tbl>
    <w:p>
      <w:r>
        <w:t>检验用仪表设备：笔记本电脑终端 / ThinkPad T14p 2023款（00CD） / 联想 / PF4J36F2 / DX231120ZJW02 / 正常</w:t>
      </w:r>
    </w:p>
    <w:p>
      <w:r>
        <w:t>统一检验环境：{{SHARED_ENVIRONMENT}}</w:t>
      </w:r>
    </w:p>
    <w:p>
      <w:pPr>
        <w:pStyle w:val="Heading2"/>
      </w:pPr>
      <w:r>
        <w:t>TC-MD-001  交付需求与范围确认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模型交付综合用例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验证模型交付目标、交付边界、验收依据和能力等级是否得到明确、确认并形成可追溯基线。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1. 核对业务场景、目标用户、输入输出、预期效果、使用边界和禁止用途。  2. 核对交付形态、目标环境以及功能、质量、性能、可靠性、安全、合规和可运维性要求。  3. 确认交付范围、非交付范围、外部依赖及暂时无法验证的假设。  4. 检查需求基线、变更记录、验收依据及基础级或增强级判定规则。  5. 抽查需求、交付物和验收项目之间的对应关系。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1. 交付目标、边界、约束和验收依据完整且无明显冲突。  2. 相对性表述已有可执行的判定口径，未使用未定义条件直接验收。  3. 需求基线已确认，变更能够进行影响分析并留存记录。  4. 能力等级判定符合适用条款和客观证据要求。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{{RESULT_TC_MD_001}}</w:t>
              <w:br/>
              <w:t>[[DEMO_TC_MD_001]]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{{CONCLUSION_TC_MD_001}}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{{NOTE_TC_MD_001}}</w:t>
            </w:r>
          </w:p>
        </w:tc>
      </w:tr>
    </w:tbl>
    <w:p>
      <w:pPr>
        <w:pStyle w:val="Heading2"/>
      </w:pPr>
      <w:r>
        <w:t>TC-MD-002  角色职责、计划与环境就绪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模型交付综合用例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验证责任边界、交付计划、风险预案及目标环境是否具备开展部署和验收的条件。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1. 核对模型提供、交付、云服务、接收、运维和第三方的责任边界。  2. 检查需求确认、制品提供、环境准备、部署、测试、问题处置、验收和运维接管责任人。  3. 检查里程碑、交付物、依赖、风险、完成条件和失败处置预案。  4. 核查计算、网络、存储、驱动、运行时、编排平台及访问权限。  5. 核查时间同步、域名、证书、密钥、日志、监控等基础服务，并记录未就绪项。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1. 关键活动均有责任主体、沟通升级机制和审批要求。  2. 计划覆盖交付全过程，并具备异常和失败处置预案。  3. 目标环境满足部署前置要求，环境差异和风险已识别。  4. 未就绪项具有责任人、处理期限和复核记录。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{{RESULT_TC_MD_002}}</w:t>
              <w:br/>
              <w:t>[[DEMO_TC_MD_002]]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{{CONCLUSION_TC_MD_002}}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{{NOTE_TC_MD_002}}</w:t>
            </w:r>
          </w:p>
        </w:tc>
      </w:tr>
    </w:tbl>
    <w:p>
      <w:pPr>
        <w:pStyle w:val="Heading2"/>
      </w:pPr>
      <w:r>
        <w:t>TC-MD-003  模型来源、许可证与选型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模型交付综合用例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验证候选模型来源合法、完整性可验证、使用条件适配，并依据代表性评价建立唯一模型基线。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1. 核对模型名称、提供方、获取渠道、原始版本、获取时间、唯一标识和来源证据。  2. 校验模型权重、配置、代码和相关文档的摘要或等效完整性信息。  3. 核查模型、代码、依赖和数据的许可证及商业使用、修改、分发、托管等限制。  4. 在代表性任务、数据和目标环境下比较候选模型的效果、性能、资源、安全、合规和维护成本。  5. 检查选型理由、已知限制、备选方案及选定模型基线的版本和访问控制。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1. 模型来源和权利状态清晰，完整性校验通过。  2. 许可证义务与交付场景一致，冲突或不明确事项已处置。  3. 选型评价条件、结果和理由可复核，并覆盖适用边界。  4. 选定模型已建立唯一、受控且可追溯的基线。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{{RESULT_TC_MD_003}}</w:t>
              <w:br/>
              <w:t>[[DEMO_TC_MD_003]]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{{CONCLUSION_TC_MD_003}}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{{NOTE_TC_MD_003}}</w:t>
            </w:r>
          </w:p>
        </w:tc>
      </w:tr>
    </w:tbl>
    <w:p>
      <w:pPr>
        <w:pStyle w:val="Heading2"/>
      </w:pPr>
      <w:r>
        <w:t>TC-MD-004  模型基线与适配方案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模型交付综合用例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验证适配方式、目标、资源、评价方法和风险控制是否以受控模型基线为起点。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1. 核对适配前模型权重、配置、分词器、代码、依赖、许可证和摘要。  2. 检查提示词、检索增强、微调、蒸馏、量化或其他适配方式的选择依据。  3. 检查适配目标、输入、方法、参数、资源、评价方法和停止条件。  4. 评估适配对模型质量、安全、许可证、数据合规和资源消耗的影响。  5. 确认原基线保留、恢复方式及高风险活动的评审批准记录。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1. 适配活动以唯一且受控的模型基线为起点。  2. 适配方案与业务目标和环境约束一致，输入输出和停止条件明确。  3. 主要质量、安全、合规和资源风险已分析并设置控制措施。  4. 能够恢复到适配前已验证基线。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{{RESULT_TC_MD_004}}</w:t>
              <w:br/>
              <w:t>[[DEMO_TC_MD_004]]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{{CONCLUSION_TC_MD_004}}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{{NOTE_TC_MD_004}}</w:t>
            </w:r>
          </w:p>
        </w:tc>
      </w:tr>
    </w:tbl>
    <w:p>
      <w:pPr>
        <w:pStyle w:val="Heading2"/>
      </w:pPr>
      <w:r>
        <w:t>TC-MD-005  数据样本与适配过程控制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模型交付综合用例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验证适配和评测数据合法受控，适配过程可追溯、异常可处置且关键结果具备复现条件。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1. 核对数据来源、用途、版本、范围、责任主体和授权合规情况。  2. 检查训练、验证、测试和验收数据的隔离方法及数据质量记录。  3. 核查敏感数据的访问控制、脱敏、加密和处理活动记录。  4. 核对代码、框架、依赖、硬件、随机种子、关键参数、运行日志和资源使用记录。  5. 抽查检查点版本、异常中止、断点恢复和失败结果隔离机制。  6. 在相同或等效条件下复现一项关键适配结果，并与验收容差比较。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1. 数据来源和用途清晰，授权、隔离、质量和敏感数据保护措施有效。  2. 适配输入、环境、参数、日志和产出物形成完整追溯链。  3. 异常和失败结果不会污染已验证基线或正式制品。  4. 关键结果可复现，或随机因素、外部依赖和限制已被明确记录。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{{RESULT_TC_MD_005}}</w:t>
              <w:br/>
              <w:t>[[DEMO_TC_MD_005]]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{{CONCLUSION_TC_MD_005}}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{{NOTE_TC_MD_005}}</w:t>
            </w:r>
          </w:p>
        </w:tc>
      </w:tr>
    </w:tbl>
    <w:p>
      <w:pPr>
        <w:pStyle w:val="Heading2"/>
      </w:pPr>
      <w:r>
        <w:t>TC-MD-006  推理优化与适配结果评审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模型交付综合用例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验证推理优化在目标环境中取得可证明收益，未引入不可接受的质量退化或安全风险。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1. 核对推理引擎、并行、批处理、缓存和资源配置方案。  2. 在相同测试条件下测试优化前后的时延、吞吐量、资源消耗和质量指标。  3. 检查量化、剪枝、蒸馏或算子优化引起的质量、安全和兼容性变化。  4. 验证优化制品的硬件、驱动、运行时和框架依赖说明。  5. 检查未达标、显著退化或风险不可接受结果的阻断和恢复处理。  6. 核对适配结果评审、遗留风险和进入制品构建阶段的批准记录。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1. 优化前后数据使用相同或等效条件，结果可比较、可追溯。  2. 优化结果达到验收基线，关键能力无未接受退化。  3. 环境依赖、已知限制和性能质量权衡已记录。  4. 不合格结果被阻断，且可恢复到已验证基线。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{{RESULT_TC_MD_006}}</w:t>
              <w:br/>
              <w:t>[[DEMO_TC_MD_006]]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{{CONCLUSION_TC_MD_006}}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{{NOTE_TC_MD_006}}</w:t>
            </w:r>
          </w:p>
        </w:tc>
      </w:tr>
    </w:tbl>
    <w:p>
      <w:pPr>
        <w:pStyle w:val="Heading2"/>
      </w:pPr>
      <w:r>
        <w:t>TC-MD-007  模型制品、版本与交付文档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模型交付综合用例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验证交付单元内容完整、版本一致、完整性可校验、兼容性明确且能够追溯到来源和验证结果。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1. 按交付形态核对权重、配置、分词器、代码、镜像或依赖、接口说明、许可证和测试证据。  2. 核对模型、代码、镜像、依赖、配置和文档之间的版本对应关系及发布状态。  3. 验证目录结构、加载入口、文件摘要、制品包完整性以及传输存储前后的一致性。  4. 核查制品库身份鉴别、访问控制、传输加密、操作审计和生产准入。  5. 核对支持环境、最低资源、推荐配置、不兼容组合、已知问题和验证结果。  6. 按文档抽查安装、配置、启动、停止、升级、回滚、卸载、接口和故障处置说明。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1. 适用交付项全部提供，缺失、替代或不适用项有正式说明。  2. 交付清单与实际制品一一对应，版本、状态和责任主体清晰。  3. 关键制品完整性验证通过，未验证制品无法进入生产发布。  4. 兼容性和运维文档与实际制品及操作流程一致。  5. 可从制品追溯至模型来源、适配过程、部署和验证记录。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{{RESULT_TC_MD_007}}</w:t>
              <w:br/>
              <w:t>[[DEMO_TC_MD_007]]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{{CONCLUSION_TC_MD_007}}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{{NOTE_TC_MD_007}}</w:t>
            </w:r>
          </w:p>
        </w:tc>
      </w:tr>
    </w:tbl>
    <w:p>
      <w:pPr>
        <w:pStyle w:val="Heading2"/>
      </w:pPr>
      <w:r>
        <w:t>TC-MD-008  部署实施、配置与发布回滚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模型交付综合用例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验证模型制品能够在目标环境受控部署、发布和回滚，配置凭据得到保护且失败不会破坏可用版本。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1. 复核实际环境资源、驱动、运行时、推理引擎、依赖及多租户隔离条件。  2. 按受控流程部署指定版本，记录参数、配额、副本、端口、操作者和执行结果。  3. 检查模型制品、环境配置和敏感凭据分离，验证最小权限及凭据受控注入。  4. 重复执行部署流程，确认不会造成未预期状态破坏。  5. 按发布准入、评审和批准流程实施发布，并监测健康、错误、时延、资源和质量指标。  6. 模拟达到回滚条件的异常，执行回滚并验证版本、接口、配置、依赖和服务状态。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1. 部署使用已验证制品，实际环境和配置记录完整。  2. 口令、密钥、令牌和证书未以明文进入制品或脚本。  3. 重复部署具有幂等性，异常能够暂停、终止或回滚。  4. 回滚后服务恢复到已验证状态，过程和结果可追溯。  5. 部署失败未破坏已有可用版本。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{{RESULT_TC_MD_008}}</w:t>
              <w:br/>
              <w:t>[[DEMO_TC_MD_008]]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{{CONCLUSION_TC_MD_008}}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{{NOTE_TC_MD_008}}</w:t>
            </w:r>
          </w:p>
        </w:tc>
      </w:tr>
    </w:tbl>
    <w:p>
      <w:pPr>
        <w:pStyle w:val="Heading2"/>
      </w:pPr>
      <w:r>
        <w:t>TC-MD-009  功能、接口与模型质量验证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模型交付综合用例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验证交付制品在代表性环境和数据下满足约定功能、接口行为和模型质量要求。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1. 核对交付清单、制品版本、许可证和文档，并验证加载、启动、停止和卸载。  2. 测试健康检查、推理调用、输入输出格式、鉴权、错误码、超时、重试和异常处理。  3. 测试约定的批处理、流式输出、并发调用和上下游联调能力。  4. 输入非法、空值、超限、边界和干扰样本，检查系统处理和日志告警。  5. 按验收基线执行准确性、相关性、完整性、一致性、鲁棒性等适用质量评测。  6. 对随机输出按约定次数和统计方法重复测试，并比较新旧版本关键能力。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1. 制品和文档一致，服务基本生命周期操作正常。  2. 接口、鉴权、异常、超时和重试行为符合约定。  3. 关键模型质量指标达到验收阈值，无未接受的能力退化。  4. 边界、分布变化和干扰条件下的表现及已知限制得到记录。  5. 每项结果可追溯到测试条件、数据和原始记录。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{{RESULT_TC_MD_009}}</w:t>
              <w:br/>
              <w:t>[[DEMO_TC_MD_009]]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{{CONCLUSION_TC_MD_009}}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{{NOTE_TC_MD_009}}</w:t>
            </w:r>
          </w:p>
        </w:tc>
      </w:tr>
    </w:tbl>
    <w:p>
      <w:pPr>
        <w:pStyle w:val="Heading2"/>
      </w:pPr>
      <w:r>
        <w:t>TC-MD-010  性能、资源、可靠性与安全验证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模型交付综合用例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验证模型服务在明确条件下达到性能、资源、可靠性和安全验收要求，并能够追溯到原始数据。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1. 记录硬件、软件、模型版本、输入输出规模、批大小、并发数、持续时间和统计方法。  2. 测试首响应时延、完成或生成时延、吞吐量、稳定并发、成功率和超时率。  3. 采集 GPU、NPU、CPU、显存、内存、存储、网络和适用的能耗数据。  4. 执行达到或接近约定容量的负载及持续时间测试，验证限流、排队、过载保护和恢复。  5. 模拟依赖异常、资源不足或网络异常，检查故障检测、恢复、回滚或切换行为。  6. 扫描制品、镜像和依赖漏洞，验证鉴权、访问控制、隔离、加密、日志脱敏及恶意输入处置。  7. 根据模型类型和风险评估执行适用的提示注入、越狱、模型提取或成员推断专项测试。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1. 性能数值均带有完整测试条件并达到验收基线。  2. 资源使用和容量边界清晰，过载后能够按约定降级或恢复。  3. 可靠性项目达到约定目标，故障和恢复行为可复核。  4. 不存在未处置的高风险漏洞、恶意内容或不可接受模型安全风险。  5. 敏感数据、凭据、配置和日志保护措施有效。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{{RESULT_TC_MD_010}}</w:t>
              <w:br/>
              <w:t>[[DEMO_TC_MD_010]]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{{CONCLUSION_TC_MD_010}}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{{NOTE_TC_MD_010}}</w:t>
            </w:r>
          </w:p>
        </w:tc>
      </w:tr>
    </w:tbl>
    <w:p>
      <w:pPr>
        <w:pStyle w:val="Heading2"/>
      </w:pPr>
      <w:r>
        <w:t>TC-MD-011  验收闭环与运维移交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模型交付综合用例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验证验收问题得到闭环，服务、文档、知识、权限、责任和后续变更管理完整移交。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1. 汇总验收项目、证据、问题和结论，抽查需求到测试结果的关联。  2. 检查不通过项整改复测、条件通过项限制措施和遗留风险接受记录。  3. 核对健康、请求、时延、吞吐、资源、错误和质量漂移等监控告警配置。  4. 核对交付清单、部署文档、运维手册、应急预案、测试报告和验收记录。  5. 通过操作演示、问答或演练验证巡检、扩缩容、升级、回滚、凭据轮换和故障恢复。  6. 检查最小权限移交、临时权限撤销、凭据交接或轮换以及支持责任边界。  7. 检查变更、问题和退役退出机制，抽查一次模拟变更或退役场景。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1. 验收结论由接收方或授权主体确认，问题和遗留风险均有明确状态。  2. 监控、告警、日志和故障定位能力在目标环境有效。  3. 文档、知识、权限和责任移交完整，敏感凭据未出现在移交记录中。  4. 运维人员能够执行关键操作，后续变更和退役有受控流程。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{{RESULT_TC_MD_011}}</w:t>
              <w:br/>
              <w:t>[[DEMO_TC_MD_011]]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{{CONCLUSION_TC_MD_011}}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{{NOTE_TC_MD_011}}</w:t>
            </w:r>
          </w:p>
        </w:tc>
      </w:tr>
    </w:tbl>
    <w:p>
      <w:pPr>
        <w:pStyle w:val="Heading2"/>
      </w:pPr>
      <w:r>
        <w:t>TC-MD-012  质量、安全、合规、审计与连续性治理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模型交付综合用例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验证模型交付全过程具备质量、安全、合规、追溯、风险和业务连续性治理机制。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1. 检查过程模板、检查表、质量门禁、关键交付物评审和偏差处置记录。  2. 检查数据、权重、日志、配置、凭据、测试结果的分级保护及供应链安全检查。  3. 核对法律法规、监管、合同、许可证和知识产权要求的识别、审批及履约证据。  4. 从一个运行实例反向追溯模型来源、数据与适配、制品摘要、部署发布、测试验收和变更记录。  5. 从一项需求或问题正向追溯实现制品、验证证据、处置和复测结果。  6. 检查风险识别、评估、措施、责任人、残余风险及发布验收阻断机制。  7. 核查备份、冗余、切换、降级、恢复目标，并抽查最近一次恢复或故障演练记录。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1. 质量门禁和评审机制有效，交付物之间保持完整和一致。  2. 安全、隐私、供应链、合规和知识产权风险得到识别和控制。  3. 运行实例、需求、问题和验收结论均可双向追溯，审计记录完整受控。  4. 不可接受风险能够阻断发布或验收。  5. 关键依赖、单点故障、备份恢复和连续性措施经过验证。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{{RESULT_TC_MD_012}}</w:t>
              <w:br/>
              <w:t>[[DEMO_TC_MD_012]]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{{CONCLUSION_TC_MD_012}}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{{NOTE_TC_MD_012}}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