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AF5EA">
      <w:pPr>
        <w:spacing w:after="60"/>
        <w:jc w:val="center"/>
        <w:outlineLvl w:val="0"/>
        <w:rPr>
          <w:rFonts w:hint="eastAsia" w:ascii="黑体" w:hAnsi="黑体" w:eastAsia="黑体"/>
          <w:sz w:val="32"/>
          <w:szCs w:val="32"/>
        </w:rPr>
      </w:pPr>
      <w:r>
        <w:rPr>
          <w:rFonts w:hint="eastAsia" w:ascii="黑体" w:hAnsi="黑体" w:eastAsia="黑体"/>
          <w:b/>
          <w:bCs/>
          <w:sz w:val="24"/>
          <w:szCs w:val="40"/>
        </w:rPr>
        <w:t>检验项目原始记录</w:t>
      </w:r>
    </w:p>
    <w:tbl>
      <w:tblPr>
        <w:tblStyle w:val="9"/>
        <w:tblW w:w="0" w:type="auto"/>
        <w:tblInd w:w="0" w:type="dxa"/>
        <w:tblLayout w:type="autofit"/>
        <w:tblCellMar>
          <w:top w:w="0" w:type="dxa"/>
          <w:left w:w="108" w:type="dxa"/>
          <w:bottom w:w="0" w:type="dxa"/>
          <w:right w:w="108" w:type="dxa"/>
        </w:tblCellMar>
      </w:tblPr>
      <w:tblGrid>
        <w:gridCol w:w="1980"/>
        <w:gridCol w:w="2273"/>
        <w:gridCol w:w="1787"/>
        <w:gridCol w:w="3021"/>
      </w:tblGrid>
      <w:tr w14:paraId="0BCDBE69">
        <w:trPr>
          <w:trHeight w:val="589" w:hRule="atLeast"/>
        </w:trPr>
        <w:tc>
          <w:tcPr>
            <w:tcW w:w="1980" w:type="dxa"/>
            <w:tcBorders>
              <w:top w:val="single" w:color="auto" w:sz="4" w:space="0"/>
              <w:left w:val="single" w:color="auto" w:sz="4" w:space="0"/>
              <w:bottom w:val="single" w:color="auto" w:sz="4" w:space="0"/>
              <w:right w:val="single" w:color="auto" w:sz="4" w:space="0"/>
            </w:tcBorders>
          </w:tcPr>
          <w:p w14:paraId="2D08E435">
            <w:pPr>
              <w:spacing w:line="360" w:lineRule="auto"/>
              <w:jc w:val="left"/>
              <w:rPr>
                <w:rFonts w:hint="eastAsia" w:ascii="宋体" w:hAnsi="宋体" w:cs="黑体"/>
                <w:sz w:val="24"/>
                <w:szCs w:val="18"/>
              </w:rPr>
            </w:pPr>
            <w:r>
              <w:rPr>
                <w:rFonts w:hint="eastAsia" w:ascii="宋体" w:hAnsi="宋体" w:cs="黑体"/>
                <w:sz w:val="24"/>
                <w:szCs w:val="18"/>
              </w:rPr>
              <w:t>任务编号</w:t>
            </w:r>
          </w:p>
        </w:tc>
        <w:tc>
          <w:tcPr>
            <w:tcW w:w="7081" w:type="dxa"/>
            <w:gridSpan w:val="3"/>
            <w:tcBorders>
              <w:top w:val="single" w:color="auto" w:sz="4" w:space="0"/>
              <w:left w:val="single" w:color="auto" w:sz="4" w:space="0"/>
              <w:bottom w:val="single" w:color="auto" w:sz="4" w:space="0"/>
              <w:right w:val="single" w:color="auto" w:sz="4" w:space="0"/>
            </w:tcBorders>
          </w:tcPr>
          <w:p w14:paraId="492782B2">
            <w:pPr>
              <w:spacing w:line="360" w:lineRule="auto"/>
              <w:jc w:val="left"/>
              <w:rPr>
                <w:rFonts w:hint="eastAsia" w:ascii="宋体" w:hAnsi="宋体" w:cs="黑体"/>
                <w:sz w:val="24"/>
                <w:szCs w:val="18"/>
              </w:rPr>
            </w:pPr>
            <w:r>
              <w:rPr>
                <w:rFonts w:ascii="宋体" w:hAnsi="宋体" w:cs="黑体"/>
                <w:sz w:val="24"/>
                <w:szCs w:val="18"/>
              </w:rPr>
            </w:r>
          </w:p>
        </w:tc>
      </w:tr>
      <w:tr w14:paraId="7FFB00F0">
        <w:tblPrEx>
          <w:tblCellMar>
            <w:top w:w="0" w:type="dxa"/>
            <w:left w:w="108" w:type="dxa"/>
            <w:bottom w:w="0" w:type="dxa"/>
            <w:right w:w="108" w:type="dxa"/>
          </w:tblCellMar>
        </w:tblPrEx>
        <w:trPr>
          <w:trHeight w:val="715" w:hRule="atLeast"/>
        </w:trPr>
        <w:tc>
          <w:tcPr>
            <w:tcW w:w="1980" w:type="dxa"/>
            <w:tcBorders>
              <w:top w:val="single" w:color="auto" w:sz="4" w:space="0"/>
              <w:left w:val="single" w:color="auto" w:sz="4" w:space="0"/>
              <w:bottom w:val="single" w:color="auto" w:sz="4" w:space="0"/>
              <w:right w:val="single" w:color="auto" w:sz="4" w:space="0"/>
            </w:tcBorders>
          </w:tcPr>
          <w:p w14:paraId="6F0E6A27">
            <w:pPr>
              <w:spacing w:line="360" w:lineRule="auto"/>
              <w:jc w:val="left"/>
              <w:rPr>
                <w:rFonts w:hint="eastAsia" w:ascii="宋体" w:hAnsi="宋体" w:cs="黑体"/>
                <w:sz w:val="24"/>
                <w:szCs w:val="18"/>
              </w:rPr>
            </w:pPr>
            <w:r>
              <w:rPr>
                <w:rFonts w:hint="eastAsia" w:ascii="宋体" w:hAnsi="宋体" w:cs="黑体"/>
                <w:sz w:val="24"/>
                <w:szCs w:val="18"/>
              </w:rPr>
              <w:t>委托单位</w:t>
            </w:r>
          </w:p>
        </w:tc>
        <w:tc>
          <w:tcPr>
            <w:tcW w:w="2273" w:type="dxa"/>
            <w:tcBorders>
              <w:top w:val="single" w:color="auto" w:sz="4" w:space="0"/>
              <w:left w:val="single" w:color="auto" w:sz="4" w:space="0"/>
              <w:bottom w:val="single" w:color="auto" w:sz="4" w:space="0"/>
              <w:right w:val="single" w:color="auto" w:sz="4" w:space="0"/>
            </w:tcBorders>
          </w:tcPr>
          <w:p w14:paraId="170B5A39">
            <w:pPr>
              <w:spacing w:line="360" w:lineRule="auto"/>
              <w:jc w:val="left"/>
              <w:rPr>
                <w:rFonts w:hint="eastAsia" w:ascii="宋体" w:hAnsi="宋体" w:cs="黑体"/>
                <w:sz w:val="24"/>
                <w:szCs w:val="18"/>
              </w:rPr>
            </w:pPr>
            <w:r>
              <w:rPr>
                <w:rFonts w:ascii="宋体" w:hAnsi="宋体" w:cs="黑体"/>
                <w:sz w:val="24"/>
                <w:szCs w:val="18"/>
              </w:rPr>
              <w:t>{{ENTRUSTED_ORG}}</w:t>
            </w:r>
          </w:p>
        </w:tc>
        <w:tc>
          <w:tcPr>
            <w:tcW w:w="1787" w:type="dxa"/>
            <w:tcBorders>
              <w:top w:val="single" w:color="auto" w:sz="4" w:space="0"/>
              <w:left w:val="single" w:color="auto" w:sz="4" w:space="0"/>
              <w:bottom w:val="single" w:color="auto" w:sz="4" w:space="0"/>
              <w:right w:val="single" w:color="auto" w:sz="4" w:space="0"/>
            </w:tcBorders>
          </w:tcPr>
          <w:p w14:paraId="29910085">
            <w:pPr>
              <w:spacing w:line="360" w:lineRule="auto"/>
              <w:jc w:val="left"/>
              <w:rPr>
                <w:rFonts w:hint="eastAsia" w:ascii="宋体" w:hAnsi="宋体" w:cs="黑体"/>
                <w:sz w:val="24"/>
                <w:szCs w:val="18"/>
              </w:rPr>
            </w:pPr>
            <w:r>
              <w:rPr>
                <w:rFonts w:hint="eastAsia" w:ascii="宋体" w:hAnsi="宋体" w:cs="黑体"/>
                <w:sz w:val="24"/>
                <w:szCs w:val="18"/>
              </w:rPr>
              <w:t>生产单位</w:t>
            </w:r>
          </w:p>
        </w:tc>
        <w:tc>
          <w:tcPr>
            <w:tcW w:w="3021" w:type="dxa"/>
            <w:tcBorders>
              <w:top w:val="single" w:color="auto" w:sz="4" w:space="0"/>
              <w:left w:val="single" w:color="auto" w:sz="4" w:space="0"/>
              <w:bottom w:val="single" w:color="auto" w:sz="4" w:space="0"/>
              <w:right w:val="single" w:color="auto" w:sz="4" w:space="0"/>
            </w:tcBorders>
          </w:tcPr>
          <w:p w14:paraId="3ACDB08E">
            <w:pPr>
              <w:spacing w:line="360" w:lineRule="auto"/>
              <w:jc w:val="left"/>
              <w:rPr>
                <w:rFonts w:hint="eastAsia" w:ascii="宋体" w:hAnsi="宋体" w:cs="黑体"/>
                <w:sz w:val="24"/>
                <w:szCs w:val="18"/>
              </w:rPr>
            </w:pPr>
            <w:r>
              <w:rPr>
                <w:rFonts w:ascii="宋体" w:hAnsi="宋体" w:cs="黑体"/>
                <w:sz w:val="24"/>
                <w:szCs w:val="18"/>
              </w:rPr>
              <w:t>{{PRODUCER_ORG}}</w:t>
            </w:r>
          </w:p>
        </w:tc>
      </w:tr>
      <w:tr w14:paraId="0D6443E8">
        <w:tblPrEx>
          <w:tblCellMar>
            <w:top w:w="0" w:type="dxa"/>
            <w:left w:w="108" w:type="dxa"/>
            <w:bottom w:w="0" w:type="dxa"/>
            <w:right w:w="108" w:type="dxa"/>
          </w:tblCellMar>
        </w:tblPrEx>
        <w:trPr>
          <w:trHeight w:val="729" w:hRule="atLeast"/>
        </w:trPr>
        <w:tc>
          <w:tcPr>
            <w:tcW w:w="1980" w:type="dxa"/>
            <w:tcBorders>
              <w:top w:val="single" w:color="auto" w:sz="4" w:space="0"/>
              <w:left w:val="single" w:color="auto" w:sz="4" w:space="0"/>
              <w:bottom w:val="single" w:color="auto" w:sz="4" w:space="0"/>
              <w:right w:val="single" w:color="auto" w:sz="4" w:space="0"/>
            </w:tcBorders>
          </w:tcPr>
          <w:p w14:paraId="5B5FF0B8">
            <w:pPr>
              <w:spacing w:line="360" w:lineRule="auto"/>
              <w:jc w:val="left"/>
              <w:rPr>
                <w:rFonts w:hint="eastAsia" w:ascii="宋体" w:hAnsi="宋体" w:cs="黑体"/>
                <w:sz w:val="24"/>
                <w:szCs w:val="18"/>
              </w:rPr>
            </w:pPr>
            <w:r>
              <w:rPr>
                <w:rFonts w:hint="eastAsia" w:ascii="宋体" w:hAnsi="宋体" w:cs="黑体"/>
                <w:sz w:val="24"/>
                <w:szCs w:val="18"/>
              </w:rPr>
              <w:t>产品</w:t>
            </w:r>
            <w:r>
              <w:rPr>
                <w:rFonts w:ascii="宋体" w:hAnsi="宋体" w:cs="黑体"/>
                <w:sz w:val="24"/>
                <w:szCs w:val="18"/>
              </w:rPr>
              <w:t>名称</w:t>
            </w:r>
          </w:p>
        </w:tc>
        <w:tc>
          <w:tcPr>
            <w:tcW w:w="2273" w:type="dxa"/>
            <w:tcBorders>
              <w:top w:val="single" w:color="auto" w:sz="4" w:space="0"/>
              <w:left w:val="single" w:color="auto" w:sz="4" w:space="0"/>
              <w:bottom w:val="single" w:color="auto" w:sz="4" w:space="0"/>
              <w:right w:val="single" w:color="auto" w:sz="4" w:space="0"/>
            </w:tcBorders>
          </w:tcPr>
          <w:p w14:paraId="0AA2B4AA">
            <w:pPr>
              <w:spacing w:line="360" w:lineRule="auto"/>
              <w:jc w:val="left"/>
              <w:rPr>
                <w:rFonts w:hint="eastAsia" w:ascii="宋体" w:hAnsi="宋体" w:cs="黑体"/>
                <w:color w:val="auto"/>
                <w:sz w:val="24"/>
                <w:szCs w:val="18"/>
              </w:rPr>
            </w:pPr>
            <w:r>
              <w:rPr>
                <w:rFonts w:ascii="宋体" w:hAnsi="宋体" w:cs="黑体"/>
                <w:color w:val="auto"/>
                <w:sz w:val="24"/>
                <w:szCs w:val="18"/>
              </w:rPr>
              <w:t>{{PRODUCT_NAME}}</w:t>
            </w:r>
          </w:p>
        </w:tc>
        <w:tc>
          <w:tcPr>
            <w:tcW w:w="1787" w:type="dxa"/>
            <w:tcBorders>
              <w:top w:val="single" w:color="auto" w:sz="4" w:space="0"/>
              <w:left w:val="single" w:color="auto" w:sz="4" w:space="0"/>
              <w:bottom w:val="single" w:color="auto" w:sz="4" w:space="0"/>
              <w:right w:val="single" w:color="auto" w:sz="4" w:space="0"/>
            </w:tcBorders>
          </w:tcPr>
          <w:p w14:paraId="1EF98DDD">
            <w:pPr>
              <w:spacing w:line="360" w:lineRule="auto"/>
              <w:jc w:val="left"/>
              <w:rPr>
                <w:rFonts w:hint="eastAsia" w:ascii="宋体" w:hAnsi="宋体" w:cs="黑体"/>
                <w:color w:val="auto"/>
                <w:sz w:val="24"/>
                <w:szCs w:val="18"/>
              </w:rPr>
            </w:pPr>
            <w:r>
              <w:rPr>
                <w:rFonts w:hint="eastAsia" w:ascii="宋体" w:hAnsi="宋体" w:cs="黑体"/>
                <w:color w:val="auto"/>
                <w:sz w:val="24"/>
                <w:szCs w:val="18"/>
              </w:rPr>
              <w:t>产品</w:t>
            </w:r>
            <w:r>
              <w:rPr>
                <w:rFonts w:ascii="宋体" w:hAnsi="宋体" w:cs="黑体"/>
                <w:color w:val="auto"/>
                <w:sz w:val="24"/>
                <w:szCs w:val="18"/>
              </w:rPr>
              <w:t>型号</w:t>
            </w:r>
          </w:p>
        </w:tc>
        <w:tc>
          <w:tcPr>
            <w:tcW w:w="3021" w:type="dxa"/>
            <w:tcBorders>
              <w:top w:val="single" w:color="auto" w:sz="4" w:space="0"/>
              <w:left w:val="single" w:color="auto" w:sz="4" w:space="0"/>
              <w:bottom w:val="single" w:color="auto" w:sz="4" w:space="0"/>
              <w:right w:val="single" w:color="auto" w:sz="4" w:space="0"/>
            </w:tcBorders>
          </w:tcPr>
          <w:p w14:paraId="66C42249">
            <w:pPr>
              <w:spacing w:line="360" w:lineRule="auto"/>
              <w:jc w:val="left"/>
              <w:rPr>
                <w:rFonts w:hint="eastAsia" w:ascii="宋体" w:hAnsi="宋体" w:cs="黑体"/>
                <w:color w:val="auto"/>
                <w:sz w:val="24"/>
                <w:szCs w:val="18"/>
              </w:rPr>
            </w:pPr>
            <w:r>
              <w:rPr>
                <w:rFonts w:hint="eastAsia" w:ascii="宋体" w:hAnsi="宋体" w:cs="黑体"/>
                <w:color w:val="auto"/>
                <w:sz w:val="24"/>
                <w:szCs w:val="18"/>
              </w:rPr>
              <w:t>{{PRODUCT_MODEL}}</w:t>
            </w:r>
          </w:p>
        </w:tc>
      </w:tr>
      <w:tr w14:paraId="707935C9">
        <w:tblPrEx>
          <w:tblCellMar>
            <w:top w:w="0" w:type="dxa"/>
            <w:left w:w="108" w:type="dxa"/>
            <w:bottom w:w="0" w:type="dxa"/>
            <w:right w:w="108" w:type="dxa"/>
          </w:tblCellMar>
        </w:tblPrEx>
        <w:trPr>
          <w:trHeight w:val="646" w:hRule="atLeast"/>
        </w:trPr>
        <w:tc>
          <w:tcPr>
            <w:tcW w:w="1980" w:type="dxa"/>
            <w:tcBorders>
              <w:top w:val="single" w:color="auto" w:sz="4" w:space="0"/>
              <w:left w:val="single" w:color="auto" w:sz="4" w:space="0"/>
              <w:bottom w:val="single" w:color="auto" w:sz="4" w:space="0"/>
              <w:right w:val="single" w:color="auto" w:sz="4" w:space="0"/>
            </w:tcBorders>
          </w:tcPr>
          <w:p w14:paraId="5A8DD8A5">
            <w:pPr>
              <w:spacing w:line="360" w:lineRule="auto"/>
              <w:jc w:val="left"/>
              <w:rPr>
                <w:rFonts w:hint="eastAsia" w:ascii="宋体" w:hAnsi="宋体" w:cs="黑体"/>
                <w:sz w:val="24"/>
                <w:szCs w:val="18"/>
                <w:highlight w:val="yellow"/>
              </w:rPr>
            </w:pPr>
            <w:r>
              <w:rPr>
                <w:rFonts w:hint="eastAsia" w:ascii="宋体" w:hAnsi="宋体" w:cs="黑体"/>
                <w:sz w:val="24"/>
                <w:szCs w:val="18"/>
              </w:rPr>
              <w:t>样品编号</w:t>
            </w:r>
          </w:p>
        </w:tc>
        <w:tc>
          <w:tcPr>
            <w:tcW w:w="2273" w:type="dxa"/>
            <w:tcBorders>
              <w:top w:val="single" w:color="auto" w:sz="4" w:space="0"/>
              <w:left w:val="single" w:color="auto" w:sz="4" w:space="0"/>
              <w:bottom w:val="single" w:color="auto" w:sz="4" w:space="0"/>
              <w:right w:val="single" w:color="auto" w:sz="4" w:space="0"/>
            </w:tcBorders>
          </w:tcPr>
          <w:p w14:paraId="0EBD2915">
            <w:pPr>
              <w:spacing w:line="360" w:lineRule="auto"/>
              <w:jc w:val="left"/>
              <w:rPr>
                <w:rFonts w:hint="default" w:ascii="宋体" w:hAnsi="宋体" w:eastAsia="宋体" w:cs="黑体"/>
                <w:color w:val="auto"/>
                <w:sz w:val="24"/>
                <w:szCs w:val="18"/>
                <w:lang w:val="en-US" w:eastAsia="zh-CN"/>
              </w:rPr>
            </w:pPr>
            <w:r>
              <w:rPr>
                <w:rFonts w:hint="eastAsia" w:ascii="宋体" w:hAnsi="宋体" w:cs="黑体"/>
                <w:color w:val="auto"/>
                <w:sz w:val="24"/>
                <w:szCs w:val="18"/>
                <w:lang w:val="en-US" w:eastAsia="zh-CN"/>
              </w:rPr>
              <w:t>{{SAMPLE_NUMBER}}</w:t>
            </w:r>
          </w:p>
        </w:tc>
        <w:tc>
          <w:tcPr>
            <w:tcW w:w="1787" w:type="dxa"/>
            <w:tcBorders>
              <w:top w:val="single" w:color="auto" w:sz="4" w:space="0"/>
              <w:left w:val="single" w:color="auto" w:sz="4" w:space="0"/>
              <w:bottom w:val="single" w:color="auto" w:sz="4" w:space="0"/>
              <w:right w:val="single" w:color="auto" w:sz="4" w:space="0"/>
            </w:tcBorders>
          </w:tcPr>
          <w:p w14:paraId="09DDB6C4">
            <w:pPr>
              <w:spacing w:line="360" w:lineRule="auto"/>
              <w:jc w:val="left"/>
              <w:rPr>
                <w:rFonts w:hint="eastAsia" w:ascii="宋体" w:hAnsi="宋体" w:cs="黑体"/>
                <w:color w:val="auto"/>
                <w:sz w:val="24"/>
                <w:szCs w:val="18"/>
              </w:rPr>
            </w:pPr>
            <w:r>
              <w:rPr>
                <w:rFonts w:hint="eastAsia" w:ascii="宋体" w:hAnsi="宋体" w:cs="黑体"/>
                <w:color w:val="auto"/>
                <w:sz w:val="24"/>
                <w:szCs w:val="18"/>
              </w:rPr>
              <w:t>软件版本号</w:t>
            </w:r>
          </w:p>
        </w:tc>
        <w:tc>
          <w:tcPr>
            <w:tcW w:w="3021" w:type="dxa"/>
            <w:tcBorders>
              <w:top w:val="single" w:color="auto" w:sz="4" w:space="0"/>
              <w:left w:val="single" w:color="auto" w:sz="4" w:space="0"/>
              <w:bottom w:val="single" w:color="auto" w:sz="4" w:space="0"/>
              <w:right w:val="single" w:color="auto" w:sz="4" w:space="0"/>
            </w:tcBorders>
          </w:tcPr>
          <w:p w14:paraId="19B93028">
            <w:pPr>
              <w:spacing w:line="360" w:lineRule="auto"/>
              <w:jc w:val="left"/>
              <w:rPr>
                <w:rFonts w:hint="eastAsia" w:ascii="宋体" w:hAnsi="宋体" w:cs="黑体"/>
                <w:color w:val="auto"/>
                <w:sz w:val="24"/>
                <w:szCs w:val="18"/>
              </w:rPr>
            </w:pPr>
            <w:r>
              <w:rPr>
                <w:rFonts w:hint="eastAsia" w:ascii="宋体" w:hAnsi="宋体" w:cs="黑体"/>
                <w:color w:val="auto"/>
                <w:sz w:val="24"/>
                <w:szCs w:val="18"/>
              </w:rPr>
              <w:t>{{SOFTWARE_VERSION}}</w:t>
            </w:r>
          </w:p>
        </w:tc>
      </w:tr>
      <w:tr w14:paraId="3029F274">
        <w:tblPrEx>
          <w:tblCellMar>
            <w:top w:w="0" w:type="dxa"/>
            <w:left w:w="108" w:type="dxa"/>
            <w:bottom w:w="0" w:type="dxa"/>
            <w:right w:w="108" w:type="dxa"/>
          </w:tblCellMar>
        </w:tblPrEx>
        <w:trPr>
          <w:trHeight w:val="715" w:hRule="atLeast"/>
        </w:trPr>
        <w:tc>
          <w:tcPr>
            <w:tcW w:w="1980" w:type="dxa"/>
            <w:tcBorders>
              <w:top w:val="single" w:color="auto" w:sz="4" w:space="0"/>
              <w:left w:val="single" w:color="auto" w:sz="4" w:space="0"/>
              <w:bottom w:val="single" w:color="auto" w:sz="4" w:space="0"/>
              <w:right w:val="single" w:color="auto" w:sz="4" w:space="0"/>
            </w:tcBorders>
          </w:tcPr>
          <w:p w14:paraId="75115641">
            <w:pPr>
              <w:spacing w:line="360" w:lineRule="auto"/>
              <w:jc w:val="left"/>
              <w:rPr>
                <w:rFonts w:hint="eastAsia" w:ascii="宋体" w:hAnsi="宋体" w:cs="黑体"/>
                <w:sz w:val="24"/>
                <w:szCs w:val="18"/>
                <w:highlight w:val="yellow"/>
              </w:rPr>
            </w:pPr>
            <w:r>
              <w:rPr>
                <w:rFonts w:hint="eastAsia" w:ascii="宋体" w:hAnsi="宋体" w:cs="黑体"/>
                <w:sz w:val="24"/>
                <w:szCs w:val="18"/>
              </w:rPr>
              <w:t>检验类别</w:t>
            </w:r>
          </w:p>
        </w:tc>
        <w:tc>
          <w:tcPr>
            <w:tcW w:w="2273" w:type="dxa"/>
            <w:tcBorders>
              <w:top w:val="single" w:color="auto" w:sz="4" w:space="0"/>
              <w:left w:val="single" w:color="auto" w:sz="4" w:space="0"/>
              <w:bottom w:val="single" w:color="auto" w:sz="4" w:space="0"/>
              <w:right w:val="single" w:color="auto" w:sz="4" w:space="0"/>
            </w:tcBorders>
          </w:tcPr>
          <w:p w14:paraId="3526EDBB">
            <w:pPr>
              <w:spacing w:line="360" w:lineRule="auto"/>
              <w:jc w:val="left"/>
              <w:rPr>
                <w:rFonts w:hint="eastAsia" w:ascii="宋体" w:hAnsi="宋体" w:cs="黑体"/>
                <w:color w:val="auto"/>
                <w:sz w:val="24"/>
                <w:szCs w:val="18"/>
                <w:highlight w:val="yellow"/>
              </w:rPr>
            </w:pPr>
            <w:r>
              <w:rPr>
                <w:rFonts w:hint="eastAsia"/>
                <w:color w:val="auto"/>
              </w:rPr>
              <w:t>委托检验</w:t>
            </w:r>
          </w:p>
        </w:tc>
        <w:tc>
          <w:tcPr>
            <w:tcW w:w="1787" w:type="dxa"/>
            <w:tcBorders>
              <w:top w:val="single" w:color="auto" w:sz="4" w:space="0"/>
              <w:left w:val="single" w:color="auto" w:sz="4" w:space="0"/>
              <w:bottom w:val="single" w:color="auto" w:sz="4" w:space="0"/>
              <w:right w:val="single" w:color="auto" w:sz="4" w:space="0"/>
            </w:tcBorders>
          </w:tcPr>
          <w:p w14:paraId="317AEAFD">
            <w:pPr>
              <w:spacing w:line="360" w:lineRule="auto"/>
              <w:jc w:val="left"/>
              <w:rPr>
                <w:rFonts w:hint="eastAsia" w:ascii="宋体" w:hAnsi="宋体" w:cs="黑体"/>
                <w:color w:val="auto"/>
                <w:sz w:val="24"/>
                <w:szCs w:val="18"/>
                <w:highlight w:val="yellow"/>
              </w:rPr>
            </w:pPr>
            <w:r>
              <w:rPr>
                <w:rFonts w:hint="eastAsia" w:ascii="宋体" w:hAnsi="宋体" w:cs="黑体"/>
                <w:color w:val="auto"/>
                <w:sz w:val="24"/>
                <w:szCs w:val="18"/>
              </w:rPr>
              <w:t>检验地点</w:t>
            </w:r>
          </w:p>
        </w:tc>
        <w:tc>
          <w:tcPr>
            <w:tcW w:w="3021" w:type="dxa"/>
            <w:tcBorders>
              <w:top w:val="single" w:color="auto" w:sz="4" w:space="0"/>
              <w:left w:val="single" w:color="auto" w:sz="4" w:space="0"/>
              <w:bottom w:val="single" w:color="auto" w:sz="4" w:space="0"/>
              <w:right w:val="single" w:color="auto" w:sz="4" w:space="0"/>
            </w:tcBorders>
          </w:tcPr>
          <w:p w14:paraId="5395AD66">
            <w:pPr>
              <w:spacing w:line="360" w:lineRule="auto"/>
              <w:jc w:val="left"/>
              <w:rPr>
                <w:rFonts w:hint="eastAsia" w:ascii="宋体" w:hAnsi="宋体" w:cs="黑体"/>
                <w:color w:val="auto"/>
                <w:sz w:val="24"/>
                <w:szCs w:val="18"/>
                <w:highlight w:val="yellow"/>
              </w:rPr>
            </w:pPr>
            <w:r>
              <w:rPr>
                <w:rFonts w:hint="eastAsia" w:ascii="宋体" w:hAnsi="宋体" w:cs="黑体"/>
                <w:color w:val="auto"/>
                <w:sz w:val="24"/>
                <w:szCs w:val="18"/>
              </w:rPr>
              <w:t>{{INSPECTION_LOCATION}}</w:t>
            </w:r>
          </w:p>
        </w:tc>
      </w:tr>
      <w:tr w14:paraId="4DF99586">
        <w:tblPrEx>
          <w:tblCellMar>
            <w:top w:w="0" w:type="dxa"/>
            <w:left w:w="108" w:type="dxa"/>
            <w:bottom w:w="0" w:type="dxa"/>
            <w:right w:w="108" w:type="dxa"/>
          </w:tblCellMar>
        </w:tblPrEx>
        <w:trPr>
          <w:trHeight w:val="715" w:hRule="atLeast"/>
        </w:trPr>
        <w:tc>
          <w:tcPr>
            <w:tcW w:w="1980" w:type="dxa"/>
            <w:tcBorders>
              <w:top w:val="single" w:color="auto" w:sz="4" w:space="0"/>
              <w:left w:val="single" w:color="auto" w:sz="4" w:space="0"/>
              <w:bottom w:val="single" w:color="auto" w:sz="4" w:space="0"/>
              <w:right w:val="single" w:color="auto" w:sz="4" w:space="0"/>
            </w:tcBorders>
          </w:tcPr>
          <w:p w14:paraId="54472228">
            <w:pPr>
              <w:spacing w:line="360" w:lineRule="auto"/>
              <w:jc w:val="left"/>
              <w:rPr>
                <w:rFonts w:hint="eastAsia" w:ascii="宋体" w:hAnsi="宋体" w:cs="黑体"/>
                <w:sz w:val="24"/>
                <w:szCs w:val="18"/>
                <w:highlight w:val="yellow"/>
              </w:rPr>
            </w:pPr>
            <w:r>
              <w:rPr>
                <w:rFonts w:hint="eastAsia" w:ascii="宋体" w:hAnsi="宋体" w:cs="黑体"/>
                <w:sz w:val="24"/>
                <w:szCs w:val="18"/>
              </w:rPr>
              <w:t>检验日期</w:t>
            </w:r>
          </w:p>
        </w:tc>
        <w:tc>
          <w:tcPr>
            <w:tcW w:w="7081" w:type="dxa"/>
            <w:gridSpan w:val="3"/>
            <w:tcBorders>
              <w:top w:val="single" w:color="auto" w:sz="4" w:space="0"/>
              <w:left w:val="single" w:color="auto" w:sz="4" w:space="0"/>
              <w:bottom w:val="single" w:color="auto" w:sz="4" w:space="0"/>
              <w:right w:val="single" w:color="auto" w:sz="4" w:space="0"/>
            </w:tcBorders>
          </w:tcPr>
          <w:p w14:paraId="47F64673">
            <w:pPr>
              <w:spacing w:line="360" w:lineRule="auto"/>
              <w:jc w:val="left"/>
              <w:rPr>
                <w:rFonts w:hint="eastAsia" w:ascii="宋体" w:hAnsi="宋体" w:cs="黑体"/>
                <w:sz w:val="24"/>
                <w:szCs w:val="18"/>
              </w:rPr>
            </w:pPr>
            <w:r>
              <w:rPr>
                <w:rFonts w:ascii="宋体" w:hAnsi="宋体"/>
              </w:rPr>
              <w:t>{{INSPECTION_DATE}}</w:t>
            </w:r>
            <w:r>
              <w:rPr>
                <w:rFonts w:hint="eastAsia" w:ascii="宋体" w:hAnsi="宋体"/>
                <w:lang w:val="en-US" w:eastAsia="zh-CN"/>
              </w:rPr>
            </w:r>
            <w:r>
              <w:rPr>
                <w:rFonts w:ascii="宋体" w:hAnsi="宋体"/>
              </w:rPr>
            </w:r>
            <w:r>
              <w:rPr>
                <w:rFonts w:hint="eastAsia" w:ascii="宋体" w:hAnsi="宋体"/>
                <w:lang w:val="en-US" w:eastAsia="zh-CN"/>
              </w:rPr>
            </w:r>
            <w:r>
              <w:rPr>
                <w:rFonts w:ascii="宋体" w:hAnsi="宋体"/>
              </w:rPr>
            </w:r>
          </w:p>
        </w:tc>
      </w:tr>
      <w:tr w14:paraId="42591E26">
        <w:tblPrEx>
          <w:tblCellMar>
            <w:top w:w="0" w:type="dxa"/>
            <w:left w:w="108" w:type="dxa"/>
            <w:bottom w:w="0" w:type="dxa"/>
            <w:right w:w="108" w:type="dxa"/>
          </w:tblCellMar>
        </w:tblPrEx>
        <w:trPr>
          <w:trHeight w:val="676" w:hRule="atLeast"/>
        </w:trPr>
        <w:tc>
          <w:tcPr>
            <w:tcW w:w="1980" w:type="dxa"/>
            <w:tcBorders>
              <w:top w:val="single" w:color="auto" w:sz="4" w:space="0"/>
              <w:left w:val="single" w:color="auto" w:sz="4" w:space="0"/>
              <w:bottom w:val="single" w:color="auto" w:sz="4" w:space="0"/>
              <w:right w:val="single" w:color="auto" w:sz="4" w:space="0"/>
            </w:tcBorders>
          </w:tcPr>
          <w:p w14:paraId="7AEA1728">
            <w:pPr>
              <w:spacing w:line="360" w:lineRule="auto"/>
              <w:jc w:val="left"/>
              <w:rPr>
                <w:rFonts w:hint="eastAsia" w:ascii="宋体" w:hAnsi="宋体" w:cs="黑体"/>
                <w:sz w:val="24"/>
                <w:szCs w:val="18"/>
              </w:rPr>
            </w:pPr>
            <w:r>
              <w:rPr>
                <w:rFonts w:hint="eastAsia" w:ascii="宋体" w:hAnsi="宋体" w:cs="黑体"/>
                <w:sz w:val="24"/>
                <w:szCs w:val="18"/>
              </w:rPr>
              <w:t>检验依据</w:t>
            </w:r>
          </w:p>
        </w:tc>
        <w:tc>
          <w:tcPr>
            <w:tcW w:w="7081" w:type="dxa"/>
            <w:gridSpan w:val="3"/>
            <w:tcBorders>
              <w:top w:val="single" w:color="auto" w:sz="4" w:space="0"/>
              <w:left w:val="single" w:color="auto" w:sz="4" w:space="0"/>
              <w:bottom w:val="single" w:color="auto" w:sz="4" w:space="0"/>
              <w:right w:val="single" w:color="auto" w:sz="4" w:space="0"/>
            </w:tcBorders>
          </w:tcPr>
          <w:p w14:paraId="018765CD">
            <w:pPr>
              <w:spacing w:line="360" w:lineRule="auto"/>
              <w:jc w:val="left"/>
              <w:rPr>
                <w:rFonts w:hint="eastAsia" w:ascii="宋体" w:hAnsi="宋体" w:cs="黑体"/>
                <w:sz w:val="24"/>
                <w:szCs w:val="18"/>
              </w:rPr>
            </w:pPr>
            <w:r>
              <w:rPr>
                <w:rFonts w:hint="eastAsia" w:ascii="宋体" w:hAnsi="宋体"/>
              </w:rPr>
            </w:r>
            <w:r>
              <w:rPr>
                <w:rFonts w:ascii="宋体" w:hAnsi="宋体"/>
              </w:rPr>
            </w:r>
            <w:r>
              <w:rPr>
                <w:rFonts w:hint="eastAsia" w:ascii="宋体" w:hAnsi="宋体"/>
                <w:lang w:val="en-US" w:eastAsia="zh-CN"/>
              </w:rPr>
            </w:r>
            <w:r>
              <w:rPr>
                <w:rFonts w:ascii="宋体" w:hAnsi="宋体"/>
              </w:rPr>
            </w:r>
          </w:p>
        </w:tc>
      </w:tr>
      <w:tr w14:paraId="76D80725">
        <w:tblPrEx>
          <w:tblCellMar>
            <w:top w:w="0" w:type="dxa"/>
            <w:left w:w="108" w:type="dxa"/>
            <w:bottom w:w="0" w:type="dxa"/>
            <w:right w:w="108" w:type="dxa"/>
          </w:tblCellMar>
        </w:tblPrEx>
        <w:trPr>
          <w:trHeight w:val="1395" w:hRule="atLeast"/>
        </w:trPr>
        <w:tc>
          <w:tcPr>
            <w:tcW w:w="1980" w:type="dxa"/>
            <w:tcBorders>
              <w:top w:val="single" w:color="auto" w:sz="4" w:space="0"/>
              <w:left w:val="single" w:color="auto" w:sz="4" w:space="0"/>
              <w:bottom w:val="single" w:color="auto" w:sz="4" w:space="0"/>
              <w:right w:val="single" w:color="auto" w:sz="4" w:space="0"/>
            </w:tcBorders>
          </w:tcPr>
          <w:p w14:paraId="6FE665E1">
            <w:pPr>
              <w:spacing w:line="360" w:lineRule="auto"/>
              <w:jc w:val="left"/>
              <w:rPr>
                <w:rFonts w:hint="eastAsia" w:ascii="宋体" w:hAnsi="宋体" w:cs="黑体"/>
                <w:sz w:val="24"/>
                <w:szCs w:val="18"/>
              </w:rPr>
            </w:pPr>
            <w:r>
              <w:rPr>
                <w:rFonts w:hint="eastAsia" w:ascii="宋体" w:hAnsi="宋体" w:cs="黑体"/>
                <w:sz w:val="24"/>
                <w:szCs w:val="18"/>
              </w:rPr>
              <w:t>检验前样品状态</w:t>
            </w:r>
          </w:p>
        </w:tc>
        <w:tc>
          <w:tcPr>
            <w:tcW w:w="7081" w:type="dxa"/>
            <w:gridSpan w:val="3"/>
            <w:tcBorders>
              <w:top w:val="single" w:color="auto" w:sz="4" w:space="0"/>
              <w:left w:val="single" w:color="auto" w:sz="4" w:space="0"/>
              <w:bottom w:val="single" w:color="auto" w:sz="4" w:space="0"/>
              <w:right w:val="single" w:color="auto" w:sz="4" w:space="0"/>
            </w:tcBorders>
          </w:tcPr>
          <w:p w14:paraId="74DF5861">
            <w:pPr>
              <w:spacing w:line="360" w:lineRule="auto"/>
              <w:jc w:val="left"/>
              <w:rPr>
                <w:rFonts w:hint="eastAsia" w:ascii="宋体" w:hAnsi="宋体" w:cs="黑体"/>
                <w:sz w:val="24"/>
                <w:szCs w:val="18"/>
              </w:rPr>
            </w:pPr>
            <w:r>
              <w:rPr>
                <w:rFonts w:hint="eastAsia" w:ascii="宋体" w:hAnsi="宋体" w:cs="黑体"/>
                <w:sz w:val="24"/>
                <w:szCs w:val="18"/>
              </w:rPr>
              <w:t>{{PRE_SAMPLE_STATE}}</w:t>
            </w:r>
          </w:p>
          <w:p w14:paraId="374E73F4">
            <w:pPr>
              <w:spacing w:line="360" w:lineRule="auto"/>
              <w:jc w:val="left"/>
              <w:rPr>
                <w:rFonts w:hint="eastAsia" w:ascii="宋体" w:hAnsi="宋体" w:cs="黑体"/>
                <w:sz w:val="24"/>
                <w:szCs w:val="18"/>
              </w:rPr>
            </w:pPr>
            <w:r>
              <w:rPr>
                <w:rFonts w:hint="eastAsia" w:ascii="宋体" w:hAnsi="宋体" w:cs="黑体"/>
                <w:sz w:val="24"/>
                <w:szCs w:val="18"/>
              </w:rPr>
            </w:r>
          </w:p>
          <w:p w14:paraId="57C33513">
            <w:pPr>
              <w:spacing w:line="360" w:lineRule="auto"/>
              <w:jc w:val="left"/>
              <w:rPr>
                <w:rFonts w:hint="eastAsia" w:ascii="宋体" w:hAnsi="宋体" w:cs="黑体"/>
                <w:sz w:val="24"/>
                <w:szCs w:val="18"/>
              </w:rPr>
            </w:pPr>
            <w:r>
              <w:rPr>
                <w:rFonts w:hint="eastAsia" w:ascii="宋体" w:hAnsi="宋体" w:cs="黑体"/>
                <w:sz w:val="24"/>
                <w:szCs w:val="18"/>
              </w:rPr>
            </w:r>
          </w:p>
        </w:tc>
      </w:tr>
      <w:tr w14:paraId="262E24E1">
        <w:tblPrEx>
          <w:tblCellMar>
            <w:top w:w="0" w:type="dxa"/>
            <w:left w:w="108" w:type="dxa"/>
            <w:bottom w:w="0" w:type="dxa"/>
            <w:right w:w="108" w:type="dxa"/>
          </w:tblCellMar>
        </w:tblPrEx>
        <w:trPr>
          <w:trHeight w:val="725" w:hRule="atLeast"/>
        </w:trPr>
        <w:tc>
          <w:tcPr>
            <w:tcW w:w="1980" w:type="dxa"/>
            <w:tcBorders>
              <w:top w:val="single" w:color="auto" w:sz="4" w:space="0"/>
              <w:left w:val="single" w:color="auto" w:sz="4" w:space="0"/>
              <w:bottom w:val="single" w:color="auto" w:sz="4" w:space="0"/>
              <w:right w:val="single" w:color="auto" w:sz="4" w:space="0"/>
            </w:tcBorders>
          </w:tcPr>
          <w:p w14:paraId="58971033">
            <w:pPr>
              <w:spacing w:line="360" w:lineRule="auto"/>
              <w:jc w:val="left"/>
              <w:rPr>
                <w:rFonts w:hint="eastAsia" w:ascii="宋体" w:hAnsi="宋体" w:cs="黑体"/>
                <w:sz w:val="24"/>
                <w:szCs w:val="18"/>
              </w:rPr>
            </w:pPr>
            <w:r>
              <w:rPr>
                <w:rFonts w:hint="eastAsia" w:ascii="宋体" w:hAnsi="宋体" w:cs="黑体"/>
                <w:sz w:val="24"/>
                <w:szCs w:val="18"/>
              </w:rPr>
              <w:t>检验后样品状态</w:t>
            </w:r>
          </w:p>
        </w:tc>
        <w:tc>
          <w:tcPr>
            <w:tcW w:w="7081" w:type="dxa"/>
            <w:gridSpan w:val="3"/>
            <w:tcBorders>
              <w:top w:val="single" w:color="auto" w:sz="4" w:space="0"/>
              <w:left w:val="single" w:color="auto" w:sz="4" w:space="0"/>
              <w:bottom w:val="single" w:color="auto" w:sz="4" w:space="0"/>
              <w:right w:val="single" w:color="auto" w:sz="4" w:space="0"/>
            </w:tcBorders>
          </w:tcPr>
          <w:p w14:paraId="365554D0">
            <w:pPr>
              <w:spacing w:line="360" w:lineRule="auto"/>
              <w:jc w:val="left"/>
              <w:rPr>
                <w:rFonts w:hint="eastAsia" w:ascii="宋体" w:hAnsi="宋体" w:cs="黑体"/>
                <w:sz w:val="24"/>
                <w:szCs w:val="18"/>
              </w:rPr>
            </w:pPr>
            <w:r>
              <w:rPr>
                <w:rFonts w:hint="eastAsia" w:ascii="宋体" w:hAnsi="宋体" w:cs="黑体"/>
                <w:sz w:val="24"/>
                <w:szCs w:val="18"/>
              </w:rPr>
              <w:t>{{POST_SAMPLE_STATE}}</w:t>
            </w:r>
          </w:p>
          <w:p w14:paraId="02A372B4">
            <w:pPr>
              <w:spacing w:line="360" w:lineRule="auto"/>
              <w:jc w:val="left"/>
              <w:rPr>
                <w:rFonts w:hint="eastAsia" w:ascii="宋体" w:hAnsi="宋体" w:cs="黑体"/>
                <w:sz w:val="24"/>
                <w:szCs w:val="18"/>
              </w:rPr>
            </w:pPr>
            <w:r>
              <w:rPr>
                <w:rFonts w:hint="eastAsia" w:ascii="宋体" w:hAnsi="宋体" w:cs="黑体"/>
                <w:sz w:val="24"/>
                <w:szCs w:val="18"/>
              </w:rPr>
            </w:r>
          </w:p>
          <w:p w14:paraId="53740D46">
            <w:pPr>
              <w:spacing w:line="360" w:lineRule="auto"/>
              <w:jc w:val="left"/>
              <w:rPr>
                <w:rFonts w:hint="eastAsia" w:ascii="宋体" w:hAnsi="宋体" w:cs="黑体"/>
                <w:sz w:val="24"/>
                <w:szCs w:val="18"/>
              </w:rPr>
            </w:pPr>
            <w:r>
              <w:rPr>
                <w:rFonts w:hint="eastAsia" w:ascii="宋体" w:hAnsi="宋体" w:cs="黑体"/>
                <w:sz w:val="24"/>
                <w:szCs w:val="18"/>
              </w:rPr>
            </w:r>
            <w:r>
              <w:rPr>
                <w:rFonts w:hint="eastAsia" w:ascii="宋体" w:hAnsi="宋体" w:cs="黑体"/>
                <w:sz w:val="24"/>
                <w:szCs w:val="18"/>
                <w:lang w:val="en-US" w:eastAsia="zh-CN"/>
              </w:rPr>
            </w:r>
            <w:r>
              <w:rPr>
                <w:rFonts w:hint="eastAsia" w:ascii="宋体" w:hAnsi="宋体" w:cs="黑体"/>
                <w:sz w:val="24"/>
                <w:szCs w:val="18"/>
              </w:rPr>
            </w:r>
          </w:p>
        </w:tc>
      </w:tr>
      <w:tr w14:paraId="5695D670">
        <w:tblPrEx>
          <w:tblCellMar>
            <w:top w:w="0" w:type="dxa"/>
            <w:left w:w="108" w:type="dxa"/>
            <w:bottom w:w="0" w:type="dxa"/>
            <w:right w:w="108" w:type="dxa"/>
          </w:tblCellMar>
        </w:tblPrEx>
        <w:trPr>
          <w:trHeight w:val="725" w:hRule="atLeast"/>
        </w:trPr>
        <w:tc>
          <w:tcPr>
            <w:tcW w:w="1980" w:type="dxa"/>
            <w:tcBorders>
              <w:top w:val="single" w:color="auto" w:sz="4" w:space="0"/>
              <w:left w:val="single" w:color="auto" w:sz="4" w:space="0"/>
              <w:bottom w:val="single" w:color="auto" w:sz="4" w:space="0"/>
              <w:right w:val="single" w:color="auto" w:sz="4" w:space="0"/>
            </w:tcBorders>
          </w:tcPr>
          <w:p w14:paraId="53498C2D">
            <w:pPr>
              <w:spacing w:line="360" w:lineRule="auto"/>
              <w:jc w:val="left"/>
              <w:rPr>
                <w:rFonts w:hint="eastAsia" w:ascii="宋体" w:hAnsi="宋体" w:cs="黑体"/>
                <w:sz w:val="24"/>
                <w:szCs w:val="18"/>
              </w:rPr>
            </w:pPr>
            <w:r>
              <w:rPr>
                <w:rFonts w:hint="eastAsia" w:ascii="宋体" w:hAnsi="宋体" w:cs="黑体"/>
                <w:sz w:val="24"/>
                <w:szCs w:val="18"/>
              </w:rPr>
              <w:t>检验结果</w:t>
            </w:r>
          </w:p>
        </w:tc>
        <w:tc>
          <w:tcPr>
            <w:tcW w:w="7081" w:type="dxa"/>
            <w:gridSpan w:val="3"/>
            <w:tcBorders>
              <w:top w:val="single" w:color="auto" w:sz="4" w:space="0"/>
              <w:left w:val="single" w:color="auto" w:sz="4" w:space="0"/>
              <w:bottom w:val="single" w:color="auto" w:sz="4" w:space="0"/>
              <w:right w:val="single" w:color="auto" w:sz="4" w:space="0"/>
            </w:tcBorders>
          </w:tcPr>
          <w:p w14:paraId="47937C47">
            <w:pPr>
              <w:spacing w:line="360" w:lineRule="auto"/>
              <w:jc w:val="left"/>
              <w:rPr>
                <w:rFonts w:hint="eastAsia" w:ascii="宋体" w:hAnsi="宋体" w:cs="黑体"/>
                <w:sz w:val="24"/>
                <w:szCs w:val="18"/>
              </w:rPr>
            </w:pPr>
            <w:r>
              <w:rPr>
                <w:rFonts w:hint="eastAsia" w:ascii="宋体" w:hAnsi="宋体" w:cs="黑体"/>
                <w:sz w:val="24"/>
                <w:szCs w:val="18"/>
              </w:rPr>
              <w:t>{{SUMMARY}}</w:t>
            </w:r>
          </w:p>
        </w:tc>
      </w:tr>
      <w:tr w14:paraId="02F19C39">
        <w:tblPrEx>
          <w:tblCellMar>
            <w:top w:w="0" w:type="dxa"/>
            <w:left w:w="108" w:type="dxa"/>
            <w:bottom w:w="0" w:type="dxa"/>
            <w:right w:w="108" w:type="dxa"/>
          </w:tblCellMar>
        </w:tblPrEx>
        <w:trPr>
          <w:trHeight w:val="725" w:hRule="atLeast"/>
        </w:trPr>
        <w:tc>
          <w:tcPr>
            <w:tcW w:w="1980" w:type="dxa"/>
            <w:tcBorders>
              <w:top w:val="single" w:color="auto" w:sz="4" w:space="0"/>
              <w:left w:val="single" w:color="auto" w:sz="4" w:space="0"/>
              <w:bottom w:val="single" w:color="auto" w:sz="4" w:space="0"/>
              <w:right w:val="single" w:color="auto" w:sz="4" w:space="0"/>
            </w:tcBorders>
          </w:tcPr>
          <w:p w14:paraId="4D506364">
            <w:pPr>
              <w:spacing w:line="360" w:lineRule="auto"/>
              <w:jc w:val="left"/>
              <w:rPr>
                <w:rFonts w:hint="eastAsia" w:ascii="宋体" w:hAnsi="宋体" w:cs="黑体"/>
                <w:sz w:val="24"/>
                <w:szCs w:val="18"/>
              </w:rPr>
            </w:pPr>
            <w:r>
              <w:rPr>
                <w:rFonts w:hint="eastAsia" w:ascii="宋体" w:hAnsi="宋体" w:cs="黑体"/>
                <w:sz w:val="24"/>
                <w:szCs w:val="18"/>
              </w:rPr>
              <w:t>备注</w:t>
            </w:r>
          </w:p>
        </w:tc>
        <w:tc>
          <w:tcPr>
            <w:tcW w:w="7081" w:type="dxa"/>
            <w:gridSpan w:val="3"/>
            <w:tcBorders>
              <w:top w:val="single" w:color="auto" w:sz="4" w:space="0"/>
              <w:left w:val="single" w:color="auto" w:sz="4" w:space="0"/>
              <w:bottom w:val="single" w:color="auto" w:sz="4" w:space="0"/>
              <w:right w:val="single" w:color="auto" w:sz="4" w:space="0"/>
            </w:tcBorders>
          </w:tcPr>
          <w:p w14:paraId="2001DFC0">
            <w:pPr>
              <w:spacing w:line="360" w:lineRule="auto"/>
              <w:jc w:val="left"/>
              <w:rPr>
                <w:rFonts w:hint="eastAsia" w:ascii="宋体" w:hAnsi="宋体" w:cs="黑体"/>
                <w:sz w:val="24"/>
                <w:szCs w:val="18"/>
              </w:rPr>
            </w:pPr>
            <w:r>
              <w:rPr>
                <w:rFonts w:hint="eastAsia" w:ascii="黑体" w:hAnsi="黑体" w:eastAsia="黑体" w:cs="黑体"/>
                <w:color w:val="000000"/>
                <w:sz w:val="22"/>
              </w:rPr>
              <w:t>{{GENERAL_NOTE}}</w:t>
            </w:r>
          </w:p>
        </w:tc>
      </w:tr>
    </w:tbl>
    <w:p w14:paraId="0A02F786">
      <w:pPr>
        <w:tabs>
          <w:tab w:val="left" w:pos="720"/>
        </w:tabs>
        <w:spacing w:before="120" w:after="120"/>
        <w:rPr>
          <w:rFonts w:hint="eastAsia" w:ascii="宋体" w:hAnsi="宋体" w:cs="黑体"/>
          <w:sz w:val="24"/>
          <w:szCs w:val="21"/>
        </w:rPr>
      </w:pPr>
      <w:r>
        <w:rPr>
          <w:rFonts w:hint="eastAsia" w:ascii="宋体" w:hAnsi="宋体" w:eastAsia="宋体" w:cs="黑体"/>
          <w:sz w:val="24"/>
          <w:szCs w:val="21"/>
          <w:lang w:eastAsia="zh-CN"/>
        </w:rPr>
        <w:drawing>
          <wp:anchor distT="0" distB="0" distL="114300" distR="114300" simplePos="0" relativeHeight="251660288" behindDoc="0" locked="0" layoutInCell="1" allowOverlap="1">
            <wp:simplePos x="0" y="0"/>
            <wp:positionH relativeFrom="column">
              <wp:posOffset>801370</wp:posOffset>
            </wp:positionH>
            <wp:positionV relativeFrom="paragraph">
              <wp:posOffset>250190</wp:posOffset>
            </wp:positionV>
            <wp:extent cx="622300" cy="311150"/>
            <wp:effectExtent l="0" t="0" r="2540" b="8890"/>
            <wp:wrapNone/>
            <wp:docPr id="1" name="图片 1" descr="0fd7ad01e44896a2238dc6980185dc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fd7ad01e44896a2238dc6980185dcab"/>
                    <pic:cNvPicPr>
                      <a:picLocks noChangeAspect="1"/>
                    </pic:cNvPicPr>
                  </pic:nvPicPr>
                  <pic:blipFill>
                    <a:blip r:embed="rId10"/>
                    <a:stretch>
                      <a:fillRect/>
                    </a:stretch>
                  </pic:blipFill>
                  <pic:spPr>
                    <a:xfrm>
                      <a:off x="0" y="0"/>
                      <a:ext cx="622300" cy="311150"/>
                    </a:xfrm>
                    <a:prstGeom prst="rect">
                      <a:avLst/>
                    </a:prstGeom>
                  </pic:spPr>
                </pic:pic>
              </a:graphicData>
            </a:graphic>
          </wp:anchor>
        </w:drawing>
      </w:r>
    </w:p>
    <w:p w14:paraId="2B15FBA3">
      <w:pPr>
        <w:tabs>
          <w:tab w:val="left" w:pos="720"/>
        </w:tabs>
        <w:spacing w:before="120" w:after="120"/>
        <w:rPr>
          <w:rFonts w:hint="eastAsia" w:ascii="宋体" w:hAnsi="宋体" w:cs="黑体"/>
          <w:sz w:val="24"/>
          <w:szCs w:val="21"/>
        </w:rPr>
      </w:pPr>
      <w:r>
        <w:rPr>
          <w:color w:val="auto"/>
          <w:highlight w:val="none"/>
        </w:rPr>
        <w:t>主检人：</w:t>
      </w:r>
      <w:r>
        <w:rPr>
          <w:rFonts w:hint="eastAsia" w:ascii="宋体" w:hAnsi="宋体" w:cs="黑体"/>
          <w:sz w:val="24"/>
          <w:szCs w:val="21"/>
        </w:rPr>
      </w:r>
    </w:p>
    <w:p w14:paraId="63605445">
      <w:pPr>
        <w:tabs>
          <w:tab w:val="left" w:pos="720"/>
        </w:tabs>
        <w:spacing w:before="120" w:after="120"/>
        <w:ind w:firstLine="240" w:firstLineChars="100"/>
        <w:rPr>
          <w:rFonts w:hint="eastAsia" w:ascii="宋体" w:hAnsi="宋体" w:cs="黑体"/>
          <w:sz w:val="24"/>
          <w:szCs w:val="21"/>
        </w:rPr>
      </w:pPr>
      <w:r>
        <w:rPr>
          <w:rFonts w:hint="eastAsia" w:ascii="宋体" w:hAnsi="宋体" w:cs="黑体"/>
          <w:sz w:val="24"/>
          <w:szCs w:val="21"/>
        </w:rPr>
        <w:t>审核人：</w:t>
      </w:r>
    </w:p>
    <w:p w14:paraId="566F66EF">
      <w:pPr>
        <w:rPr>
          <w:rFonts w:hint="eastAsia" w:ascii="宋体" w:hAnsi="宋体" w:cs="黑体"/>
          <w:sz w:val="24"/>
          <w:szCs w:val="21"/>
        </w:rPr>
      </w:pPr>
      <w:r>
        <w:rPr>
          <w:rFonts w:hint="eastAsia" w:ascii="宋体" w:hAnsi="宋体" w:cs="黑体"/>
          <w:sz w:val="24"/>
          <w:szCs w:val="21"/>
        </w:rPr>
        <w:br w:type="page"/>
      </w:r>
    </w:p>
    <w:p w14:paraId="2914F403">
      <w:pPr>
        <w:spacing w:line="360" w:lineRule="auto"/>
        <w:jc w:val="center"/>
        <w:rPr>
          <w:rFonts w:hint="eastAsia" w:ascii="宋体" w:hAnsi="宋体" w:cs="黑体"/>
          <w:sz w:val="36"/>
          <w:szCs w:val="36"/>
        </w:rPr>
      </w:pPr>
      <w:r>
        <w:rPr>
          <w:rFonts w:hint="eastAsia" w:ascii="宋体" w:hAnsi="宋体" w:cs="黑体"/>
          <w:b/>
          <w:bCs/>
          <w:sz w:val="36"/>
          <w:szCs w:val="36"/>
        </w:rPr>
        <w:t>检 验 样 品 描 述</w:t>
      </w:r>
    </w:p>
    <w:p w14:paraId="29A33D26">
      <w:pPr>
        <w:spacing w:line="360" w:lineRule="auto"/>
        <w:ind w:left="1200" w:hanging="1200" w:hangingChars="500"/>
        <w:rPr>
          <w:rFonts w:hint="eastAsia" w:ascii="黑体" w:hAnsi="黑体" w:eastAsia="黑体" w:cs="黑体"/>
          <w:color w:val="000000"/>
          <w:sz w:val="24"/>
        </w:rPr>
      </w:pPr>
      <w:r>
        <w:rPr>
          <w:rFonts w:hint="eastAsia" w:ascii="黑体" w:hAnsi="黑体" w:eastAsia="黑体" w:cs="黑体"/>
          <w:color w:val="000000"/>
          <w:sz w:val="24"/>
        </w:rPr>
        <w:t>产品描述：{{PRODUCT_DESCRIPTION}}</w:t>
      </w:r>
    </w:p>
    <w:p w14:paraId="766DA92D">
      <w:pPr>
        <w:widowControl/>
        <w:shd w:val="clear" w:color="auto" w:fill="FFFFFF"/>
        <w:spacing w:before="192" w:after="60" w:line="300" w:lineRule="auto"/>
        <w:ind w:firstLine="105" w:firstLineChars="50"/>
        <w:rPr>
          <w:rFonts w:ascii="Open Sans" w:hAnsi="Open Sans" w:cs="Open Sans"/>
          <w:color w:val="333333"/>
          <w:kern w:val="0"/>
          <w:sz w:val="24"/>
        </w:rPr>
      </w:pPr>
      <w:r>
        <w:rPr>
          <w:rFonts w:ascii="宋体" w:hAnsi="宋体" w:cs="Open Sans"/>
          <w:color w:val="333333"/>
          <w:kern w:val="0"/>
        </w:rPr>
        <w:t>{{PRODUCT_DESCRIPTION}}</w:t>
      </w:r>
    </w:p>
    <w:p w14:paraId="68002366">
      <w:pPr>
        <w:pageBreakBefore/>
        <w:spacing w:line="360" w:lineRule="auto"/>
        <w:jc w:val="center"/>
        <w:outlineLvl w:val="0"/>
        <w:rPr>
          <w:rFonts w:hint="eastAsia" w:ascii="宋体" w:hAnsi="宋体" w:cs="黑体"/>
          <w:b/>
          <w:bCs/>
          <w:sz w:val="36"/>
          <w:szCs w:val="36"/>
        </w:rPr>
      </w:pPr>
      <w:r>
        <w:rPr>
          <w:rFonts w:hint="eastAsia" w:ascii="宋体" w:hAnsi="宋体" w:cs="黑体"/>
          <w:b/>
          <w:bCs/>
          <w:sz w:val="36"/>
          <w:szCs w:val="36"/>
        </w:rPr>
        <w:t>样品照片</w:t>
      </w:r>
    </w:p>
    <w:p w14:paraId="685AEA3A">
      <w:pPr>
        <w:spacing w:line="360" w:lineRule="auto"/>
        <w:rPr>
          <w:rFonts w:hint="eastAsia" w:ascii="宋体" w:hAnsi="宋体" w:cs="黑体"/>
          <w:sz w:val="28"/>
        </w:rPr>
      </w:pPr>
      <w:r>
        <w:rPr>
          <w:rFonts w:hint="eastAsia" w:ascii="宋体" w:hAnsi="宋体" w:cs="黑体"/>
          <w:sz w:val="28"/>
        </w:rPr>
        <w:t>拍摄地点：{{PHOTO_LOCATION}}</w:t>
      </w:r>
      <w:r>
        <w:rPr>
          <w:rFonts w:ascii="宋体" w:hAnsi="宋体" w:cs="黑体"/>
          <w:sz w:val="28"/>
        </w:rPr>
      </w:r>
    </w:p>
    <w:p w14:paraId="02D89BAD">
      <w:pPr>
        <w:spacing w:line="360" w:lineRule="auto"/>
        <w:rPr>
          <w:rFonts w:hint="eastAsia" w:ascii="宋体" w:hAnsi="宋体" w:cs="黑体"/>
          <w:b/>
          <w:bCs/>
          <w:sz w:val="36"/>
          <w:szCs w:val="36"/>
        </w:rPr>
      </w:pPr>
      <w:r>
        <w:rPr>
          <w:rFonts w:hint="eastAsia" w:ascii="宋体" w:hAnsi="宋体" w:cs="黑体"/>
          <w:sz w:val="28"/>
        </w:rPr>
        <w:t>拍摄时间：{{PHOTO_DATE}}</w:t>
      </w:r>
      <w:r>
        <w:rPr>
          <w:rFonts w:ascii="宋体" w:hAnsi="宋体" w:cs="黑体"/>
          <w:sz w:val="28"/>
        </w:rPr>
      </w:r>
      <w:r>
        <w:rPr>
          <w:rFonts w:hint="eastAsia" w:ascii="宋体" w:hAnsi="宋体" w:cs="黑体"/>
          <w:sz w:val="28"/>
          <w:lang w:val="en-US" w:eastAsia="zh-CN"/>
        </w:rPr>
      </w:r>
      <w:r>
        <w:rPr>
          <w:rFonts w:ascii="宋体" w:hAnsi="宋体" w:cs="黑体"/>
          <w:sz w:val="28"/>
        </w:rPr>
      </w:r>
      <w:r>
        <w:rPr>
          <w:rFonts w:hint="eastAsia" w:ascii="宋体" w:hAnsi="宋体" w:cs="黑体"/>
          <w:sz w:val="28"/>
          <w:lang w:val="en-US" w:eastAsia="zh-CN"/>
        </w:rPr>
      </w:r>
      <w:r>
        <w:rPr>
          <w:rFonts w:hint="eastAsia" w:ascii="宋体" w:hAnsi="宋体" w:cs="黑体"/>
          <w:sz w:val="28"/>
        </w:rPr>
      </w:r>
    </w:p>
    <w:tbl>
      <w:tblPr>
        <w:tblStyle w:val="9"/>
        <w:tblW w:w="9286" w:type="dxa"/>
        <w:tblInd w:w="-298" w:type="dxa"/>
        <w:tblLayout w:type="fixed"/>
        <w:tblCellMar>
          <w:top w:w="0" w:type="dxa"/>
          <w:left w:w="108" w:type="dxa"/>
          <w:bottom w:w="0" w:type="dxa"/>
          <w:right w:w="108" w:type="dxa"/>
        </w:tblCellMar>
      </w:tblPr>
      <w:tblGrid>
        <w:gridCol w:w="9286"/>
      </w:tblGrid>
      <w:tr w14:paraId="1AA94BEA">
        <w:tblPrEx>
          <w:tblCellMar>
            <w:top w:w="0" w:type="dxa"/>
            <w:left w:w="108" w:type="dxa"/>
            <w:bottom w:w="0" w:type="dxa"/>
            <w:right w:w="108" w:type="dxa"/>
          </w:tblCellMar>
        </w:tblPrEx>
        <w:trPr>
          <w:cantSplit/>
        </w:trPr>
        <w:tc>
          <w:tcPr>
            <w:tcW w:w="9286" w:type="dxa"/>
          </w:tcPr>
          <w:p w14:paraId="4AD8DED7">
            <w:pPr>
              <w:tabs>
                <w:tab w:val="left" w:pos="-64"/>
              </w:tabs>
              <w:adjustRightInd w:val="0"/>
              <w:snapToGrid w:val="0"/>
              <w:spacing w:line="312" w:lineRule="auto"/>
              <w:rPr>
                <w:rFonts w:hint="eastAsia" w:ascii="黑体" w:hAnsi="黑体" w:eastAsia="黑体" w:cs="黑体"/>
                <w:b/>
                <w:color w:val="000000"/>
                <w:sz w:val="36"/>
              </w:rPr>
            </w:pPr>
          </w:p>
          <w:p w14:paraId="7CE9B146">
            <w:pPr>
              <w:jc w:val="center"/>
              <w:rPr>
                <w:rFonts w:hint="eastAsia" w:ascii="黑体" w:hAnsi="黑体" w:eastAsia="黑体" w:cs="黑体"/>
                <w:color w:val="000000"/>
                <w:sz w:val="28"/>
              </w:rPr>
            </w:pPr>
            <w:r>
              <w:rPr>
                <w:rFonts w:ascii="Open Sans" w:hAnsi="Open Sans" w:cs="Open Sans"/>
                <w:color w:val="333333"/>
                <w:kern w:val="0"/>
                <w:sz w:val="24"/>
              </w:rPr>
              <w:t>图1：样品照片由企业随检验材料提供</w:t>
            </w:r>
          </w:p>
          <w:p w14:paraId="2C42D31A">
            <w:pPr>
              <w:jc w:val="center"/>
              <w:rPr>
                <w:rFonts w:hint="eastAsia" w:ascii="黑体" w:hAnsi="黑体" w:eastAsia="黑体" w:cs="黑体"/>
                <w:color w:val="000000"/>
                <w:sz w:val="28"/>
              </w:rPr>
            </w:pPr>
            <w:r>
              <w:rPr>
                <w:rFonts w:hint="eastAsia" w:ascii="黑体" w:hAnsi="黑体" w:eastAsia="黑体" w:cs="黑体"/>
                <w:color w:val="000000"/>
                <w:sz w:val="28"/>
              </w:rPr>
            </w:r>
          </w:p>
        </w:tc>
      </w:tr>
    </w:tbl>
    <w:p w14:paraId="0FB26E7A">
      <w:pPr>
        <w:ind w:left="-6"/>
        <w:jc w:val="center"/>
        <w:outlineLvl w:val="0"/>
        <w:rPr>
          <w:rFonts w:hint="eastAsia" w:ascii="宋体" w:hAnsi="宋体" w:cs="黑体"/>
          <w:b/>
          <w:sz w:val="36"/>
        </w:rPr>
      </w:pPr>
    </w:p>
    <w:p w14:paraId="306160BF">
      <w:pPr>
        <w:ind w:left="-6"/>
        <w:jc w:val="center"/>
        <w:outlineLvl w:val="0"/>
        <w:rPr>
          <w:rFonts w:hint="eastAsia" w:ascii="宋体" w:hAnsi="宋体" w:cs="黑体"/>
          <w:b/>
          <w:sz w:val="36"/>
        </w:rPr>
      </w:pPr>
    </w:p>
    <w:p w14:paraId="7B86B8B0">
      <w:pPr>
        <w:ind w:left="-6"/>
        <w:jc w:val="center"/>
        <w:outlineLvl w:val="0"/>
        <w:rPr>
          <w:rFonts w:hint="eastAsia" w:ascii="宋体" w:hAnsi="宋体" w:cs="黑体"/>
          <w:b/>
          <w:sz w:val="36"/>
        </w:rPr>
      </w:pPr>
    </w:p>
    <w:p w14:paraId="0B4FCE0D">
      <w:pPr>
        <w:ind w:left="-6"/>
        <w:jc w:val="center"/>
        <w:outlineLvl w:val="0"/>
        <w:rPr>
          <w:rFonts w:hint="eastAsia" w:ascii="宋体" w:hAnsi="宋体" w:cs="黑体"/>
          <w:b/>
          <w:sz w:val="36"/>
        </w:rPr>
      </w:pPr>
    </w:p>
    <w:p w14:paraId="1DD19F49">
      <w:pPr>
        <w:ind w:left="-6"/>
        <w:jc w:val="center"/>
        <w:outlineLvl w:val="0"/>
        <w:rPr>
          <w:rFonts w:hint="eastAsia" w:ascii="宋体" w:hAnsi="宋体" w:cs="黑体"/>
          <w:b/>
          <w:sz w:val="36"/>
        </w:rPr>
      </w:pPr>
    </w:p>
    <w:p w14:paraId="41DD1758">
      <w:pPr>
        <w:ind w:left="-6"/>
        <w:jc w:val="center"/>
        <w:outlineLvl w:val="0"/>
        <w:rPr>
          <w:rFonts w:hint="eastAsia" w:ascii="宋体" w:hAnsi="宋体" w:cs="黑体"/>
          <w:b/>
          <w:sz w:val="36"/>
        </w:rPr>
      </w:pPr>
    </w:p>
    <w:p w14:paraId="69A8F4F5">
      <w:pPr>
        <w:ind w:left="-6"/>
        <w:jc w:val="center"/>
        <w:outlineLvl w:val="0"/>
        <w:rPr>
          <w:rFonts w:hint="eastAsia" w:ascii="宋体" w:hAnsi="宋体" w:cs="黑体"/>
          <w:b/>
          <w:sz w:val="36"/>
        </w:rPr>
      </w:pPr>
    </w:p>
    <w:p w14:paraId="17767BD5">
      <w:pPr>
        <w:ind w:left="-6"/>
        <w:jc w:val="center"/>
        <w:outlineLvl w:val="0"/>
        <w:rPr>
          <w:rFonts w:hint="eastAsia" w:ascii="宋体" w:hAnsi="宋体" w:cs="黑体"/>
          <w:b/>
          <w:sz w:val="36"/>
        </w:rPr>
      </w:pPr>
    </w:p>
    <w:p w14:paraId="47DBDECE">
      <w:pPr>
        <w:ind w:left="-6"/>
        <w:jc w:val="center"/>
        <w:outlineLvl w:val="0"/>
        <w:rPr>
          <w:rFonts w:hint="eastAsia" w:ascii="宋体" w:hAnsi="宋体" w:cs="黑体"/>
          <w:b/>
          <w:sz w:val="36"/>
        </w:rPr>
      </w:pPr>
      <w:r>
        <w:rPr>
          <w:rFonts w:hint="eastAsia" w:ascii="宋体" w:hAnsi="宋体" w:cs="黑体"/>
          <w:b/>
          <w:sz w:val="36"/>
        </w:rPr>
        <w:t>检验用仪表设备</w:t>
      </w:r>
    </w:p>
    <w:p w14:paraId="58FF5981">
      <w:pPr>
        <w:pStyle w:val="7"/>
        <w:ind w:firstLine="28"/>
        <w:rPr>
          <w:rFonts w:hint="eastAsia" w:ascii="宋体" w:hAnsi="宋体" w:cs="黑体"/>
          <w:sz w:val="10"/>
          <w:szCs w:val="4"/>
        </w:rPr>
      </w:pPr>
    </w:p>
    <w:tbl>
      <w:tblPr>
        <w:tblStyle w:val="9"/>
        <w:tblW w:w="83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7"/>
        <w:gridCol w:w="1262"/>
        <w:gridCol w:w="1042"/>
        <w:gridCol w:w="1300"/>
        <w:gridCol w:w="1458"/>
        <w:gridCol w:w="1424"/>
        <w:gridCol w:w="1058"/>
      </w:tblGrid>
      <w:tr w14:paraId="2AA25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vAlign w:val="center"/>
          </w:tcPr>
          <w:p w14:paraId="57198D71">
            <w:pPr>
              <w:jc w:val="center"/>
              <w:rPr>
                <w:rFonts w:hint="eastAsia" w:ascii="宋体" w:hAnsi="宋体" w:cs="黑体"/>
                <w:sz w:val="24"/>
              </w:rPr>
            </w:pPr>
            <w:r>
              <w:rPr>
                <w:rFonts w:hint="eastAsia" w:ascii="宋体" w:hAnsi="宋体" w:cs="黑体"/>
                <w:sz w:val="24"/>
              </w:rPr>
              <w:t>序号</w:t>
            </w:r>
          </w:p>
        </w:tc>
        <w:tc>
          <w:tcPr>
            <w:tcW w:w="1262" w:type="dxa"/>
            <w:vAlign w:val="center"/>
          </w:tcPr>
          <w:p w14:paraId="0A541141">
            <w:pPr>
              <w:jc w:val="center"/>
              <w:rPr>
                <w:rFonts w:hint="eastAsia" w:ascii="宋体" w:hAnsi="宋体" w:cs="黑体"/>
                <w:sz w:val="24"/>
              </w:rPr>
            </w:pPr>
            <w:r>
              <w:rPr>
                <w:rFonts w:hint="eastAsia" w:ascii="宋体" w:hAnsi="宋体" w:cs="黑体"/>
                <w:sz w:val="24"/>
              </w:rPr>
              <w:t>仪表名称</w:t>
            </w:r>
          </w:p>
        </w:tc>
        <w:tc>
          <w:tcPr>
            <w:tcW w:w="1042" w:type="dxa"/>
            <w:vAlign w:val="center"/>
          </w:tcPr>
          <w:p w14:paraId="56269EFD">
            <w:pPr>
              <w:jc w:val="center"/>
              <w:rPr>
                <w:rFonts w:hint="eastAsia" w:ascii="宋体" w:hAnsi="宋体" w:cs="黑体"/>
                <w:sz w:val="24"/>
              </w:rPr>
            </w:pPr>
            <w:r>
              <w:rPr>
                <w:rFonts w:hint="eastAsia" w:ascii="宋体" w:hAnsi="宋体" w:cs="黑体"/>
                <w:sz w:val="24"/>
              </w:rPr>
              <w:t>型号</w:t>
            </w:r>
          </w:p>
        </w:tc>
        <w:tc>
          <w:tcPr>
            <w:tcW w:w="1300" w:type="dxa"/>
            <w:vAlign w:val="center"/>
          </w:tcPr>
          <w:p w14:paraId="22AE287A">
            <w:pPr>
              <w:jc w:val="center"/>
              <w:rPr>
                <w:rFonts w:hint="eastAsia" w:ascii="宋体" w:hAnsi="宋体" w:cs="黑体"/>
                <w:sz w:val="24"/>
              </w:rPr>
            </w:pPr>
            <w:r>
              <w:rPr>
                <w:rFonts w:hint="eastAsia" w:ascii="宋体" w:hAnsi="宋体" w:cs="黑体"/>
                <w:sz w:val="24"/>
              </w:rPr>
              <w:t>生产厂家</w:t>
            </w:r>
          </w:p>
        </w:tc>
        <w:tc>
          <w:tcPr>
            <w:tcW w:w="1458" w:type="dxa"/>
            <w:vAlign w:val="center"/>
          </w:tcPr>
          <w:p w14:paraId="0E539EA0">
            <w:pPr>
              <w:jc w:val="center"/>
              <w:rPr>
                <w:rFonts w:hint="eastAsia" w:ascii="宋体" w:hAnsi="宋体" w:cs="黑体"/>
                <w:sz w:val="24"/>
              </w:rPr>
            </w:pPr>
            <w:r>
              <w:rPr>
                <w:rFonts w:hint="eastAsia" w:ascii="宋体" w:hAnsi="宋体" w:cs="黑体"/>
                <w:sz w:val="24"/>
              </w:rPr>
              <w:t>出厂编号</w:t>
            </w:r>
          </w:p>
        </w:tc>
        <w:tc>
          <w:tcPr>
            <w:tcW w:w="1424" w:type="dxa"/>
            <w:vAlign w:val="center"/>
          </w:tcPr>
          <w:p w14:paraId="38F90C7C">
            <w:pPr>
              <w:jc w:val="center"/>
              <w:rPr>
                <w:rFonts w:hint="eastAsia" w:ascii="宋体" w:hAnsi="宋体" w:cs="黑体"/>
                <w:sz w:val="24"/>
              </w:rPr>
            </w:pPr>
            <w:r>
              <w:rPr>
                <w:rFonts w:hint="eastAsia" w:ascii="宋体" w:hAnsi="宋体" w:cs="黑体"/>
                <w:b/>
                <w:bCs/>
                <w:sz w:val="24"/>
              </w:rPr>
              <w:t>硬件平台（序列号/出厂编码）</w:t>
            </w:r>
          </w:p>
        </w:tc>
        <w:tc>
          <w:tcPr>
            <w:tcW w:w="1058" w:type="dxa"/>
            <w:vAlign w:val="center"/>
          </w:tcPr>
          <w:p w14:paraId="4560B8E7">
            <w:pPr>
              <w:jc w:val="center"/>
              <w:rPr>
                <w:rFonts w:hint="eastAsia" w:ascii="宋体" w:hAnsi="宋体" w:cs="黑体"/>
                <w:sz w:val="24"/>
              </w:rPr>
            </w:pPr>
            <w:r>
              <w:rPr>
                <w:rFonts w:hint="eastAsia" w:ascii="宋体" w:hAnsi="宋体" w:cs="黑体"/>
                <w:sz w:val="24"/>
              </w:rPr>
              <w:t>使用前后状态</w:t>
            </w:r>
          </w:p>
        </w:tc>
      </w:tr>
      <w:tr w14:paraId="55C9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vAlign w:val="center"/>
          </w:tcPr>
          <w:p w14:paraId="30F72A59">
            <w:pPr>
              <w:jc w:val="center"/>
              <w:rPr>
                <w:rFonts w:hint="eastAsia" w:ascii="宋体" w:hAnsi="宋体" w:cs="黑体"/>
                <w:sz w:val="24"/>
              </w:rPr>
            </w:pPr>
            <w:r>
              <w:rPr>
                <w:rFonts w:hint="eastAsia" w:ascii="宋体" w:hAnsi="宋体" w:cs="黑体"/>
                <w:sz w:val="24"/>
              </w:rPr>
              <w:t>1</w:t>
            </w:r>
          </w:p>
        </w:tc>
        <w:tc>
          <w:tcPr>
            <w:tcW w:w="1262" w:type="dxa"/>
            <w:vAlign w:val="center"/>
          </w:tcPr>
          <w:p w14:paraId="1520595F">
            <w:pPr>
              <w:jc w:val="center"/>
              <w:rPr>
                <w:rFonts w:hint="eastAsia" w:ascii="宋体" w:hAnsi="宋体" w:cs="黑体"/>
                <w:sz w:val="24"/>
              </w:rPr>
            </w:pPr>
            <w:r>
              <w:rPr>
                <w:rFonts w:hint="eastAsia" w:ascii="宋体" w:hAnsi="宋体" w:cs="黑体"/>
                <w:sz w:val="24"/>
              </w:rPr>
              <w:t>笔记本电脑终端</w:t>
            </w:r>
          </w:p>
        </w:tc>
        <w:tc>
          <w:tcPr>
            <w:tcW w:w="1042" w:type="dxa"/>
            <w:vAlign w:val="center"/>
          </w:tcPr>
          <w:p w14:paraId="15115E77">
            <w:pPr>
              <w:jc w:val="center"/>
              <w:rPr>
                <w:rFonts w:hint="eastAsia" w:ascii="宋体" w:hAnsi="宋体" w:cs="黑体"/>
                <w:sz w:val="24"/>
              </w:rPr>
            </w:pPr>
            <w:r>
              <w:rPr>
                <w:rFonts w:hint="eastAsia" w:ascii="宋体" w:hAnsi="宋体" w:cs="黑体"/>
                <w:sz w:val="24"/>
              </w:rPr>
              <w:t>ThinkPad T14p 2023款（00CD）</w:t>
            </w:r>
          </w:p>
        </w:tc>
        <w:tc>
          <w:tcPr>
            <w:tcW w:w="1300" w:type="dxa"/>
            <w:vAlign w:val="center"/>
          </w:tcPr>
          <w:p w14:paraId="5661C39C">
            <w:pPr>
              <w:jc w:val="center"/>
              <w:rPr>
                <w:rFonts w:hint="eastAsia" w:ascii="宋体" w:hAnsi="宋体" w:cs="黑体"/>
                <w:sz w:val="24"/>
              </w:rPr>
            </w:pPr>
            <w:r>
              <w:rPr>
                <w:rFonts w:hint="eastAsia" w:ascii="宋体" w:hAnsi="宋体" w:cs="黑体"/>
                <w:sz w:val="24"/>
              </w:rPr>
              <w:t>联想</w:t>
            </w:r>
          </w:p>
        </w:tc>
        <w:tc>
          <w:tcPr>
            <w:tcW w:w="1458" w:type="dxa"/>
            <w:vAlign w:val="center"/>
          </w:tcPr>
          <w:p w14:paraId="7F9A2357">
            <w:pPr>
              <w:jc w:val="center"/>
              <w:rPr>
                <w:rFonts w:hint="eastAsia" w:ascii="宋体" w:hAnsi="宋体" w:cs="黑体"/>
                <w:sz w:val="24"/>
              </w:rPr>
            </w:pPr>
            <w:r>
              <w:rPr>
                <w:rFonts w:hint="eastAsia" w:ascii="宋体" w:hAnsi="宋体" w:cs="黑体"/>
                <w:sz w:val="24"/>
              </w:rPr>
              <w:t>PF4J36F2</w:t>
            </w:r>
          </w:p>
        </w:tc>
        <w:tc>
          <w:tcPr>
            <w:tcW w:w="1424" w:type="dxa"/>
            <w:vAlign w:val="center"/>
          </w:tcPr>
          <w:p w14:paraId="574AC17B">
            <w:pPr>
              <w:jc w:val="center"/>
              <w:rPr>
                <w:rFonts w:hint="eastAsia" w:ascii="宋体" w:hAnsi="宋体" w:cs="黑体"/>
                <w:sz w:val="24"/>
              </w:rPr>
            </w:pPr>
            <w:r>
              <w:rPr>
                <w:rFonts w:hint="eastAsia" w:ascii="宋体" w:hAnsi="宋体" w:cs="黑体"/>
                <w:sz w:val="24"/>
              </w:rPr>
              <w:t>DX231120ZJW02</w:t>
            </w:r>
          </w:p>
        </w:tc>
        <w:tc>
          <w:tcPr>
            <w:tcW w:w="1058" w:type="dxa"/>
            <w:vAlign w:val="center"/>
          </w:tcPr>
          <w:p w14:paraId="69ED75B4">
            <w:pPr>
              <w:jc w:val="center"/>
              <w:rPr>
                <w:rFonts w:hint="eastAsia" w:ascii="宋体" w:hAnsi="宋体" w:cs="黑体"/>
                <w:sz w:val="24"/>
              </w:rPr>
            </w:pPr>
            <w:r>
              <w:rPr>
                <w:rFonts w:hint="eastAsia" w:ascii="宋体" w:hAnsi="宋体" w:cs="黑体"/>
                <w:sz w:val="24"/>
              </w:rPr>
              <w:t>正常</w:t>
            </w:r>
          </w:p>
        </w:tc>
      </w:tr>
    </w:tbl>
    <w:p w14:paraId="2D908978"/>
    <w:p w14:paraId="1CF69304">
      <w:pPr>
        <w:spacing w:line="360" w:lineRule="auto"/>
        <w:jc w:val="center"/>
        <w:rPr>
          <w:rFonts w:hint="eastAsia" w:ascii="宋体" w:hAnsi="宋体" w:cs="黑体"/>
          <w:sz w:val="24"/>
          <w:szCs w:val="18"/>
        </w:rPr>
      </w:pPr>
    </w:p>
    <w:p w14:paraId="3A72D2CD">
      <w:pPr>
        <w:spacing w:line="360" w:lineRule="auto"/>
        <w:jc w:val="center"/>
        <w:rPr>
          <w:rFonts w:hint="eastAsia" w:ascii="宋体" w:hAnsi="宋体" w:cs="黑体"/>
          <w:sz w:val="24"/>
          <w:szCs w:val="18"/>
        </w:rPr>
      </w:pPr>
    </w:p>
    <w:p w14:paraId="620DCDD9">
      <w:pPr>
        <w:spacing w:line="360" w:lineRule="auto"/>
        <w:jc w:val="center"/>
        <w:rPr>
          <w:rFonts w:hint="eastAsia" w:ascii="宋体" w:hAnsi="宋体" w:cs="黑体"/>
          <w:sz w:val="24"/>
          <w:szCs w:val="18"/>
        </w:rPr>
      </w:pPr>
    </w:p>
    <w:p w14:paraId="469EF3B2">
      <w:pPr>
        <w:spacing w:line="360" w:lineRule="auto"/>
        <w:jc w:val="center"/>
        <w:rPr>
          <w:rFonts w:hint="eastAsia" w:ascii="宋体" w:hAnsi="宋体" w:cs="黑体"/>
          <w:sz w:val="24"/>
          <w:szCs w:val="18"/>
        </w:rPr>
      </w:pPr>
    </w:p>
    <w:p w14:paraId="5AF7C2C9">
      <w:pPr>
        <w:spacing w:line="360" w:lineRule="auto"/>
        <w:jc w:val="center"/>
        <w:rPr>
          <w:rFonts w:hint="eastAsia" w:ascii="宋体" w:hAnsi="宋体" w:cs="黑体"/>
          <w:sz w:val="24"/>
          <w:szCs w:val="18"/>
        </w:rPr>
      </w:pPr>
    </w:p>
    <w:p w14:paraId="6DF89207">
      <w:pPr>
        <w:spacing w:line="360" w:lineRule="auto"/>
        <w:jc w:val="center"/>
        <w:rPr>
          <w:rFonts w:hint="eastAsia" w:ascii="宋体" w:hAnsi="宋体" w:cs="黑体"/>
          <w:sz w:val="24"/>
          <w:szCs w:val="18"/>
        </w:rPr>
      </w:pPr>
    </w:p>
    <w:p w14:paraId="1F882DBB">
      <w:pPr>
        <w:spacing w:line="360" w:lineRule="auto"/>
        <w:jc w:val="center"/>
        <w:rPr>
          <w:rFonts w:hint="eastAsia" w:ascii="宋体" w:hAnsi="宋体" w:cs="黑体"/>
          <w:sz w:val="24"/>
          <w:szCs w:val="18"/>
        </w:rPr>
      </w:pPr>
    </w:p>
    <w:p w14:paraId="63F20743">
      <w:pPr>
        <w:spacing w:line="360" w:lineRule="auto"/>
        <w:jc w:val="center"/>
        <w:rPr>
          <w:rFonts w:hint="eastAsia" w:ascii="宋体" w:hAnsi="宋体" w:cs="黑体"/>
          <w:sz w:val="24"/>
          <w:szCs w:val="18"/>
        </w:rPr>
      </w:pPr>
    </w:p>
    <w:p w14:paraId="3ACDB99B">
      <w:pPr>
        <w:spacing w:line="360" w:lineRule="auto"/>
        <w:jc w:val="center"/>
        <w:rPr>
          <w:rFonts w:hint="eastAsia" w:ascii="宋体" w:hAnsi="宋体" w:cs="黑体"/>
          <w:sz w:val="24"/>
          <w:szCs w:val="18"/>
        </w:rPr>
      </w:pPr>
    </w:p>
    <w:p w14:paraId="6594903C">
      <w:pPr>
        <w:spacing w:line="360" w:lineRule="auto"/>
        <w:jc w:val="center"/>
        <w:rPr>
          <w:rFonts w:hint="eastAsia" w:ascii="宋体" w:hAnsi="宋体" w:cs="黑体"/>
          <w:sz w:val="24"/>
          <w:szCs w:val="18"/>
        </w:rPr>
      </w:pPr>
    </w:p>
    <w:p w14:paraId="127198A5">
      <w:pPr>
        <w:spacing w:line="360" w:lineRule="auto"/>
        <w:jc w:val="center"/>
        <w:rPr>
          <w:rFonts w:hint="eastAsia" w:ascii="宋体" w:hAnsi="宋体" w:cs="黑体"/>
          <w:sz w:val="24"/>
          <w:szCs w:val="18"/>
        </w:rPr>
      </w:pPr>
    </w:p>
    <w:p w14:paraId="45E73012">
      <w:pPr>
        <w:spacing w:line="360" w:lineRule="auto"/>
        <w:jc w:val="center"/>
        <w:rPr>
          <w:rFonts w:hint="eastAsia" w:ascii="宋体" w:hAnsi="宋体" w:cs="黑体"/>
          <w:sz w:val="24"/>
          <w:szCs w:val="18"/>
        </w:rPr>
      </w:pPr>
    </w:p>
    <w:p w14:paraId="1E0B1798">
      <w:pPr>
        <w:spacing w:line="360" w:lineRule="auto"/>
        <w:jc w:val="center"/>
        <w:rPr>
          <w:rFonts w:hint="eastAsia" w:ascii="宋体" w:hAnsi="宋体" w:cs="黑体"/>
          <w:sz w:val="24"/>
          <w:szCs w:val="18"/>
        </w:rPr>
      </w:pPr>
    </w:p>
    <w:p w14:paraId="2FB38757">
      <w:pPr>
        <w:spacing w:line="360" w:lineRule="auto"/>
        <w:jc w:val="center"/>
        <w:rPr>
          <w:rFonts w:hint="eastAsia" w:ascii="宋体" w:hAnsi="宋体" w:cs="黑体"/>
          <w:sz w:val="24"/>
          <w:szCs w:val="18"/>
        </w:rPr>
      </w:pPr>
    </w:p>
    <w:p w14:paraId="485A495A">
      <w:pPr>
        <w:spacing w:line="360" w:lineRule="auto"/>
        <w:jc w:val="center"/>
        <w:rPr>
          <w:rFonts w:hint="eastAsia" w:ascii="宋体" w:hAnsi="宋体" w:cs="黑体"/>
          <w:sz w:val="24"/>
          <w:szCs w:val="18"/>
        </w:rPr>
      </w:pPr>
    </w:p>
    <w:p w14:paraId="7BC0090B">
      <w:pPr>
        <w:spacing w:line="360" w:lineRule="auto"/>
        <w:jc w:val="center"/>
        <w:rPr>
          <w:rFonts w:hint="eastAsia" w:ascii="宋体" w:hAnsi="宋体" w:cs="黑体"/>
          <w:sz w:val="24"/>
          <w:szCs w:val="18"/>
        </w:rPr>
      </w:pPr>
    </w:p>
    <w:p w14:paraId="0F1D6AE6">
      <w:pPr>
        <w:spacing w:line="360" w:lineRule="auto"/>
        <w:jc w:val="center"/>
        <w:rPr>
          <w:rFonts w:hint="eastAsia" w:ascii="宋体" w:hAnsi="宋体" w:cs="黑体"/>
          <w:sz w:val="24"/>
          <w:szCs w:val="18"/>
        </w:rPr>
      </w:pPr>
    </w:p>
    <w:p w14:paraId="28BF37D6">
      <w:pPr>
        <w:spacing w:line="360" w:lineRule="auto"/>
        <w:jc w:val="center"/>
        <w:rPr>
          <w:rFonts w:hint="eastAsia" w:ascii="宋体" w:hAnsi="宋体" w:cs="黑体"/>
          <w:sz w:val="24"/>
          <w:szCs w:val="18"/>
        </w:rPr>
      </w:pPr>
    </w:p>
    <w:p w14:paraId="1449AAFF">
      <w:pPr>
        <w:spacing w:line="360" w:lineRule="auto"/>
        <w:jc w:val="center"/>
        <w:rPr>
          <w:rFonts w:hint="eastAsia" w:ascii="宋体" w:hAnsi="宋体" w:cs="黑体"/>
          <w:sz w:val="24"/>
          <w:szCs w:val="18"/>
        </w:rPr>
      </w:pPr>
    </w:p>
    <w:p w14:paraId="55C93EE0">
      <w:pPr>
        <w:jc w:val="center"/>
        <w:rPr>
          <w:rFonts w:hint="eastAsia" w:ascii="宋体" w:hAnsi="宋体" w:cs="黑体"/>
          <w:sz w:val="24"/>
          <w:szCs w:val="18"/>
        </w:rPr>
      </w:pPr>
      <w:r>
        <w:rPr>
          <w:rFonts w:hint="eastAsia" w:ascii="宋体" w:hAnsi="宋体" w:cs="黑体"/>
          <w:b/>
          <w:sz w:val="36"/>
        </w:rPr>
        <w:t>检验条件/环境及其他</w:t>
      </w:r>
    </w:p>
    <w:p w14:paraId="247E0958">
      <w:pPr>
        <w:rPr>
          <w:rFonts w:hint="eastAsia" w:ascii="宋体" w:hAnsi="宋体" w:cs="黑体"/>
          <w:sz w:val="24"/>
        </w:rPr>
      </w:pPr>
    </w:p>
    <w:tbl>
      <w:tblPr>
        <w:tblStyle w:val="9"/>
        <w:tblW w:w="9266" w:type="dxa"/>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9"/>
        <w:gridCol w:w="7557"/>
      </w:tblGrid>
      <w:tr w14:paraId="7B67C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09" w:type="dxa"/>
            <w:vAlign w:val="center"/>
          </w:tcPr>
          <w:p w14:paraId="12393303">
            <w:pPr>
              <w:jc w:val="center"/>
              <w:rPr>
                <w:rFonts w:hint="eastAsia" w:ascii="宋体" w:hAnsi="宋体" w:cs="黑体"/>
                <w:sz w:val="24"/>
              </w:rPr>
            </w:pPr>
            <w:r>
              <w:rPr>
                <w:rFonts w:hint="eastAsia" w:ascii="宋体" w:hAnsi="宋体" w:cs="黑体"/>
                <w:sz w:val="24"/>
              </w:rPr>
              <w:t>硬件设备名称</w:t>
            </w:r>
          </w:p>
        </w:tc>
        <w:tc>
          <w:tcPr>
            <w:tcW w:w="7557" w:type="dxa"/>
            <w:vAlign w:val="center"/>
          </w:tcPr>
          <w:p w14:paraId="3766BCDA">
            <w:pPr>
              <w:pStyle w:val="8"/>
              <w:ind w:firstLine="2640" w:firstLineChars="1100"/>
              <w:rPr>
                <w:rFonts w:hint="eastAsia"/>
              </w:rPr>
            </w:pPr>
            <w:r>
              <w:t>科研类便携式笔记本</w:t>
            </w:r>
          </w:p>
        </w:tc>
      </w:tr>
      <w:tr w14:paraId="05CBD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09" w:type="dxa"/>
            <w:vAlign w:val="center"/>
          </w:tcPr>
          <w:p w14:paraId="57E2426A">
            <w:pPr>
              <w:jc w:val="center"/>
              <w:rPr>
                <w:rFonts w:hint="eastAsia" w:ascii="宋体" w:hAnsi="宋体" w:cs="黑体"/>
                <w:sz w:val="24"/>
              </w:rPr>
            </w:pPr>
            <w:r>
              <w:rPr>
                <w:rFonts w:hint="eastAsia" w:ascii="宋体" w:hAnsi="宋体" w:cs="黑体"/>
                <w:sz w:val="24"/>
              </w:rPr>
              <w:t>型号</w:t>
            </w:r>
          </w:p>
        </w:tc>
        <w:tc>
          <w:tcPr>
            <w:tcW w:w="7557" w:type="dxa"/>
            <w:vAlign w:val="center"/>
          </w:tcPr>
          <w:p w14:paraId="1E1AD0E0">
            <w:pPr>
              <w:pStyle w:val="8"/>
              <w:ind w:firstLine="120" w:firstLineChars="50"/>
              <w:jc w:val="center"/>
              <w:rPr>
                <w:rFonts w:hint="eastAsia"/>
              </w:rPr>
            </w:pPr>
            <w:r>
              <w:rPr>
                <w:rFonts w:hint="eastAsia"/>
              </w:rPr>
              <w:t>联想</w:t>
            </w:r>
            <w:r>
              <w:t xml:space="preserve">ThinkPad </w:t>
            </w:r>
            <w:r>
              <w:rPr>
                <w:rFonts w:hint="eastAsia"/>
              </w:rPr>
              <w:t>book</w:t>
            </w:r>
          </w:p>
        </w:tc>
      </w:tr>
      <w:tr w14:paraId="6D8A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09" w:type="dxa"/>
            <w:vAlign w:val="center"/>
          </w:tcPr>
          <w:p w14:paraId="7832DB0B">
            <w:pPr>
              <w:jc w:val="center"/>
              <w:rPr>
                <w:rFonts w:hint="eastAsia" w:ascii="宋体" w:hAnsi="宋体" w:cs="黑体"/>
                <w:sz w:val="24"/>
              </w:rPr>
            </w:pPr>
            <w:r>
              <w:rPr>
                <w:rFonts w:hint="eastAsia" w:ascii="宋体" w:hAnsi="宋体" w:cs="黑体"/>
                <w:sz w:val="24"/>
              </w:rPr>
              <w:t>出厂编号</w:t>
            </w:r>
          </w:p>
        </w:tc>
        <w:tc>
          <w:tcPr>
            <w:tcW w:w="7557" w:type="dxa"/>
            <w:vAlign w:val="center"/>
          </w:tcPr>
          <w:p w14:paraId="520A3B1E">
            <w:pPr>
              <w:pStyle w:val="8"/>
              <w:ind w:firstLine="600" w:firstLineChars="250"/>
              <w:jc w:val="center"/>
              <w:rPr>
                <w:rFonts w:hint="eastAsia"/>
              </w:rPr>
            </w:pPr>
            <w:r>
              <w:t>PF327KXS</w:t>
            </w:r>
          </w:p>
        </w:tc>
      </w:tr>
      <w:tr w14:paraId="50321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09" w:type="dxa"/>
            <w:vAlign w:val="center"/>
          </w:tcPr>
          <w:p w14:paraId="00EC6606">
            <w:pPr>
              <w:jc w:val="center"/>
              <w:rPr>
                <w:rFonts w:hint="eastAsia" w:ascii="宋体" w:hAnsi="宋体" w:cs="黑体"/>
                <w:sz w:val="24"/>
              </w:rPr>
            </w:pPr>
            <w:r>
              <w:rPr>
                <w:rFonts w:hint="eastAsia" w:ascii="宋体" w:hAnsi="宋体" w:cs="黑体"/>
                <w:sz w:val="24"/>
              </w:rPr>
              <w:t>资产编号</w:t>
            </w:r>
          </w:p>
        </w:tc>
        <w:tc>
          <w:tcPr>
            <w:tcW w:w="7557" w:type="dxa"/>
            <w:vAlign w:val="center"/>
          </w:tcPr>
          <w:p w14:paraId="0812B18D">
            <w:pPr>
              <w:pStyle w:val="8"/>
              <w:ind w:firstLine="480" w:firstLineChars="200"/>
              <w:jc w:val="center"/>
              <w:rPr>
                <w:rFonts w:hint="eastAsia"/>
              </w:rPr>
            </w:pPr>
            <w:r>
              <w:t>D</w:t>
            </w:r>
            <w:r>
              <w:rPr>
                <w:rFonts w:hint="eastAsia"/>
              </w:rPr>
              <w:t>N-TB14-0400</w:t>
            </w:r>
          </w:p>
        </w:tc>
      </w:tr>
      <w:tr w14:paraId="4C2CC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09" w:type="dxa"/>
            <w:vAlign w:val="center"/>
          </w:tcPr>
          <w:p w14:paraId="2CE7DCDA">
            <w:pPr>
              <w:jc w:val="center"/>
              <w:rPr>
                <w:rFonts w:hint="eastAsia" w:ascii="宋体" w:hAnsi="宋体" w:cs="黑体"/>
                <w:sz w:val="24"/>
              </w:rPr>
            </w:pPr>
            <w:r>
              <w:rPr>
                <w:rFonts w:hint="eastAsia" w:ascii="宋体" w:hAnsi="宋体" w:cs="黑体"/>
                <w:sz w:val="24"/>
              </w:rPr>
              <w:t>操作系统版本</w:t>
            </w:r>
          </w:p>
        </w:tc>
        <w:tc>
          <w:tcPr>
            <w:tcW w:w="7557" w:type="dxa"/>
            <w:vAlign w:val="center"/>
          </w:tcPr>
          <w:p w14:paraId="561058D5">
            <w:pPr>
              <w:pStyle w:val="8"/>
              <w:jc w:val="center"/>
              <w:rPr>
                <w:rFonts w:hint="eastAsia"/>
              </w:rPr>
            </w:pPr>
            <w:r>
              <w:t>微软 Windows 11 家庭中文版</w:t>
            </w:r>
          </w:p>
        </w:tc>
      </w:tr>
      <w:tr w14:paraId="21EB7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09" w:type="dxa"/>
            <w:vAlign w:val="center"/>
          </w:tcPr>
          <w:p w14:paraId="6C105741">
            <w:pPr>
              <w:jc w:val="center"/>
              <w:rPr>
                <w:rFonts w:hint="eastAsia" w:ascii="宋体" w:hAnsi="宋体" w:cs="黑体"/>
                <w:sz w:val="24"/>
              </w:rPr>
            </w:pPr>
            <w:r>
              <w:rPr>
                <w:rFonts w:hint="eastAsia" w:ascii="宋体" w:hAnsi="宋体" w:cs="黑体"/>
                <w:sz w:val="24"/>
              </w:rPr>
              <w:t>配置</w:t>
            </w:r>
          </w:p>
        </w:tc>
        <w:tc>
          <w:tcPr>
            <w:tcW w:w="7557" w:type="dxa"/>
            <w:vAlign w:val="center"/>
          </w:tcPr>
          <w:p w14:paraId="49F04748">
            <w:pPr>
              <w:pStyle w:val="8"/>
              <w:jc w:val="center"/>
              <w:rPr>
                <w:rFonts w:hint="eastAsia"/>
              </w:rPr>
            </w:pPr>
            <w:r>
              <w:t xml:space="preserve">Micron Technology </w:t>
            </w:r>
            <w:r>
              <w:rPr>
                <w:rFonts w:hint="eastAsia"/>
              </w:rPr>
              <w:t>16</w:t>
            </w:r>
            <w:r>
              <w:t>GB</w:t>
            </w:r>
          </w:p>
        </w:tc>
      </w:tr>
      <w:tr w14:paraId="40305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09" w:type="dxa"/>
            <w:vAlign w:val="center"/>
          </w:tcPr>
          <w:p w14:paraId="61B1AB6D">
            <w:pPr>
              <w:jc w:val="center"/>
              <w:rPr>
                <w:rFonts w:hint="eastAsia" w:ascii="宋体" w:hAnsi="宋体" w:cs="黑体"/>
                <w:sz w:val="24"/>
              </w:rPr>
            </w:pPr>
            <w:r>
              <w:rPr>
                <w:rFonts w:hint="eastAsia" w:ascii="宋体" w:hAnsi="宋体" w:cs="黑体"/>
                <w:sz w:val="24"/>
              </w:rPr>
              <w:t>防火墙</w:t>
            </w:r>
          </w:p>
        </w:tc>
        <w:tc>
          <w:tcPr>
            <w:tcW w:w="7557" w:type="dxa"/>
            <w:vAlign w:val="center"/>
          </w:tcPr>
          <w:p w14:paraId="780A5A1F">
            <w:pPr>
              <w:pStyle w:val="8"/>
              <w:jc w:val="center"/>
              <w:rPr>
                <w:rFonts w:hint="eastAsia"/>
              </w:rPr>
            </w:pPr>
            <w:r>
              <w:t>SAMSUNG MZVL2512HCJQ-00BL7 512GB</w:t>
            </w:r>
          </w:p>
        </w:tc>
      </w:tr>
      <w:tr w14:paraId="32DD7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09" w:type="dxa"/>
            <w:vAlign w:val="center"/>
          </w:tcPr>
          <w:p w14:paraId="1A4D59E8">
            <w:pPr>
              <w:jc w:val="center"/>
              <w:rPr>
                <w:rFonts w:hint="eastAsia" w:ascii="宋体" w:hAnsi="宋体" w:cs="黑体"/>
                <w:sz w:val="24"/>
              </w:rPr>
            </w:pPr>
            <w:r>
              <w:rPr>
                <w:rFonts w:hint="eastAsia" w:ascii="宋体" w:hAnsi="宋体" w:cs="黑体"/>
                <w:sz w:val="24"/>
              </w:rPr>
              <w:t>杀毒软件</w:t>
            </w:r>
          </w:p>
        </w:tc>
        <w:tc>
          <w:tcPr>
            <w:tcW w:w="7557" w:type="dxa"/>
            <w:vAlign w:val="center"/>
          </w:tcPr>
          <w:p w14:paraId="247EE32A">
            <w:pPr>
              <w:pStyle w:val="8"/>
              <w:jc w:val="center"/>
              <w:rPr>
                <w:rFonts w:hint="eastAsia"/>
              </w:rPr>
            </w:pPr>
            <w:r>
              <w:t>Windows Defender防火墙</w:t>
            </w:r>
          </w:p>
        </w:tc>
      </w:tr>
      <w:tr w14:paraId="57571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09" w:type="dxa"/>
            <w:vAlign w:val="center"/>
          </w:tcPr>
          <w:p w14:paraId="758A3880">
            <w:pPr>
              <w:jc w:val="center"/>
              <w:rPr>
                <w:rFonts w:hint="eastAsia" w:ascii="宋体" w:hAnsi="宋体" w:cs="黑体"/>
                <w:sz w:val="24"/>
              </w:rPr>
            </w:pPr>
            <w:r>
              <w:rPr>
                <w:rFonts w:hint="eastAsia" w:ascii="宋体" w:hAnsi="宋体" w:cs="黑体"/>
                <w:sz w:val="24"/>
              </w:rPr>
              <w:t>散热方式</w:t>
            </w:r>
          </w:p>
        </w:tc>
        <w:tc>
          <w:tcPr>
            <w:tcW w:w="7557" w:type="dxa"/>
            <w:vAlign w:val="center"/>
          </w:tcPr>
          <w:p w14:paraId="52A67804">
            <w:pPr>
              <w:jc w:val="center"/>
              <w:rPr>
                <w:rFonts w:hint="eastAsia" w:ascii="宋体" w:hAnsi="宋体" w:cs="黑体"/>
                <w:sz w:val="24"/>
              </w:rPr>
            </w:pPr>
            <w:r>
              <w:rPr>
                <w:rFonts w:hint="eastAsia" w:ascii="宋体" w:hAnsi="宋体" w:cs="黑体"/>
                <w:sz w:val="24"/>
              </w:rPr>
              <w:t>自带</w:t>
            </w:r>
          </w:p>
        </w:tc>
      </w:tr>
      <w:tr w14:paraId="1B221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09" w:type="dxa"/>
            <w:vAlign w:val="center"/>
          </w:tcPr>
          <w:p w14:paraId="426D0181">
            <w:pPr>
              <w:jc w:val="center"/>
              <w:rPr>
                <w:rFonts w:hint="eastAsia" w:ascii="宋体" w:hAnsi="宋体" w:cs="黑体"/>
                <w:sz w:val="24"/>
              </w:rPr>
            </w:pPr>
            <w:r>
              <w:rPr>
                <w:rFonts w:hint="eastAsia" w:ascii="宋体" w:hAnsi="宋体" w:cs="黑体"/>
                <w:sz w:val="24"/>
              </w:rPr>
              <w:t>使用前后状态</w:t>
            </w:r>
          </w:p>
        </w:tc>
        <w:tc>
          <w:tcPr>
            <w:tcW w:w="7557" w:type="dxa"/>
            <w:vAlign w:val="center"/>
          </w:tcPr>
          <w:p w14:paraId="6ADF7F43">
            <w:pPr>
              <w:pStyle w:val="8"/>
              <w:ind w:firstLine="120" w:firstLineChars="50"/>
              <w:jc w:val="center"/>
              <w:rPr>
                <w:rFonts w:hint="eastAsia"/>
              </w:rPr>
            </w:pPr>
            <w:r>
              <w:t>无差别</w:t>
            </w:r>
          </w:p>
        </w:tc>
      </w:tr>
    </w:tbl>
    <w:p w14:paraId="0720775B">
      <w:pPr>
        <w:rPr>
          <w:rFonts w:hint="eastAsia" w:ascii="宋体" w:hAnsi="宋体" w:cs="黑体"/>
          <w:sz w:val="28"/>
        </w:rPr>
      </w:pPr>
    </w:p>
    <w:p w14:paraId="038F9476">
      <w:pPr>
        <w:spacing w:line="360" w:lineRule="auto"/>
        <w:jc w:val="center"/>
        <w:rPr>
          <w:rFonts w:hint="eastAsia" w:ascii="宋体" w:hAnsi="宋体" w:cs="黑体"/>
          <w:sz w:val="24"/>
          <w:szCs w:val="18"/>
        </w:rPr>
      </w:pPr>
    </w:p>
    <w:p w14:paraId="363F2166">
      <w:pPr>
        <w:spacing w:line="360" w:lineRule="auto"/>
        <w:jc w:val="center"/>
        <w:rPr>
          <w:rFonts w:hint="eastAsia" w:ascii="宋体" w:hAnsi="宋体" w:cs="黑体"/>
          <w:sz w:val="24"/>
          <w:szCs w:val="18"/>
        </w:rPr>
      </w:pPr>
    </w:p>
    <w:p w14:paraId="2EF1182D">
      <w:pPr>
        <w:spacing w:line="360" w:lineRule="auto"/>
        <w:jc w:val="center"/>
        <w:rPr>
          <w:rFonts w:hint="eastAsia" w:ascii="宋体" w:hAnsi="宋体" w:cs="黑体"/>
          <w:sz w:val="24"/>
          <w:szCs w:val="18"/>
        </w:rPr>
      </w:pPr>
    </w:p>
    <w:p w14:paraId="7239532E">
      <w:pPr>
        <w:spacing w:line="360" w:lineRule="auto"/>
        <w:jc w:val="center"/>
        <w:rPr>
          <w:rFonts w:hint="eastAsia" w:ascii="宋体" w:hAnsi="宋体" w:cs="黑体"/>
          <w:sz w:val="24"/>
          <w:szCs w:val="18"/>
        </w:rPr>
      </w:pPr>
    </w:p>
    <w:p w14:paraId="1C390DF0">
      <w:pPr>
        <w:spacing w:line="360" w:lineRule="auto"/>
        <w:jc w:val="center"/>
        <w:rPr>
          <w:rFonts w:hint="eastAsia" w:ascii="宋体" w:hAnsi="宋体" w:cs="黑体"/>
          <w:sz w:val="24"/>
          <w:szCs w:val="18"/>
        </w:rPr>
      </w:pPr>
    </w:p>
    <w:p w14:paraId="53D87E56">
      <w:pPr>
        <w:spacing w:line="360" w:lineRule="auto"/>
        <w:jc w:val="center"/>
        <w:rPr>
          <w:rFonts w:hint="eastAsia" w:ascii="宋体" w:hAnsi="宋体" w:cs="黑体"/>
          <w:sz w:val="24"/>
          <w:szCs w:val="18"/>
        </w:rPr>
      </w:pPr>
    </w:p>
    <w:p w14:paraId="33739464">
      <w:pPr>
        <w:spacing w:line="360" w:lineRule="auto"/>
        <w:jc w:val="center"/>
        <w:rPr>
          <w:rFonts w:hint="eastAsia" w:ascii="宋体" w:hAnsi="宋体" w:cs="黑体"/>
          <w:sz w:val="24"/>
          <w:szCs w:val="18"/>
        </w:rPr>
      </w:pPr>
    </w:p>
    <w:p w14:paraId="7410906C">
      <w:pPr>
        <w:rPr>
          <w:rFonts w:hint="eastAsia" w:ascii="宋体" w:hAnsi="宋体" w:cs="黑体"/>
          <w:sz w:val="24"/>
          <w:szCs w:val="18"/>
        </w:rPr>
      </w:pPr>
    </w:p>
    <w:p w14:paraId="3A81861B">
      <w:pPr>
        <w:pageBreakBefore/>
        <w:ind w:left="-6"/>
        <w:jc w:val="center"/>
        <w:outlineLvl w:val="0"/>
        <w:rPr>
          <w:rFonts w:hint="eastAsia" w:ascii="宋体" w:hAnsi="宋体" w:cs="黑体"/>
          <w:b/>
          <w:sz w:val="36"/>
          <w:szCs w:val="21"/>
        </w:rPr>
      </w:pPr>
      <w:r>
        <w:rPr>
          <w:rFonts w:hint="eastAsia" w:ascii="宋体" w:hAnsi="宋体" w:cs="黑体"/>
          <w:b/>
          <w:sz w:val="36"/>
          <w:szCs w:val="21"/>
        </w:rPr>
        <w:t>测试记录</w:t>
      </w:r>
    </w:p>
    <w:p w14:paraId="160291DA">
      <w:pPr>
        <w:pStyle w:val="2"/>
        <w:numPr>
          <w:ilvl w:val="0"/>
          <w:numId w:val="1"/>
        </w:numPr>
      </w:pPr>
      <w:r>
        <w:rPr>
          <w:rFonts w:hint="eastAsia"/>
        </w:rPr>
        <w:t>Token产能效率</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8153"/>
      </w:tblGrid>
      <w:tr w14:paraId="723E4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BA21C14">
            <w:pPr>
              <w:jc w:val="center"/>
            </w:pPr>
            <w:r>
              <w:rPr>
                <w:rFonts w:ascii="宋体" w:hAnsi="宋体"/>
                <w:b/>
                <w:sz w:val="24"/>
              </w:rPr>
              <w:t>测试编号</w:t>
            </w:r>
          </w:p>
        </w:tc>
        <w:tc>
          <w:tcPr>
            <w:tcW w:w="7654" w:type="dxa"/>
          </w:tcPr>
          <w:p w14:paraId="151C1AD6">
            <w:r>
              <w:rPr>
                <w:rFonts w:hint="eastAsia" w:ascii="宋体" w:hAnsi="宋体"/>
                <w:sz w:val="24"/>
              </w:rPr>
              <w:t>1</w:t>
            </w:r>
            <w:r>
              <w:rPr>
                <w:rFonts w:ascii="宋体" w:hAnsi="宋体"/>
                <w:sz w:val="24"/>
              </w:rPr>
              <w:t>01</w:t>
            </w:r>
          </w:p>
        </w:tc>
      </w:tr>
      <w:tr w14:paraId="60A29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A85523C">
            <w:pPr>
              <w:jc w:val="center"/>
            </w:pPr>
            <w:r>
              <w:rPr>
                <w:rFonts w:ascii="宋体" w:hAnsi="宋体"/>
                <w:b/>
                <w:sz w:val="24"/>
              </w:rPr>
              <w:t>测试项目</w:t>
            </w:r>
          </w:p>
        </w:tc>
        <w:tc>
          <w:tcPr>
            <w:tcW w:w="7654" w:type="dxa"/>
          </w:tcPr>
          <w:p w14:paraId="47B0B1D2">
            <w:r>
              <w:rPr>
                <w:rFonts w:ascii="宋体" w:hAnsi="宋体"/>
                <w:sz w:val="24"/>
              </w:rPr>
              <w:t>Token产能效率</w:t>
            </w:r>
          </w:p>
        </w:tc>
      </w:tr>
      <w:tr w14:paraId="1E269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9DF253C">
            <w:pPr>
              <w:jc w:val="center"/>
            </w:pPr>
            <w:r>
              <w:rPr>
                <w:rFonts w:ascii="宋体" w:hAnsi="宋体"/>
                <w:b/>
                <w:sz w:val="24"/>
              </w:rPr>
              <w:t>测试目的</w:t>
            </w:r>
          </w:p>
        </w:tc>
        <w:tc>
          <w:tcPr>
            <w:tcW w:w="7654" w:type="dxa"/>
          </w:tcPr>
          <w:p w14:paraId="60A46794">
            <w:r>
              <w:rPr>
                <w:rFonts w:ascii="宋体" w:hAnsi="宋体"/>
                <w:sz w:val="24"/>
              </w:rPr>
              <w:t>评估Token云服务在单位时间内的Token生成产出能力（Tokens/s）、有效Token产能（eTPM）、上下文长度性能等核心产能指标，验证系统在不同模型规模、不同并发条件下的吞吐率表现，为容量规划与服务等级协议（SLA）制定提供数据支撑。</w:t>
            </w:r>
          </w:p>
        </w:tc>
      </w:tr>
      <w:tr w14:paraId="7F08A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8A7C0B3">
            <w:pPr>
              <w:jc w:val="center"/>
            </w:pPr>
            <w:r>
              <w:rPr>
                <w:rFonts w:ascii="宋体" w:hAnsi="宋体"/>
                <w:b/>
                <w:sz w:val="24"/>
              </w:rPr>
              <w:t>测试环境</w:t>
            </w:r>
          </w:p>
        </w:tc>
        <w:tc>
          <w:tcPr>
            <w:tcW w:w="7654" w:type="dxa"/>
          </w:tcPr>
          <w:p w14:paraId="369583A3">
            <w:r>
              <w:rPr>
                <w:rFonts w:hint="eastAsia"/>
              </w:rPr>
              <w:t>{{SHARED_ENVIRONMENT}}</w:t>
            </w:r>
            <w:r/>
            <w:r>
              <w:rPr>
                <w:rFonts w:hint="eastAsia"/>
              </w:rPr>
            </w:r>
            <w:r/>
          </w:p>
          <w:p w14:paraId="66986286">
            <w:r>
              <w:rPr>
                <w:rFonts w:hint="eastAsia"/>
              </w:rPr>
            </w:r>
            <w:r/>
            <w:r>
              <w:rPr>
                <w:rFonts w:hint="eastAsia"/>
              </w:rPr>
            </w:r>
            <w:r/>
          </w:p>
        </w:tc>
      </w:tr>
      <w:tr w14:paraId="49AAA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98ED845">
            <w:pPr>
              <w:jc w:val="center"/>
            </w:pPr>
            <w:r>
              <w:rPr>
                <w:rFonts w:ascii="宋体" w:hAnsi="宋体"/>
                <w:b/>
                <w:sz w:val="24"/>
              </w:rPr>
              <w:t>测试步骤</w:t>
            </w:r>
          </w:p>
        </w:tc>
        <w:tc>
          <w:tcPr>
            <w:tcW w:w="7654" w:type="dxa"/>
          </w:tcPr>
          <w:p w14:paraId="480B9007">
            <w:r>
              <w:rPr>
                <w:rFonts w:ascii="宋体" w:hAnsi="宋体"/>
                <w:b/>
                <w:sz w:val="24"/>
              </w:rPr>
              <w:t>Token生成吞吐率（Tokens/s）</w:t>
            </w:r>
          </w:p>
          <w:p w14:paraId="7EA148E3">
            <w:r>
              <w:rPr>
                <w:rFonts w:ascii="宋体" w:hAnsi="宋体"/>
                <w:sz w:val="24"/>
              </w:rPr>
              <w:t>a）应测试单模型实例在标准输入长度（1K Token）条件下的Token生成吞吐率（Tokens/s），覆盖主流开源大模型（如LLaMA、Qwen系列）与商用大模型，记录不同参数规模（7B、13B、70B、千亿级）下的吞吐率基线。</w:t>
            </w:r>
          </w:p>
          <w:p w14:paraId="0C761F55">
            <w:r>
              <w:rPr>
                <w:rFonts w:ascii="宋体" w:hAnsi="宋体"/>
                <w:sz w:val="24"/>
              </w:rPr>
              <w:t>参考计算公式：Tokens/s = 输出总Token数 / 推理总耗时（s），其中推理总耗时包含Prefill阶段与Decode阶段的完整时间。</w:t>
            </w:r>
          </w:p>
          <w:p w14:paraId="2A9CC4E4">
            <w:r>
              <w:rPr>
                <w:rFonts w:ascii="宋体" w:hAnsi="宋体"/>
                <w:sz w:val="24"/>
              </w:rPr>
              <w:t>b）应测试不同输入长度（512 Token、1K Token、4K Token、8K Token、32K Token、128K Token）对Token生成吞吐率的影响，分析输入长度与吞吐率的衰减关系，绘制输入长度-吞吐率衰减曲线。</w:t>
            </w:r>
          </w:p>
          <w:p w14:paraId="5B3A1D78">
            <w:r>
              <w:rPr>
                <w:rFonts w:ascii="宋体" w:hAnsi="宋体"/>
                <w:sz w:val="24"/>
              </w:rPr>
              <w:t>c）应测试不同输出长度（256 Token、512 Token、1K Token、4K Token、16K Token）场景下的吞吐率变化，评估长文本生成场景的产能表现，分析Decode阶段对总体吞吐率的贡献度。</w:t>
            </w:r>
          </w:p>
          <w:p w14:paraId="5F8958BD">
            <w:r>
              <w:rPr>
                <w:rFonts w:ascii="宋体" w:hAnsi="宋体"/>
                <w:sz w:val="24"/>
              </w:rPr>
              <w:t>参考计算公式：Prefill吞吐率 = 输入Token数 / Prefill耗时（s）；Decode吞吐率 = 输出Token数 / Decode耗时（s）。</w:t>
            </w:r>
          </w:p>
          <w:p w14:paraId="331E23D3">
            <w:r>
              <w:rPr>
                <w:rFonts w:ascii="宋体" w:hAnsi="宋体"/>
                <w:b/>
                <w:sz w:val="24"/>
              </w:rPr>
              <w:t>有效Token产能（eTPM）</w:t>
            </w:r>
          </w:p>
          <w:p w14:paraId="26513556">
            <w:r>
              <w:rPr>
                <w:rFonts w:ascii="宋体" w:hAnsi="宋体"/>
                <w:sz w:val="24"/>
              </w:rPr>
              <w:t>a）应测试有效Token每分钟产出量（Effective Tokens Per Minute, eTPM），衡量单位时间内实际可用于业务消费的Token数量。仅统计通过质量校验的Token输出，排除被截断、格式异常、内容审核未通过的无效Token。</w:t>
            </w:r>
          </w:p>
          <w:p w14:paraId="1477FC5C">
            <w:r>
              <w:rPr>
                <w:rFonts w:ascii="宋体" w:hAnsi="宋体"/>
                <w:sz w:val="24"/>
              </w:rPr>
              <w:t>参考计算公式：eTPM = 有效Token数 / 时间（分钟），其中有效Token数 = 总生成Token数 × 有效率。有效率的计算应扣除截断Token、格式异常Token、内容不合规Token。</w:t>
            </w:r>
          </w:p>
          <w:p w14:paraId="5A192046">
            <w:r>
              <w:rPr>
                <w:rFonts w:ascii="宋体" w:hAnsi="宋体"/>
                <w:sz w:val="24"/>
              </w:rPr>
              <w:t>b）应测试不同业务场景（代码生成、文档撰写、翻译、对话等）下的Token有效率差异，建立分场景的有效率基线，分析场景特性对Token有效率的敏感性。</w:t>
            </w:r>
          </w:p>
          <w:p w14:paraId="10F808E1">
            <w:r>
              <w:rPr>
                <w:rFonts w:ascii="宋体" w:hAnsi="宋体"/>
                <w:sz w:val="24"/>
              </w:rPr>
              <w:t>c）应测试在高负载条件下（QPS≥极限80%）的Token有效率变化，评估系统压力对生成质量的衰减影响，记录有效率-负载曲线。</w:t>
            </w:r>
          </w:p>
          <w:p w14:paraId="16796559">
            <w:r>
              <w:rPr>
                <w:rFonts w:ascii="宋体" w:hAnsi="宋体"/>
                <w:sz w:val="24"/>
              </w:rPr>
              <w:t>d）应对比不同模型（同参数规模、不同厂商或架构）在相同业务场景下的eTPM表现，为模型选型提供有效产能维度的参考数据。</w:t>
            </w:r>
          </w:p>
          <w:p w14:paraId="4A31D75B">
            <w:r>
              <w:rPr>
                <w:rFonts w:ascii="宋体" w:hAnsi="宋体"/>
                <w:b/>
                <w:sz w:val="24"/>
              </w:rPr>
              <w:t>上下文长度性能</w:t>
            </w:r>
          </w:p>
          <w:p w14:paraId="751F9798">
            <w:r>
              <w:rPr>
                <w:rFonts w:ascii="宋体" w:hAnsi="宋体"/>
                <w:sz w:val="24"/>
              </w:rPr>
              <w:t>a）应测试不同上下文窗口长度（4K、8K、32K、128K、256K、1M Token）下系统的吞吐率变化，评估超长上下文场景（如全量代码库分析、长文档理解）对Token产能的影响程度。</w:t>
            </w:r>
          </w:p>
          <w:p w14:paraId="5807A4BE">
            <w:r>
              <w:rPr>
                <w:rFonts w:ascii="宋体" w:hAnsi="宋体"/>
                <w:sz w:val="24"/>
              </w:rPr>
              <w:t>参考计算公式：上下文效率衰减率 =（1K上下文吞吐率 - N上下文吞吐率）/ 1K上下文吞吐率 × 100%。</w:t>
            </w:r>
          </w:p>
          <w:p w14:paraId="3847F70C">
            <w:r>
              <w:rPr>
                <w:rFonts w:ascii="宋体" w:hAnsi="宋体"/>
                <w:sz w:val="24"/>
              </w:rPr>
              <w:t>b）应测试上下文长度对Prefill阶段时延的影响，记录不同上下文长度下的Prefill耗时曲线，分析长上下文Prefill的时间复杂度（如O(N²)随注意力机制复杂度增长趋势）。</w:t>
            </w:r>
          </w:p>
          <w:p w14:paraId="3BDD6206">
            <w:r>
              <w:rPr>
                <w:rFonts w:ascii="宋体" w:hAnsi="宋体"/>
                <w:sz w:val="24"/>
              </w:rPr>
              <w:t>c）应测试KV Cache在不同上下文长度下的显存占用增长情况，计算KV Cache的显存占用率与上下文长度的函数关系，评估长上下文场景的硬件资源可支撑上限。</w:t>
            </w:r>
          </w:p>
          <w:p w14:paraId="370651C7">
            <w:r>
              <w:rPr>
                <w:rFonts w:ascii="宋体" w:hAnsi="宋体"/>
                <w:sz w:val="24"/>
              </w:rPr>
              <w:t>参考计算公式：KV Cache显存占用 ≈ 2 × 层数 × 隐藏维度 × KV头数 × 上下文长度 × 每个元素的字节数。</w:t>
            </w:r>
          </w:p>
          <w:p w14:paraId="087C11B8">
            <w:r>
              <w:rPr>
                <w:rFonts w:ascii="宋体" w:hAnsi="宋体"/>
                <w:b/>
                <w:sz w:val="24"/>
              </w:rPr>
              <w:t>并发Token产能</w:t>
            </w:r>
          </w:p>
          <w:p w14:paraId="1AC06BD4">
            <w:r>
              <w:rPr>
                <w:rFonts w:ascii="宋体" w:hAnsi="宋体"/>
                <w:sz w:val="24"/>
              </w:rPr>
              <w:t>a）应测试多实例并发场景下的系统总吞吐率（Tokens/s），覆盖1/4/8/16/32/64并发实例数，记录系统吞吐率的线性扩展系数，评估系统的并发产能扩展能力。</w:t>
            </w:r>
          </w:p>
          <w:p w14:paraId="62F56F64">
            <w:r>
              <w:rPr>
                <w:rFonts w:ascii="宋体" w:hAnsi="宋体"/>
                <w:sz w:val="24"/>
              </w:rPr>
              <w:t>参考计算公式：线性扩展系数 L = 实际总吞吐率 /（单实例吞吐率 × 实例数），L越接近1表示扩展效率越高。</w:t>
            </w:r>
          </w:p>
          <w:p w14:paraId="7CBF4530">
            <w:r>
              <w:rPr>
                <w:rFonts w:ascii="宋体" w:hAnsi="宋体"/>
                <w:sz w:val="24"/>
              </w:rPr>
              <w:t>b）应测试单实例多请求并发场景下的Token产能，覆盖1/4/8/16/32/64并发请求数，记录单实例吞吐率饱和点，评估实例内部的并发处理效率。</w:t>
            </w:r>
          </w:p>
          <w:p w14:paraId="50CE37ED">
            <w:r>
              <w:rPr>
                <w:rFonts w:ascii="宋体" w:hAnsi="宋体"/>
                <w:sz w:val="24"/>
              </w:rPr>
              <w:t>参考计算公式：并发效率比 = 并发N请求的吞吐率 /（单请求吞吐率 × N），记录效率比衰减至0.8以下的并发数作为饱和点。</w:t>
            </w:r>
          </w:p>
          <w:p w14:paraId="124451BF">
            <w:r>
              <w:rPr>
                <w:rFonts w:ascii="宋体" w:hAnsi="宋体"/>
                <w:sz w:val="24"/>
              </w:rPr>
              <w:t>c）应测试混合并发场景（不同模型、不同输入长度、不同输出长度混合并发）下的Token总产能，评估系统在真实业务负载下的产能表现。</w:t>
            </w:r>
          </w:p>
          <w:p w14:paraId="6200CD46">
            <w:r>
              <w:rPr>
                <w:rFonts w:ascii="宋体" w:hAnsi="宋体"/>
                <w:sz w:val="24"/>
              </w:rPr>
              <w:t>d）应测试Continuous Batching / Inflight Batching 模式下的并发Token产能，与传统FIFO批处理模式进行对比，量化连续批处理对吞吐率和响应时延的改善效果。</w:t>
            </w:r>
          </w:p>
          <w:p w14:paraId="53CFDBCF">
            <w:r>
              <w:rPr>
                <w:rFonts w:ascii="宋体" w:hAnsi="宋体"/>
                <w:b/>
                <w:sz w:val="24"/>
              </w:rPr>
              <w:t>Token产能极限</w:t>
            </w:r>
          </w:p>
          <w:p w14:paraId="683064D2">
            <w:r>
              <w:rPr>
                <w:rFonts w:ascii="宋体" w:hAnsi="宋体"/>
                <w:sz w:val="24"/>
              </w:rPr>
              <w:t>a）应在给定的硬件资源池内（如固定GPU卡数），测试系统可达到的最大Token总产能（Tokens/s），持续压测30分钟以上，记录产能稳定区间与衰减情况。</w:t>
            </w:r>
          </w:p>
          <w:p w14:paraId="2398B737">
            <w:r>
              <w:rPr>
                <w:rFonts w:ascii="宋体" w:hAnsi="宋体"/>
                <w:sz w:val="24"/>
              </w:rPr>
              <w:t>b）应测试系统在逼近极限产能时的Token生成质量（输出准确性、一致性），评估产能极限与生成质量的平衡关系，记录质量退化拐点对应的QPS阈值。</w:t>
            </w:r>
          </w:p>
          <w:p w14:paraId="34B9742D">
            <w:r>
              <w:rPr>
                <w:rFonts w:ascii="宋体" w:hAnsi="宋体"/>
                <w:sz w:val="24"/>
              </w:rPr>
              <w:t>c）应测试不同硬件平台（NVIDIA A100/H100/B200、华为昇腾910B/910C、寒武纪MLU590等）上的Token产能差异，为异构算力选型提供性能参考数据。</w:t>
            </w:r>
          </w:p>
        </w:tc>
      </w:tr>
      <w:tr w14:paraId="322F9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31CB07A">
            <w:pPr>
              <w:jc w:val="center"/>
            </w:pPr>
            <w:r>
              <w:rPr>
                <w:rFonts w:ascii="宋体" w:hAnsi="宋体"/>
                <w:b/>
                <w:sz w:val="24"/>
              </w:rPr>
              <w:t>预期结果</w:t>
            </w:r>
          </w:p>
        </w:tc>
        <w:tc>
          <w:tcPr>
            <w:tcW w:w="7654" w:type="dxa"/>
          </w:tcPr>
          <w:p w14:paraId="6EAB06C5">
            <w:r>
              <w:rPr>
                <w:rFonts w:ascii="宋体" w:hAnsi="宋体"/>
              </w:rPr>
              <w:t>系统应完成Token生成吞吐率、有效Token产能（eTPM）、上下文长度性能、并发Token产能及产能极限测试；各场景应正常执行并形成完整、可追溯的吞吐率、有效率、时延和资源占用数据；吞吐率在负载提升过程中总体增长，达到饱和点后系统仍保持稳定，无异常中断或无效输出，并可确定产能上限及推荐并发区间。</w:t>
            </w:r>
          </w:p>
        </w:tc>
      </w:tr>
      <w:tr w14:paraId="2535D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65634D5">
            <w:pPr>
              <w:jc w:val="center"/>
            </w:pPr>
            <w:r>
              <w:rPr>
                <w:rFonts w:ascii="宋体" w:hAnsi="宋体"/>
                <w:b/>
                <w:sz w:val="24"/>
              </w:rPr>
              <w:t>测试结果</w:t>
            </w:r>
          </w:p>
        </w:tc>
        <w:tc>
          <w:tcPr>
            <w:tcW w:w="7654" w:type="dxa"/>
          </w:tcPr>
          <w:p w14:paraId="1435BF53"/>
          <w:p w14:paraId="6CF994DD">
            <w:r>
              <w:rPr>
                <w:b/>
                <w:sz w:val="18"/>
              </w:rPr>
              <w:t>{{RESULT_101}}</w:t>
              <w:br/>
              <w:t>[[DEMO_101]]</w:t>
            </w:r>
          </w:p>
          <w:p w14:paraId="3DD0C797">
            <w:r/>
          </w:p>
          <w:p w14:paraId="0D85B583">
            <w:r/>
          </w:p>
          <w:p w14:paraId="34E3089E">
            <w:r/>
          </w:p>
          <w:p w14:paraId="7B9A8F48">
            <w:pPr>
              <w:ind w:firstLine="105" w:firstLineChars="50"/>
            </w:pPr>
            <w:r/>
            <w:r>
              <w:rPr>
                <w:rFonts w:hint="eastAsia"/>
              </w:rPr>
            </w:r>
            <w:r/>
            <w:r>
              <w:rPr>
                <w:rFonts w:hint="eastAsia"/>
              </w:rPr>
            </w:r>
            <w:r/>
          </w:p>
          <w:p w14:paraId="54493CED"/>
          <w:p w14:paraId="5D912B45"/>
        </w:tc>
      </w:tr>
      <w:tr w14:paraId="1A16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D8F7C48">
            <w:pPr>
              <w:jc w:val="center"/>
            </w:pPr>
            <w:r>
              <w:rPr>
                <w:rFonts w:ascii="宋体" w:hAnsi="宋体"/>
                <w:b/>
                <w:sz w:val="24"/>
              </w:rPr>
              <w:t>备注</w:t>
            </w:r>
          </w:p>
        </w:tc>
        <w:tc>
          <w:tcPr>
            <w:tcW w:w="7654" w:type="dxa"/>
          </w:tcPr>
          <w:p w14:paraId="249F9B51">
            <w:r>
              <w:rPr>
                <w:rFonts w:ascii="宋体" w:hAnsi="宋体"/>
                <w:sz w:val="24"/>
              </w:rPr>
              <w:t>{{NOTE_101}}</w:t>
            </w:r>
          </w:p>
        </w:tc>
      </w:tr>
    </w:tbl>
    <w:p w14:paraId="627BD544">
      <w:pPr>
        <w:pStyle w:val="2"/>
        <w:numPr>
          <w:ilvl w:val="0"/>
          <w:numId w:val="1"/>
        </w:numPr>
        <w:rPr>
          <w:rFonts w:ascii="Times New Roman" w:hAnsi="Times New Roman" w:eastAsia="宋体"/>
          <w:kern w:val="0"/>
          <w:sz w:val="21"/>
        </w:rPr>
      </w:pPr>
      <w:r>
        <w:rPr>
          <w:rFonts w:hint="eastAsia"/>
        </w:rPr>
        <w:t>Token 时延与响应</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8153"/>
      </w:tblGrid>
      <w:tr w14:paraId="5A830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3B16B9E">
            <w:pPr>
              <w:jc w:val="center"/>
            </w:pPr>
            <w:r>
              <w:rPr>
                <w:rFonts w:ascii="宋体" w:hAnsi="宋体"/>
                <w:b/>
                <w:sz w:val="24"/>
              </w:rPr>
              <w:t>测试编号</w:t>
            </w:r>
          </w:p>
        </w:tc>
        <w:tc>
          <w:tcPr>
            <w:tcW w:w="8153" w:type="dxa"/>
          </w:tcPr>
          <w:p w14:paraId="087A650B">
            <w:r>
              <w:rPr>
                <w:rFonts w:ascii="宋体" w:hAnsi="宋体"/>
                <w:sz w:val="24"/>
              </w:rPr>
              <w:t>502</w:t>
            </w:r>
          </w:p>
        </w:tc>
      </w:tr>
      <w:tr w14:paraId="7F76D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F863D84">
            <w:pPr>
              <w:jc w:val="center"/>
            </w:pPr>
            <w:r>
              <w:rPr>
                <w:rFonts w:ascii="宋体" w:hAnsi="宋体"/>
                <w:b/>
                <w:sz w:val="24"/>
              </w:rPr>
              <w:t>测试项目</w:t>
            </w:r>
          </w:p>
        </w:tc>
        <w:tc>
          <w:tcPr>
            <w:tcW w:w="8153" w:type="dxa"/>
          </w:tcPr>
          <w:p w14:paraId="0BF2DF8D">
            <w:r>
              <w:rPr>
                <w:rFonts w:ascii="宋体" w:hAnsi="宋体"/>
                <w:sz w:val="24"/>
              </w:rPr>
              <w:t>时延与响应体验</w:t>
            </w:r>
          </w:p>
        </w:tc>
      </w:tr>
      <w:tr w14:paraId="0412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DD338FA">
            <w:pPr>
              <w:jc w:val="center"/>
            </w:pPr>
            <w:r>
              <w:rPr>
                <w:rFonts w:ascii="宋体" w:hAnsi="宋体"/>
                <w:b/>
                <w:sz w:val="24"/>
              </w:rPr>
              <w:t>测试目的</w:t>
            </w:r>
          </w:p>
        </w:tc>
        <w:tc>
          <w:tcPr>
            <w:tcW w:w="8153" w:type="dxa"/>
          </w:tcPr>
          <w:p w14:paraId="7B3D91E1">
            <w:r>
              <w:rPr>
                <w:rFonts w:ascii="宋体" w:hAnsi="宋体"/>
                <w:sz w:val="24"/>
              </w:rPr>
              <w:t>评估Token云服务在端到端调用链路上的时延表现与用户体感响应质量，覆盖端到端时延（E2E Latency）、首Token时延（TTFT）、Token间时延（ITL）等核心时延指标，通过全链路时延拆解与分布式追踪，验证系统在低延迟场景下的服务能力。</w:t>
            </w:r>
          </w:p>
        </w:tc>
      </w:tr>
      <w:tr w14:paraId="4BB41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E3BFFF4">
            <w:pPr>
              <w:jc w:val="center"/>
            </w:pPr>
            <w:r>
              <w:rPr>
                <w:rFonts w:ascii="宋体" w:hAnsi="宋体"/>
                <w:b/>
                <w:sz w:val="24"/>
              </w:rPr>
              <w:t>测试环境</w:t>
            </w:r>
          </w:p>
        </w:tc>
        <w:tc>
          <w:tcPr>
            <w:tcW w:w="8153" w:type="dxa"/>
          </w:tcPr>
          <w:p w14:paraId="0A978D60">
            <w:r>
              <w:rPr>
                <w:rFonts w:hint="eastAsia"/>
              </w:rPr>
              <w:t>{{SHARED_ENVIRONMENT}}</w:t>
            </w:r>
            <w:r/>
            <w:r>
              <w:rPr>
                <w:rFonts w:hint="eastAsia"/>
              </w:rPr>
            </w:r>
            <w:r/>
          </w:p>
          <w:p w14:paraId="6ED71100">
            <w:r>
              <w:rPr>
                <w:rFonts w:hint="eastAsia"/>
              </w:rPr>
            </w:r>
            <w:r/>
            <w:r>
              <w:rPr>
                <w:rFonts w:hint="eastAsia"/>
              </w:rPr>
            </w:r>
            <w:r/>
          </w:p>
        </w:tc>
      </w:tr>
      <w:tr w14:paraId="58818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6546262">
            <w:pPr>
              <w:jc w:val="center"/>
            </w:pPr>
            <w:r>
              <w:rPr>
                <w:rFonts w:ascii="宋体" w:hAnsi="宋体"/>
                <w:b/>
                <w:sz w:val="24"/>
              </w:rPr>
              <w:t>测试步骤</w:t>
            </w:r>
          </w:p>
        </w:tc>
        <w:tc>
          <w:tcPr>
            <w:tcW w:w="8153" w:type="dxa"/>
          </w:tcPr>
          <w:p w14:paraId="7E4F3066">
            <w:r>
              <w:rPr>
                <w:rFonts w:ascii="宋体" w:hAnsi="宋体"/>
                <w:b/>
                <w:sz w:val="24"/>
              </w:rPr>
              <w:t>端到端时延（E2E Latency）</w:t>
            </w:r>
          </w:p>
          <w:p w14:paraId="3F00C15A">
            <w:r>
              <w:rPr>
                <w:rFonts w:ascii="宋体" w:hAnsi="宋体"/>
                <w:sz w:val="24"/>
              </w:rPr>
              <w:t>a）应测试完整的端到端请求时延（End-to-End Latency），即从客户端发起HTTP/gRPC请求到完整响应返回的总耗时，涵盖网络传输层→API网关层→推理引擎调度层→模型推理层→响应封装层→网络返回层的全链路时延。覆盖不同模型、不同输入输出长度组合场景，记录P50/P95/P99/P999端到端时延。</w:t>
            </w:r>
          </w:p>
          <w:p w14:paraId="1B065CC2">
            <w:r>
              <w:rPr>
                <w:rFonts w:ascii="宋体" w:hAnsi="宋体"/>
                <w:sz w:val="24"/>
              </w:rPr>
              <w:t>参考计算公式：E2E_Latency = T_网络上行 + T_网关处理（鉴权/限流/路由）+ T_调度排队 + T_Prefill + T_Decode × 输出Token数 + T_网络下行。其中T_Prefill和T_Decode分别为单Token预填充耗时和单Token解码耗时。</w:t>
            </w:r>
          </w:p>
          <w:p w14:paraId="5E2147C1">
            <w:r>
              <w:rPr>
                <w:rFonts w:ascii="宋体" w:hAnsi="宋体"/>
                <w:sz w:val="24"/>
              </w:rPr>
              <w:t>b）应逐层拆解端到端时延，量化网络传输、API网关、调度队列、模型推理各环节的时延贡献占比，使用分布式追踪工具（如Jaeger/Zipkin）采集全链路Span耗时，识别时延瓶颈环节。</w:t>
            </w:r>
          </w:p>
          <w:p w14:paraId="3DCAA9AE">
            <w:r>
              <w:rPr>
                <w:rFonts w:ascii="宋体" w:hAnsi="宋体"/>
                <w:sz w:val="24"/>
              </w:rPr>
              <w:t>c）应测试长距离网络条件下的端到端时延（模拟跨地域调用场景，网络RTT 50ms/100ms/200ms/500ms），评估网络延迟对总体响应时延的贡献占比，分析不同网络条件下的用户体验退化程度。</w:t>
            </w:r>
          </w:p>
          <w:p w14:paraId="22DC47A3">
            <w:r>
              <w:rPr>
                <w:rFonts w:ascii="宋体" w:hAnsi="宋体"/>
                <w:sz w:val="24"/>
              </w:rPr>
              <w:t>参考计算公式：网络贡献占比 =（E2E_Latency_远程 - E2E_Latency_本地）/ E2E_Latency_远程 × 100%。</w:t>
            </w:r>
          </w:p>
          <w:p w14:paraId="77B5005E">
            <w:r>
              <w:rPr>
                <w:rFonts w:ascii="宋体" w:hAnsi="宋体"/>
                <w:sz w:val="24"/>
              </w:rPr>
              <w:t>d）应测试不同请求并发数（低负载10QPS / 中负载100QPS / 高负载1000QPS / 极限负载）下E2E时延的变化曲线，建立并发负载-时延模型，确定系统的最佳工作区间（"甜点区"）及过载拐点。</w:t>
            </w:r>
          </w:p>
          <w:p w14:paraId="75DC1347">
            <w:r>
              <w:rPr>
                <w:rFonts w:ascii="宋体" w:hAnsi="宋体"/>
                <w:b/>
                <w:sz w:val="24"/>
              </w:rPr>
              <w:t>首Token时延（TTFT）</w:t>
            </w:r>
          </w:p>
          <w:p w14:paraId="16DC71D2">
            <w:r>
              <w:rPr>
                <w:rFonts w:ascii="宋体" w:hAnsi="宋体"/>
                <w:sz w:val="24"/>
              </w:rPr>
              <w:t>a）应测试不同模型、不同输入长度条件下首Token时延（Time To First Token），覆盖输入长度512 Token、1K Token、4K Token、8K Token、32K Token、128K Token，记录各场景的P50/P95/P99 TTFT。</w:t>
            </w:r>
          </w:p>
          <w:p w14:paraId="220755D7">
            <w:r>
              <w:rPr>
                <w:rFonts w:ascii="宋体" w:hAnsi="宋体"/>
                <w:sz w:val="24"/>
              </w:rPr>
              <w:t>参考计算公式：TTFT = T_Prefill + T_调度，其中T_Prefill = 模型预填充耗时，主要由输入Token数量与模型计算复杂度决定。</w:t>
            </w:r>
          </w:p>
          <w:p w14:paraId="0E74D6B3">
            <w:r>
              <w:rPr>
                <w:rFonts w:ascii="宋体" w:hAnsi="宋体"/>
                <w:sz w:val="24"/>
              </w:rPr>
              <w:t>b）应测试冷启动场景（模型首次加载、长时间无请求后首次调用）下的首Token时延，与热启动场景进行对比，评估模型预热策略与常驻策略的有效性。</w:t>
            </w:r>
          </w:p>
          <w:p w14:paraId="335D5058">
            <w:r>
              <w:rPr>
                <w:rFonts w:ascii="宋体" w:hAnsi="宋体"/>
                <w:sz w:val="24"/>
              </w:rPr>
              <w:t>参考计算公式：冷启动额外开销 = TTFT_冷启动 - TTFT_热启动；冷启动开销率 = 冷启动额外开销 / TTFT_热启动 × 100%。</w:t>
            </w:r>
          </w:p>
          <w:p w14:paraId="1DE0061B">
            <w:r>
              <w:rPr>
                <w:rFonts w:ascii="宋体" w:hAnsi="宋体"/>
                <w:sz w:val="24"/>
              </w:rPr>
              <w:t>c）应测试KV Cache命中/未命中场景下的首Token时延差异，评估Prefix Caching策略对响应速度的优化效果。记录不同缓存命中率（0%/50%/80%/95%）下的TTFT分布。</w:t>
            </w:r>
          </w:p>
          <w:p w14:paraId="3656EDE2">
            <w:r>
              <w:rPr>
                <w:rFonts w:ascii="宋体" w:hAnsi="宋体"/>
                <w:sz w:val="24"/>
              </w:rPr>
              <w:t>d）应测试流式推理（Streaming）与非流式推理模式下的首Token时延差异，评估两种模式对用户感知等待时间的影响，量化流式模式的首Token时间优势。</w:t>
            </w:r>
          </w:p>
          <w:p w14:paraId="3FF0DA28">
            <w:r>
              <w:rPr>
                <w:rFonts w:ascii="宋体" w:hAnsi="宋体"/>
                <w:b/>
                <w:sz w:val="24"/>
              </w:rPr>
              <w:t>Token间时延（ITL）</w:t>
            </w:r>
          </w:p>
          <w:p w14:paraId="15EE0F52">
            <w:r>
              <w:rPr>
                <w:rFonts w:ascii="宋体" w:hAnsi="宋体"/>
                <w:sz w:val="24"/>
              </w:rPr>
              <w:t>a）应测试流式输出场景下连续Token之间的平均时延（Inter-Token Latency），覆盖不同模型规模与不同输出长度场景，记录P50/P95/P99 ITL。</w:t>
            </w:r>
          </w:p>
          <w:p w14:paraId="68CE67A5">
            <w:r>
              <w:rPr>
                <w:rFonts w:ascii="宋体" w:hAnsi="宋体"/>
                <w:sz w:val="24"/>
              </w:rPr>
              <w:t>参考计算公式：ITL = 相邻两个Token输出的时间间隔（单位ms）；平均ITL = 总Decode时间 /（输出Token数 - 1）。ITL的波动性可用标准差衡量，标准差越小表示流式输出的流畅度越好。</w:t>
            </w:r>
          </w:p>
          <w:p w14:paraId="516B213F">
            <w:r>
              <w:rPr>
                <w:rFonts w:ascii="宋体" w:hAnsi="宋体"/>
                <w:sz w:val="24"/>
              </w:rPr>
              <w:t>b）应测试长文本生成过程（输出&gt;4K Token）中ITL的稳定性，分析ITL是否随输出长度增长而退化，记录ITL抖动幅度与退化趋势。</w:t>
            </w:r>
          </w:p>
          <w:p w14:paraId="15E754D7">
            <w:r>
              <w:rPr>
                <w:rFonts w:ascii="宋体" w:hAnsi="宋体"/>
                <w:sz w:val="24"/>
              </w:rPr>
              <w:t>c）应测试并发负载对ITL的影响，在不同并发请求数（低负载/中负载/高负载/极限负载）下分别测量ITL变化曲线，量化资源争抢对单个请求响应节奏的影响。</w:t>
            </w:r>
          </w:p>
          <w:p w14:paraId="66AE859C">
            <w:r>
              <w:rPr>
                <w:rFonts w:ascii="宋体" w:hAnsi="宋体"/>
                <w:b/>
                <w:sz w:val="24"/>
              </w:rPr>
              <w:t>用户响应体验综合评价</w:t>
            </w:r>
          </w:p>
          <w:p w14:paraId="504892C7">
            <w:r>
              <w:rPr>
                <w:rFonts w:ascii="宋体" w:hAnsi="宋体"/>
                <w:sz w:val="24"/>
              </w:rPr>
              <w:t>a）应测试流式输出场景下的用户感知体验，评估首个可见内容出现时间（Time to First Visible Content, TFVC）、流式输出的流畅度（Token到达间隔的均匀性，即ITL变异系数CV = σ_ITL / μ_ITL）。</w:t>
            </w:r>
          </w:p>
          <w:p w14:paraId="0B33C5B8">
            <w:r>
              <w:rPr>
                <w:rFonts w:ascii="宋体" w:hAnsi="宋体"/>
                <w:sz w:val="24"/>
              </w:rPr>
              <w:t>b）应测试在不同时延条件下（E2E&lt;1s/TTFT&lt;300ms/E2E&lt;3s/TTFT&lt;1s/E2E&lt;10s/TTFT&lt;3s）的用户体验等级，建立时延-体验分级标准，输出用户体验评级矩阵。</w:t>
            </w:r>
          </w:p>
          <w:p w14:paraId="5C34ED1F">
            <w:r>
              <w:rPr>
                <w:rFonts w:ascii="宋体" w:hAnsi="宋体"/>
                <w:sz w:val="24"/>
              </w:rPr>
              <w:t>c）应测试系统在时延波动场景下的响应体验一致性，记录时延长尾（P99/P999）的发生频率与影响程度，计算时延长尾占比 = P999_TTFT / P50_TTFT，评估服务质量的一致性。</w:t>
            </w:r>
          </w:p>
          <w:p w14:paraId="7579B0D3">
            <w:r>
              <w:rPr>
                <w:rFonts w:ascii="宋体" w:hAnsi="宋体"/>
                <w:sz w:val="24"/>
              </w:rPr>
              <w:t>d）应测试多模态生成场景（文生图、文生音频、文生视频）的端到端响应时延，与纯文本生成场景进行对比分析，建立多模态时延基线。</w:t>
            </w:r>
          </w:p>
        </w:tc>
      </w:tr>
      <w:tr w14:paraId="00619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BC2AB34">
            <w:pPr>
              <w:jc w:val="center"/>
            </w:pPr>
            <w:r>
              <w:rPr>
                <w:rFonts w:ascii="宋体" w:hAnsi="宋体"/>
                <w:b/>
                <w:sz w:val="24"/>
              </w:rPr>
              <w:t>预期结果</w:t>
            </w:r>
          </w:p>
        </w:tc>
        <w:tc>
          <w:tcPr>
            <w:tcW w:w="8153" w:type="dxa"/>
          </w:tcPr>
          <w:p w14:paraId="762EE705">
            <w:r>
              <w:rPr>
                <w:rFonts w:ascii="宋体" w:hAnsi="宋体"/>
              </w:rPr>
              <w:t>系统应完成端到端时延、首Token时延（TTFT）、Token间时延（ITL）及用户响应体验测试；P50、P95、P99、P999等指标应可准确采集并可进行链路拆解；低、中负载下响应稳定、流式输出连续，高负载下性能退化可观测、可解释，能够识别时延瓶颈并确定满足服务体验要求的推荐工作区间。</w:t>
            </w:r>
          </w:p>
        </w:tc>
      </w:tr>
      <w:tr w14:paraId="4154C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A24DC04">
            <w:pPr>
              <w:jc w:val="center"/>
            </w:pPr>
            <w:r>
              <w:rPr>
                <w:rFonts w:ascii="宋体" w:hAnsi="宋体"/>
                <w:b/>
                <w:sz w:val="24"/>
              </w:rPr>
              <w:t>测试结果</w:t>
            </w:r>
          </w:p>
        </w:tc>
        <w:tc>
          <w:tcPr>
            <w:tcW w:w="8153" w:type="dxa"/>
          </w:tcPr>
          <w:p w14:paraId="33196969"/>
          <w:p w14:paraId="70EDAED8">
            <w:r>
              <w:rPr>
                <w:b/>
                <w:sz w:val="18"/>
              </w:rPr>
              <w:t>{{RESULT_502}}</w:t>
              <w:br/>
              <w:t>[[DEMO_502]]</w:t>
            </w:r>
          </w:p>
          <w:p w14:paraId="69597C2B">
            <w:r/>
          </w:p>
          <w:p w14:paraId="28FD6673">
            <w:r/>
          </w:p>
          <w:p w14:paraId="1C5001AD">
            <w:r/>
          </w:p>
          <w:p w14:paraId="1C3FC681">
            <w:r/>
          </w:p>
          <w:p w14:paraId="369FDD16"/>
          <w:p w14:paraId="63265074">
            <w:r>
              <w:rPr>
                <w:rFonts w:hint="eastAsia"/>
              </w:rPr>
            </w:r>
          </w:p>
          <w:p w14:paraId="4FE95AF7"/>
          <w:p w14:paraId="465393FD">
            <w:r>
              <w:rPr>
                <w:rFonts w:hint="eastAsia"/>
              </w:rPr>
            </w:r>
          </w:p>
          <w:p w14:paraId="0F613E15"/>
          <w:p w14:paraId="2097780F">
            <w:r>
              <w:rPr>
                <w:rFonts w:hint="eastAsia"/>
              </w:rPr>
            </w:r>
          </w:p>
          <w:p w14:paraId="6DE5956A"/>
          <w:p w14:paraId="1BA1E5AB">
            <w:r>
              <w:rPr>
                <w:rFonts w:hint="eastAsia"/>
              </w:rPr>
            </w:r>
          </w:p>
          <w:p w14:paraId="2CF482A6"/>
          <w:p w14:paraId="3B44F69E">
            <w:r>
              <w:rPr>
                <w:rFonts w:hint="eastAsia"/>
              </w:rPr>
            </w:r>
          </w:p>
          <w:p w14:paraId="5FB5DCD8"/>
          <w:p w14:paraId="5EE63551">
            <w:r>
              <w:rPr>
                <w:rFonts w:hint="eastAsia"/>
              </w:rPr>
            </w:r>
          </w:p>
          <w:p w14:paraId="40983F04"/>
          <w:p w14:paraId="2BB64715">
            <w:r>
              <w:rPr>
                <w:rFonts w:hint="eastAsia"/>
              </w:rPr>
            </w:r>
          </w:p>
          <w:p w14:paraId="0AD1C72D"/>
          <w:p w14:paraId="1FBD4F81">
            <w:r>
              <w:rPr>
                <w:rFonts w:hint="eastAsia"/>
              </w:rPr>
            </w:r>
          </w:p>
          <w:p w14:paraId="5A74E127"/>
          <w:p w14:paraId="445D10A8"/>
        </w:tc>
      </w:tr>
      <w:tr w14:paraId="24249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CC171D5">
            <w:pPr>
              <w:jc w:val="center"/>
            </w:pPr>
            <w:r>
              <w:rPr>
                <w:rFonts w:ascii="宋体" w:hAnsi="宋体"/>
                <w:b/>
                <w:sz w:val="24"/>
              </w:rPr>
              <w:t>备注</w:t>
            </w:r>
          </w:p>
        </w:tc>
        <w:tc>
          <w:tcPr>
            <w:tcW w:w="8153" w:type="dxa"/>
          </w:tcPr>
          <w:p w14:paraId="5438DA89">
            <w:r>
              <w:rPr>
                <w:rFonts w:ascii="宋体" w:hAnsi="宋体"/>
                <w:sz w:val="24"/>
              </w:rPr>
              <w:t>{{NOTE_502}}</w:t>
            </w:r>
          </w:p>
        </w:tc>
      </w:tr>
    </w:tbl>
    <w:p w14:paraId="29FA9C73">
      <w:pPr>
        <w:pStyle w:val="2"/>
        <w:numPr>
          <w:ilvl w:val="0"/>
          <w:numId w:val="1"/>
        </w:numPr>
      </w:pPr>
      <w:r>
        <w:rPr>
          <w:rFonts w:hint="eastAsia"/>
        </w:rPr>
        <w:t>服务承载能力与稳定性</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8153"/>
      </w:tblGrid>
      <w:tr w14:paraId="1C006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E50B0FC">
            <w:pPr>
              <w:jc w:val="center"/>
            </w:pPr>
            <w:r>
              <w:rPr>
                <w:rFonts w:ascii="宋体" w:hAnsi="宋体"/>
                <w:b/>
                <w:sz w:val="24"/>
              </w:rPr>
              <w:t>测试编号</w:t>
            </w:r>
          </w:p>
        </w:tc>
        <w:tc>
          <w:tcPr>
            <w:tcW w:w="8153" w:type="dxa"/>
          </w:tcPr>
          <w:p w14:paraId="48A278C8">
            <w:r>
              <w:rPr>
                <w:rFonts w:ascii="宋体" w:hAnsi="宋体"/>
                <w:sz w:val="24"/>
              </w:rPr>
              <w:t>503</w:t>
            </w:r>
          </w:p>
        </w:tc>
      </w:tr>
      <w:tr w14:paraId="5B053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610E6AC">
            <w:pPr>
              <w:jc w:val="center"/>
            </w:pPr>
            <w:r>
              <w:rPr>
                <w:rFonts w:ascii="宋体" w:hAnsi="宋体"/>
                <w:b/>
                <w:sz w:val="24"/>
              </w:rPr>
              <w:t>测试项目</w:t>
            </w:r>
          </w:p>
        </w:tc>
        <w:tc>
          <w:tcPr>
            <w:tcW w:w="8153" w:type="dxa"/>
          </w:tcPr>
          <w:p w14:paraId="616E2EC5">
            <w:r>
              <w:rPr>
                <w:rFonts w:ascii="宋体" w:hAnsi="宋体"/>
                <w:sz w:val="24"/>
              </w:rPr>
              <w:t>服务承载能力与稳定性</w:t>
            </w:r>
          </w:p>
        </w:tc>
      </w:tr>
      <w:tr w14:paraId="63909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21DAE62">
            <w:pPr>
              <w:jc w:val="center"/>
            </w:pPr>
            <w:r>
              <w:rPr>
                <w:rFonts w:ascii="宋体" w:hAnsi="宋体"/>
                <w:b/>
                <w:sz w:val="24"/>
              </w:rPr>
              <w:t>测试目的</w:t>
            </w:r>
          </w:p>
        </w:tc>
        <w:tc>
          <w:tcPr>
            <w:tcW w:w="8153" w:type="dxa"/>
          </w:tcPr>
          <w:p w14:paraId="77B7DC6F">
            <w:r>
              <w:rPr>
                <w:rFonts w:ascii="宋体" w:hAnsi="宋体"/>
                <w:sz w:val="24"/>
              </w:rPr>
              <w:t>评估Token云服务在高负载、极端场景下的服务承载上限与长时间运行稳定性，验证系统的弹性扩缩容、故障恢复、容灾切换等稳定性保障能力，确保生产环境下的服务连续性。</w:t>
            </w:r>
          </w:p>
        </w:tc>
      </w:tr>
      <w:tr w14:paraId="0402A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C371D1A">
            <w:pPr>
              <w:jc w:val="center"/>
            </w:pPr>
            <w:r>
              <w:rPr>
                <w:rFonts w:ascii="宋体" w:hAnsi="宋体"/>
                <w:b/>
                <w:sz w:val="24"/>
              </w:rPr>
              <w:t>测试环境</w:t>
            </w:r>
          </w:p>
        </w:tc>
        <w:tc>
          <w:tcPr>
            <w:tcW w:w="8153" w:type="dxa"/>
          </w:tcPr>
          <w:p w14:paraId="3B383073">
            <w:r>
              <w:rPr>
                <w:rFonts w:hint="eastAsia"/>
              </w:rPr>
              <w:t>{{SHARED_ENVIRONMENT}}</w:t>
            </w:r>
            <w:r/>
            <w:r>
              <w:rPr>
                <w:rFonts w:hint="eastAsia"/>
              </w:rPr>
            </w:r>
            <w:r/>
          </w:p>
          <w:p w14:paraId="296432EE">
            <w:r>
              <w:rPr>
                <w:rFonts w:hint="eastAsia"/>
              </w:rPr>
            </w:r>
            <w:r/>
            <w:r>
              <w:rPr>
                <w:rFonts w:hint="eastAsia"/>
              </w:rPr>
            </w:r>
            <w:r/>
          </w:p>
        </w:tc>
      </w:tr>
      <w:tr w14:paraId="2F9A2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6025059">
            <w:pPr>
              <w:jc w:val="center"/>
            </w:pPr>
            <w:r>
              <w:rPr>
                <w:rFonts w:ascii="宋体" w:hAnsi="宋体"/>
                <w:b/>
                <w:sz w:val="24"/>
              </w:rPr>
              <w:t>测试步骤</w:t>
            </w:r>
          </w:p>
        </w:tc>
        <w:tc>
          <w:tcPr>
            <w:tcW w:w="8153" w:type="dxa"/>
          </w:tcPr>
          <w:p w14:paraId="51D1633D">
            <w:r>
              <w:rPr>
                <w:rFonts w:ascii="宋体" w:hAnsi="宋体"/>
                <w:b/>
                <w:sz w:val="24"/>
              </w:rPr>
              <w:t>极限承载能力</w:t>
            </w:r>
          </w:p>
          <w:p w14:paraId="68D8ED34">
            <w:r>
              <w:rPr>
                <w:rFonts w:ascii="宋体" w:hAnsi="宋体"/>
                <w:sz w:val="24"/>
              </w:rPr>
              <w:t>a）应测试系统在给定硬件资源下的最大并发请求承载数（QPS上限），以逐步递增方式施压（阶梯加压：100QPS→500QPS→1000QPS→2000QPS→5000QPS→直至系统吞吐不再增长或错误率超过阈值），记录系统吞吐饱和点与资源耗尽点。</w:t>
            </w:r>
          </w:p>
          <w:p w14:paraId="6510E01F">
            <w:r>
              <w:rPr>
                <w:rFonts w:ascii="宋体" w:hAnsi="宋体"/>
                <w:sz w:val="24"/>
              </w:rPr>
              <w:t>b）应测试不同模型规格（轻量级/标准级/重量级）下的极限承载能力差异，为不同等级服务的容量规划提供依据。</w:t>
            </w:r>
          </w:p>
          <w:p w14:paraId="5372E53E">
            <w:r>
              <w:rPr>
                <w:rFonts w:ascii="宋体" w:hAnsi="宋体"/>
                <w:sz w:val="24"/>
              </w:rPr>
              <w:t>c）应测试混合业务负载（短文本生成80%+长文本生成15%+多模态生成5%）下的极限承载能力，模拟真实生产环境负载模型。</w:t>
            </w:r>
          </w:p>
          <w:p w14:paraId="79D16F82">
            <w:r>
              <w:rPr>
                <w:rFonts w:ascii="宋体" w:hAnsi="宋体"/>
                <w:sz w:val="24"/>
              </w:rPr>
              <w:t>d）应测试承载极限下的服务质量退化曲线，记录QPS与成功率、时延P99、吞吐率的关系，确定服务降级阈值。</w:t>
            </w:r>
          </w:p>
          <w:p w14:paraId="72AFD552">
            <w:r>
              <w:rPr>
                <w:rFonts w:ascii="宋体" w:hAnsi="宋体"/>
                <w:b/>
                <w:sz w:val="24"/>
              </w:rPr>
              <w:t>长时间运行稳定性</w:t>
            </w:r>
          </w:p>
          <w:p w14:paraId="5E9797CF">
            <w:r>
              <w:rPr>
                <w:rFonts w:ascii="宋体" w:hAnsi="宋体"/>
                <w:sz w:val="24"/>
              </w:rPr>
              <w:t>a）应进行7×24小时持续运行稳定性测试，在中等负载（极限QPS的60%）下持续运行，监控Token产能波动、时延漂移、内存泄漏、错误率趋势等指标。</w:t>
            </w:r>
          </w:p>
          <w:p w14:paraId="78A7C520">
            <w:r>
              <w:rPr>
                <w:rFonts w:ascii="宋体" w:hAnsi="宋体"/>
                <w:sz w:val="24"/>
              </w:rPr>
              <w:t>b）应进行长时间运行后的资源状态检测，检查GPU显存碎片率、内存占用趋势、磁盘日志膨胀等资源健康度指标，评估系统是否存在资源泄漏风险。</w:t>
            </w:r>
          </w:p>
          <w:p w14:paraId="5742502A">
            <w:r>
              <w:rPr>
                <w:rFonts w:ascii="宋体" w:hAnsi="宋体"/>
                <w:sz w:val="24"/>
              </w:rPr>
              <w:t>c）应测试长时间运行场景下的模型推理质量一致性，定期采样输出结果与基线结果进行对比，确保长时间运行后Token生成质量无退化。</w:t>
            </w:r>
          </w:p>
          <w:p w14:paraId="260A38B2">
            <w:r>
              <w:rPr>
                <w:rFonts w:ascii="宋体" w:hAnsi="宋体"/>
                <w:b/>
                <w:sz w:val="24"/>
              </w:rPr>
              <w:t>弹性扩缩容能力</w:t>
            </w:r>
          </w:p>
          <w:p w14:paraId="712DCB8B">
            <w:r>
              <w:rPr>
                <w:rFonts w:ascii="宋体" w:hAnsi="宋体"/>
                <w:sz w:val="24"/>
              </w:rPr>
              <w:t>a）应测试基于QPS指标的自动弹性扩缩容能力，模拟流量从低负载突增至高峰（如10分钟内QPS从100增至5000），验证系统自动扩容响应时间（从触发扩容到新实例就绪的端到端时间）。</w:t>
            </w:r>
          </w:p>
          <w:p w14:paraId="04E68D42">
            <w:r>
              <w:rPr>
                <w:rFonts w:ascii="宋体" w:hAnsi="宋体"/>
                <w:sz w:val="24"/>
              </w:rPr>
              <w:t>b）应测试流量高峰过后的自动缩容能力，验证缩容过程中对在线请求的无损处理（无请求丢失、无连接中断）。</w:t>
            </w:r>
          </w:p>
          <w:p w14:paraId="1BC5D6E6">
            <w:r>
              <w:rPr>
                <w:rFonts w:ascii="宋体" w:hAnsi="宋体"/>
                <w:sz w:val="24"/>
              </w:rPr>
              <w:t>c）应测试扩缩容过程中的服务连续性，在扩缩容操作进行期间持续发送请求，记录请求成功率与时延波动，确保扩缩容操作对业务无感知。</w:t>
            </w:r>
          </w:p>
          <w:p w14:paraId="0FD1F8B2">
            <w:r>
              <w:rPr>
                <w:rFonts w:ascii="宋体" w:hAnsi="宋体"/>
                <w:sz w:val="24"/>
              </w:rPr>
              <w:t>d）应测试扩缩容的冷却时间与振荡抑制机制，模拟流量反复波动场景，验证系统不会出现频繁扩缩容振荡。</w:t>
            </w:r>
          </w:p>
          <w:p w14:paraId="053E6E8E">
            <w:r>
              <w:rPr>
                <w:rFonts w:ascii="宋体" w:hAnsi="宋体"/>
                <w:b/>
                <w:sz w:val="24"/>
              </w:rPr>
              <w:t>故障恢复与容灾</w:t>
            </w:r>
          </w:p>
          <w:p w14:paraId="4723DF4E">
            <w:r>
              <w:rPr>
                <w:rFonts w:ascii="宋体" w:hAnsi="宋体"/>
                <w:sz w:val="24"/>
              </w:rPr>
              <w:t>a）应测试单GPU/单节点故障场景下的自动故障转移能力，模拟GPU异常、节点宕机等故障，验证故障检测时间、故障切换时间、故障恢复后的服务恢复时间（RTO）与数据恢复点（RPO）。</w:t>
            </w:r>
          </w:p>
          <w:p w14:paraId="463A8322">
            <w:r>
              <w:rPr>
                <w:rFonts w:ascii="宋体" w:hAnsi="宋体"/>
                <w:sz w:val="24"/>
              </w:rPr>
              <w:t>b）应测试模型服务实例故障后的自动重建与流量切换能力，验证新实例启动时间与旧实例流量排空策略的有效性。</w:t>
            </w:r>
          </w:p>
          <w:p w14:paraId="4DC59A59">
            <w:r>
              <w:rPr>
                <w:rFonts w:ascii="宋体" w:hAnsi="宋体"/>
                <w:sz w:val="24"/>
              </w:rPr>
              <w:t>c）应测试跨可用区/跨机房的容灾切换能力，模拟整个可用区故障，验证容灾切换的自动化程度与业务中断时间。</w:t>
            </w:r>
          </w:p>
          <w:p w14:paraId="30BF30DC">
            <w:r>
              <w:rPr>
                <w:rFonts w:ascii="宋体" w:hAnsi="宋体"/>
                <w:sz w:val="24"/>
              </w:rPr>
              <w:t>d）应测试故障恢复后的系统状态一致性，验证故障期间未完成的请求是否得到正确处理（超时返回或重试成功），无数据丢失或状态不一致。</w:t>
            </w:r>
          </w:p>
          <w:p w14:paraId="31C22A4F">
            <w:r>
              <w:rPr>
                <w:rFonts w:ascii="宋体" w:hAnsi="宋体"/>
                <w:b/>
                <w:sz w:val="24"/>
              </w:rPr>
              <w:t>SLA保障能力</w:t>
            </w:r>
          </w:p>
          <w:p w14:paraId="00DDEFFF">
            <w:r>
              <w:rPr>
                <w:rFonts w:ascii="宋体" w:hAnsi="宋体"/>
                <w:sz w:val="24"/>
              </w:rPr>
              <w:t>a）应在标准SLA承诺负载下（如99.9%可用性对应负载），持续运行72小时，统计服务可用性、请求成功率（≥99.9%）、响应时延P99（≤SLA承诺值）的达成情况。</w:t>
            </w:r>
          </w:p>
          <w:p w14:paraId="5D4CAE33">
            <w:r>
              <w:rPr>
                <w:rFonts w:ascii="宋体" w:hAnsi="宋体"/>
                <w:sz w:val="24"/>
              </w:rPr>
              <w:t>b）应在超过SLA承诺负载120%的过载场景下运行1小时，验证过载保护机制（限流、熔断、降级）的有效性，确保核心服务不被过载请求压垮。</w:t>
            </w:r>
          </w:p>
          <w:p w14:paraId="61C3CCF1">
            <w:r>
              <w:rPr>
                <w:rFonts w:ascii="宋体" w:hAnsi="宋体"/>
                <w:sz w:val="24"/>
              </w:rPr>
              <w:t>c）应测试SLA指标实时监控的准确性与告警及时性，模拟SLA指标逼近阈值场景，验证告警延迟（从指标超标到告警通知的时间差）。</w:t>
            </w:r>
          </w:p>
        </w:tc>
      </w:tr>
      <w:tr w14:paraId="301C4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8B80907">
            <w:pPr>
              <w:jc w:val="center"/>
            </w:pPr>
            <w:r>
              <w:rPr>
                <w:rFonts w:ascii="宋体" w:hAnsi="宋体"/>
                <w:b/>
                <w:sz w:val="24"/>
              </w:rPr>
              <w:t>预期结果</w:t>
            </w:r>
          </w:p>
        </w:tc>
        <w:tc>
          <w:tcPr>
            <w:tcW w:w="8153" w:type="dxa"/>
          </w:tcPr>
          <w:p w14:paraId="573F3D37">
            <w:r>
              <w:rPr>
                <w:rFonts w:ascii="宋体" w:hAnsi="宋体"/>
              </w:rPr>
              <w:t>系统应完成极限承载、7×24小时稳定运行、弹性扩缩容、故障恢复与容灾、SLA保障测试；长时间运行期间不得出现服务不可用、资源泄漏或明显性能漂移，请求成功率应达到SLA要求（不低于99.9%）；扩缩容过程应保持请求连续，故障应能被自动检测、隔离并恢复，过载保护、监控和告警机制应有效。</w:t>
            </w:r>
          </w:p>
        </w:tc>
      </w:tr>
      <w:tr w14:paraId="46F61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70968CC">
            <w:pPr>
              <w:jc w:val="center"/>
            </w:pPr>
            <w:r>
              <w:rPr>
                <w:rFonts w:ascii="宋体" w:hAnsi="宋体"/>
                <w:b/>
                <w:sz w:val="24"/>
              </w:rPr>
              <w:t>测试结果</w:t>
            </w:r>
          </w:p>
        </w:tc>
        <w:tc>
          <w:tcPr>
            <w:tcW w:w="8153" w:type="dxa"/>
          </w:tcPr>
          <w:p w14:paraId="4F0634C6"/>
          <w:p w14:paraId="3C236187">
            <w:r>
              <w:rPr>
                <w:b/>
                <w:sz w:val="19"/>
              </w:rPr>
              <w:t>{{RESULT_503}}</w:t>
              <w:br/>
              <w:t>[[DEMO_503]]</w:t>
            </w:r>
          </w:p>
          <w:p w14:paraId="34614A77">
            <w:r>
              <w:rPr>
                <w:sz w:val="19"/>
              </w:rPr>
            </w:r>
          </w:p>
          <w:p w14:paraId="13728994">
            <w:r>
              <w:rPr>
                <w:b/>
                <w:sz w:val="19"/>
              </w:rPr>
            </w:r>
          </w:p>
          <w:p w14:paraId="2C14BE25">
            <w:r>
              <w:rPr>
                <w:sz w:val="19"/>
              </w:rPr>
            </w:r>
          </w:p>
          <w:p w14:paraId="32CF60F1">
            <w:r>
              <w:rPr>
                <w:b/>
                <w:sz w:val="19"/>
              </w:rPr>
            </w:r>
          </w:p>
          <w:p w14:paraId="58C6CCAD">
            <w:r>
              <w:rPr>
                <w:sz w:val="19"/>
              </w:rPr>
            </w:r>
          </w:p>
          <w:p w14:paraId="5DA6DB7E">
            <w:r>
              <w:rPr>
                <w:b/>
                <w:sz w:val="19"/>
              </w:rPr>
            </w:r>
          </w:p>
          <w:p w14:paraId="653F5806">
            <w:r>
              <w:rPr>
                <w:sz w:val="19"/>
              </w:rPr>
            </w:r>
          </w:p>
          <w:p w14:paraId="4A20C38F">
            <w:r>
              <w:rPr>
                <w:b/>
                <w:sz w:val="18"/>
              </w:rPr>
            </w:r>
          </w:p>
          <w:p w14:paraId="65FB1592">
            <w:r/>
          </w:p>
          <w:p w14:paraId="6C776CF6">
            <w:r/>
          </w:p>
          <w:p w14:paraId="51F126E9">
            <w:r/>
          </w:p>
          <w:p w14:paraId="3C9BFAED"/>
        </w:tc>
      </w:tr>
      <w:tr w14:paraId="04EF7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AB9FCF7">
            <w:pPr>
              <w:jc w:val="center"/>
            </w:pPr>
            <w:r>
              <w:rPr>
                <w:rFonts w:ascii="宋体" w:hAnsi="宋体"/>
                <w:b/>
                <w:sz w:val="24"/>
              </w:rPr>
              <w:t>备注</w:t>
            </w:r>
          </w:p>
        </w:tc>
        <w:tc>
          <w:tcPr>
            <w:tcW w:w="8153" w:type="dxa"/>
          </w:tcPr>
          <w:p w14:paraId="7C2A7C4C">
            <w:r>
              <w:rPr>
                <w:rFonts w:ascii="宋体" w:hAnsi="宋体"/>
                <w:sz w:val="24"/>
              </w:rPr>
              <w:t>{{NOTE_503}}</w:t>
            </w:r>
          </w:p>
        </w:tc>
      </w:tr>
    </w:tbl>
    <w:p w14:paraId="71C3A32B">
      <w:pPr>
        <w:pStyle w:val="2"/>
        <w:numPr>
          <w:ilvl w:val="0"/>
          <w:numId w:val="1"/>
        </w:numPr>
      </w:pPr>
      <w:r>
        <w:rPr>
          <w:rFonts w:hint="eastAsia"/>
        </w:rPr>
        <w:t>资源利用率与能效</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8153"/>
      </w:tblGrid>
      <w:tr w14:paraId="7D45F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957AE24">
            <w:pPr>
              <w:jc w:val="center"/>
            </w:pPr>
            <w:r>
              <w:rPr>
                <w:rFonts w:ascii="宋体" w:hAnsi="宋体"/>
                <w:b/>
                <w:sz w:val="24"/>
              </w:rPr>
              <w:t>测试编号</w:t>
            </w:r>
          </w:p>
        </w:tc>
        <w:tc>
          <w:tcPr>
            <w:tcW w:w="8153" w:type="dxa"/>
          </w:tcPr>
          <w:p w14:paraId="33C08F4B">
            <w:r>
              <w:rPr>
                <w:rFonts w:ascii="宋体" w:hAnsi="宋体"/>
                <w:sz w:val="24"/>
              </w:rPr>
              <w:t>504</w:t>
            </w:r>
          </w:p>
        </w:tc>
      </w:tr>
      <w:tr w14:paraId="0AD88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16B51C6">
            <w:pPr>
              <w:jc w:val="center"/>
            </w:pPr>
            <w:r>
              <w:rPr>
                <w:rFonts w:ascii="宋体" w:hAnsi="宋体"/>
                <w:b/>
                <w:sz w:val="24"/>
              </w:rPr>
              <w:t>测试项目</w:t>
            </w:r>
          </w:p>
        </w:tc>
        <w:tc>
          <w:tcPr>
            <w:tcW w:w="8153" w:type="dxa"/>
          </w:tcPr>
          <w:p w14:paraId="0D2CCD9C">
            <w:r>
              <w:rPr>
                <w:rFonts w:ascii="宋体" w:hAnsi="宋体"/>
                <w:sz w:val="24"/>
              </w:rPr>
              <w:t>资源利用率与能效</w:t>
            </w:r>
          </w:p>
        </w:tc>
      </w:tr>
      <w:tr w14:paraId="726AF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EE87C49">
            <w:pPr>
              <w:jc w:val="center"/>
            </w:pPr>
            <w:r>
              <w:rPr>
                <w:rFonts w:ascii="宋体" w:hAnsi="宋体"/>
                <w:b/>
                <w:sz w:val="24"/>
              </w:rPr>
              <w:t>测试目的</w:t>
            </w:r>
          </w:p>
        </w:tc>
        <w:tc>
          <w:tcPr>
            <w:tcW w:w="8153" w:type="dxa"/>
          </w:tcPr>
          <w:p w14:paraId="27F4B907">
            <w:r>
              <w:rPr>
                <w:rFonts w:ascii="宋体" w:hAnsi="宋体"/>
                <w:sz w:val="24"/>
              </w:rPr>
              <w:t>评估Token云服务在异构加速器硬件利用率、显存占用率、Prefill/Decode吞吐、单位有效Token成本、投资回报率（ROI）、并行扩展效率及能效比等方面的综合效能表现，验证系统在资源弹性调度、成本控制、绿色节能等方面的能力，为精细化运营与降本增效提供数据支撑。</w:t>
            </w:r>
          </w:p>
        </w:tc>
      </w:tr>
      <w:tr w14:paraId="37FE6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D47D6EB">
            <w:pPr>
              <w:jc w:val="center"/>
            </w:pPr>
            <w:r>
              <w:rPr>
                <w:rFonts w:ascii="宋体" w:hAnsi="宋体"/>
                <w:b/>
                <w:sz w:val="24"/>
              </w:rPr>
              <w:t>测试环境</w:t>
            </w:r>
          </w:p>
        </w:tc>
        <w:tc>
          <w:tcPr>
            <w:tcW w:w="8153" w:type="dxa"/>
          </w:tcPr>
          <w:p w14:paraId="26A5D4AC">
            <w:r>
              <w:rPr>
                <w:rFonts w:hint="eastAsia"/>
              </w:rPr>
              <w:t>{{SHARED_ENVIRONMENT}}</w:t>
            </w:r>
            <w:r/>
            <w:r>
              <w:rPr>
                <w:rFonts w:hint="eastAsia"/>
              </w:rPr>
            </w:r>
            <w:r/>
          </w:p>
          <w:p w14:paraId="180CA40E">
            <w:r>
              <w:rPr>
                <w:rFonts w:hint="eastAsia"/>
              </w:rPr>
            </w:r>
            <w:r/>
            <w:r>
              <w:rPr>
                <w:rFonts w:hint="eastAsia"/>
              </w:rPr>
            </w:r>
            <w:r/>
          </w:p>
        </w:tc>
      </w:tr>
      <w:tr w14:paraId="74FEA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5B9DB40">
            <w:pPr>
              <w:jc w:val="center"/>
            </w:pPr>
            <w:r>
              <w:rPr>
                <w:rFonts w:ascii="宋体" w:hAnsi="宋体"/>
                <w:b/>
                <w:sz w:val="24"/>
              </w:rPr>
              <w:t>测试步骤</w:t>
            </w:r>
          </w:p>
        </w:tc>
        <w:tc>
          <w:tcPr>
            <w:tcW w:w="8153" w:type="dxa"/>
          </w:tcPr>
          <w:p w14:paraId="361D02DD">
            <w:r>
              <w:rPr>
                <w:rFonts w:ascii="宋体" w:hAnsi="宋体"/>
                <w:b/>
                <w:sz w:val="24"/>
              </w:rPr>
              <w:t>异构加速器硬件利用率</w:t>
            </w:r>
          </w:p>
          <w:p w14:paraId="12039F3F">
            <w:r>
              <w:rPr>
                <w:rFonts w:ascii="宋体" w:hAnsi="宋体"/>
                <w:sz w:val="24"/>
              </w:rPr>
              <w:t>a）应测试GPU/NPU等异构加速器的核心计算利用率（GPU/NPU Core Utilization），在不同负载等级（空闲/低负载30%/中负载60%/高负载90%/极限负载）下分别记录SM/Tensor Core利用率、FP16/FP8/INT8/INT4计算单元占比、显存带宽利用率，评估异构算力资源的综合使用效率。</w:t>
            </w:r>
          </w:p>
          <w:p w14:paraId="3000E7E3">
            <w:r>
              <w:rPr>
                <w:rFonts w:ascii="宋体" w:hAnsi="宋体"/>
                <w:sz w:val="24"/>
              </w:rPr>
              <w:t>参考计算公式：GPU总利用率 = SM利用率 × 权重1 + Tensor Core利用率 × 权重2 + 显存带宽利用率 × 权重3；其中权重根据模型推理的计算特征（计算密集型 vs 访存密集型）确定。</w:t>
            </w:r>
          </w:p>
          <w:p w14:paraId="2DCCCB8E">
            <w:r>
              <w:rPr>
                <w:rFonts w:ascii="宋体" w:hAnsi="宋体"/>
                <w:sz w:val="24"/>
              </w:rPr>
              <w:t>b）应测试不同硬件平台（NVIDIA A100/H100/B200、华为昇腾910B/910C、寒武纪MLU590等）在相同推理任务下的硬件利用率对比，分析各硬件架构对推理负载的适配效率差异，为异构算力池的负载调度提供数据依据。</w:t>
            </w:r>
          </w:p>
          <w:p w14:paraId="24A9C321">
            <w:r>
              <w:rPr>
                <w:rFonts w:ascii="宋体" w:hAnsi="宋体"/>
                <w:sz w:val="24"/>
              </w:rPr>
              <w:t>参考计算公式：硬件适配效率 = 该硬件平台实际吞吐率 / 该硬件平台理论峰值吞吐率 × 100%。</w:t>
            </w:r>
          </w:p>
          <w:p w14:paraId="1FAF99D7">
            <w:r>
              <w:rPr>
                <w:rFonts w:ascii="宋体" w:hAnsi="宋体"/>
                <w:sz w:val="24"/>
              </w:rPr>
              <w:t>c）应测试不同模型并发混部场景下的异构加速器资源利用率，对比模型独占部署与混部部署的资源利用效率差异，评估混部策略的算力节省效果。</w:t>
            </w:r>
          </w:p>
          <w:p w14:paraId="2EAD8035">
            <w:r>
              <w:rPr>
                <w:rFonts w:ascii="宋体" w:hAnsi="宋体"/>
                <w:sz w:val="24"/>
              </w:rPr>
              <w:t>d）应测试加速器空闲时段的资源回收与再分配效率，记录空闲检测延迟（从最后一请求结束到判定为空闲的时间）和再分配就绪时间，评估系统在负载波谷期的资源浪费率与节能策略的有效性。</w:t>
            </w:r>
          </w:p>
          <w:p w14:paraId="511C4672">
            <w:r>
              <w:rPr>
                <w:rFonts w:ascii="宋体" w:hAnsi="宋体"/>
                <w:b/>
                <w:sz w:val="24"/>
              </w:rPr>
              <w:t>显存占用率与显存效率</w:t>
            </w:r>
          </w:p>
          <w:p w14:paraId="44C77169">
            <w:r>
              <w:rPr>
                <w:rFonts w:ascii="宋体" w:hAnsi="宋体"/>
                <w:sz w:val="24"/>
              </w:rPr>
              <w:t>a）应测试模型加载后的GPU/NPU显存占用基线，记录模型权重、KV Cache、中间激活值、运行时临时缓冲等各部分显存占用的分解占比，评估显存资源的分配结构与浪费情况。</w:t>
            </w:r>
          </w:p>
          <w:p w14:paraId="3256957F">
            <w:r>
              <w:rPr>
                <w:rFonts w:ascii="宋体" w:hAnsi="宋体"/>
                <w:sz w:val="24"/>
              </w:rPr>
              <w:t>参考计算公式：显存总占用 = 模型权重 + KV Cache + 激活值内存 + 临时缓冲 + 其他；显存占用率 = 已用显存 / 总显存 × 100%；可用显存效率 = 用于模型推理的显存 / 总已用显存 × 100%。</w:t>
            </w:r>
          </w:p>
          <w:p w14:paraId="3EB2067F">
            <w:r>
              <w:rPr>
                <w:rFonts w:ascii="宋体" w:hAnsi="宋体"/>
                <w:sz w:val="24"/>
              </w:rPr>
              <w:t>b）应测试不同上下文长度（4K/8K/32K/128K/256K/1M Token）下KV Cache的显存增长曲线，计算单位上下文长度的显存增量成本，确定给定硬件配置下可支持的最大上下文长度。</w:t>
            </w:r>
          </w:p>
          <w:p w14:paraId="4EB01C6A">
            <w:r>
              <w:rPr>
                <w:rFonts w:ascii="宋体" w:hAnsi="宋体"/>
                <w:sz w:val="24"/>
              </w:rPr>
              <w:t>c）应测试显存碎片率的长期变化趋势，在7×24小时持续负载下监控显存碎片的产生与累积情况，评估显存管理策略（如vLLM的PagedAttention、SGLang的RadixAttention）对碎片率的抑制效果。</w:t>
            </w:r>
          </w:p>
          <w:p w14:paraId="553EE606">
            <w:r>
              <w:rPr>
                <w:rFonts w:ascii="宋体" w:hAnsi="宋体"/>
                <w:sz w:val="24"/>
              </w:rPr>
              <w:t>参考计算公式：显存碎片率 =（总空闲显存 - 最大连续空闲显存块）/ 总显存 × 100%；碎片率越接近0表示显存管理越高效。</w:t>
            </w:r>
          </w:p>
          <w:p w14:paraId="690B5403">
            <w:r>
              <w:rPr>
                <w:rFonts w:ascii="宋体" w:hAnsi="宋体"/>
                <w:sz w:val="24"/>
              </w:rPr>
              <w:t>d）应测试显存优化技术（KV Cache量化INT8/INT4/FlexPrefill Prefix Caching等）对显存占用率的降低效果，量化优化前后的单位显存Token产能提升比例。</w:t>
            </w:r>
          </w:p>
          <w:p w14:paraId="72A2DD24">
            <w:r>
              <w:rPr>
                <w:rFonts w:ascii="宋体" w:hAnsi="宋体"/>
                <w:b/>
                <w:sz w:val="24"/>
              </w:rPr>
              <w:t>Prefill吞吐与Decode吞吐</w:t>
            </w:r>
          </w:p>
          <w:p w14:paraId="6D0A970D">
            <w:r>
              <w:rPr>
                <w:rFonts w:ascii="宋体" w:hAnsi="宋体"/>
                <w:sz w:val="24"/>
              </w:rPr>
              <w:t>a）应分别测试Prefill阶段和Decode阶段的独立吞吐率（Tokens/s），解耦两阶段的计算特征差异——Prefill阶段为计算密集型（Compute-bound），Decode阶段为访存密集型（Memory-bound）。覆盖不同输入长度（512/1K/4K/8K/32K/128K Token）下的Prefill吞吐率变化。</w:t>
            </w:r>
          </w:p>
          <w:p w14:paraId="4A51B9FE">
            <w:r>
              <w:rPr>
                <w:rFonts w:ascii="宋体" w:hAnsi="宋体"/>
                <w:sz w:val="24"/>
              </w:rPr>
              <w:t>参考计算公式：Prefill吞吐率 = 输入Token数 / Prefill耗时（s）；Decode吞吐率 = 输出Token数 / Decode耗时（s）；Prefill/Decode吞吐比 = Prefill吞吐率 / Decode吞吐率，该比值反映两阶段的计算特征差异度。</w:t>
            </w:r>
          </w:p>
          <w:p w14:paraId="3C59313F">
            <w:r>
              <w:rPr>
                <w:rFonts w:ascii="宋体" w:hAnsi="宋体"/>
                <w:sz w:val="24"/>
              </w:rPr>
              <w:t>b）应测试Prefill-Decode分离部署架构（P-D Disaggregation，即Prefill节点与Decode节点独立部署）下的吞吐率表现，与一体化部署模式进行对比，评估分离架构对两阶段各自吞吐率的优化效果及引入的网络传输开销。</w:t>
            </w:r>
          </w:p>
          <w:p w14:paraId="44C30DE9">
            <w:r>
              <w:rPr>
                <w:rFonts w:ascii="宋体" w:hAnsi="宋体"/>
                <w:sz w:val="24"/>
              </w:rPr>
              <w:t>参考计算公式：分离架构收益 =（分离架构总吞吐率 - 一体化总吞吐率）/ 一体化总吞吐率 × 100%；若该值&gt;0，说明分离架构有效；若&lt;0，说明网络传输开销超过分离带来的优化收益。</w:t>
            </w:r>
          </w:p>
          <w:p w14:paraId="09F97D30">
            <w:r>
              <w:rPr>
                <w:rFonts w:ascii="宋体" w:hAnsi="宋体"/>
                <w:sz w:val="24"/>
              </w:rPr>
              <w:t>c）应测试不同batch size配置下Prefill与Decode吞吐率的平衡关系，确定使两阶段吞吐率匹配（即不因Prefill慢而阻塞Decode，也不因Decode慢而堆积请求）的最优配置区间，避免"跷跷板效应"。</w:t>
            </w:r>
          </w:p>
          <w:p w14:paraId="4344503C">
            <w:r>
              <w:rPr>
                <w:rFonts w:ascii="宋体" w:hAnsi="宋体"/>
                <w:sz w:val="24"/>
              </w:rPr>
              <w:t>参考计算公式：吞吐匹配度 = min(Prefill吞吐率, Decode吞吐率) / max(Prefill吞吐率, Decode吞吐率)，该值越接近1表示两阶段越均衡。</w:t>
            </w:r>
          </w:p>
          <w:p w14:paraId="2EC6F7AC">
            <w:r>
              <w:rPr>
                <w:rFonts w:ascii="宋体" w:hAnsi="宋体"/>
                <w:b/>
                <w:sz w:val="24"/>
              </w:rPr>
              <w:t>算力资源利用率（CPU/内存/网络）</w:t>
            </w:r>
          </w:p>
          <w:p w14:paraId="22184E37">
            <w:r>
              <w:rPr>
                <w:rFonts w:ascii="宋体" w:hAnsi="宋体"/>
                <w:sz w:val="24"/>
              </w:rPr>
              <w:t>a）应测试CPU内存利用率，记录模型加载、推理服务运行过程中的系统内存占用（含模型元数据、请求队列、KV Cache的CPU侧备份等），评估内存配置的合理性并识别是否存在过度分配或不足。</w:t>
            </w:r>
          </w:p>
          <w:p w14:paraId="197D4775">
            <w:r>
              <w:rPr>
                <w:rFonts w:ascii="宋体" w:hAnsi="宋体"/>
                <w:sz w:val="24"/>
              </w:rPr>
              <w:t>b）应测试KV Cache的缓存命中率与缓存空间效率，记录不同缓存策略（LRU/LFU/Radix/TTL等）下的命中率与内存/显存占用，评估缓存空间的投入产出比。</w:t>
            </w:r>
          </w:p>
          <w:p w14:paraId="762B252C">
            <w:r>
              <w:rPr>
                <w:rFonts w:ascii="宋体" w:hAnsi="宋体"/>
                <w:sz w:val="24"/>
              </w:rPr>
              <w:t>参考计算公式：缓存空间投入产出比 = 缓存命中带来的时延收益（ms）/ 缓存占用的显存成本（GB）；时延收益 =（未命中TTFT - 命中TTFT）× 缓存命中次数。</w:t>
            </w:r>
          </w:p>
          <w:p w14:paraId="703E08BC">
            <w:r>
              <w:rPr>
                <w:rFonts w:ascii="宋体" w:hAnsi="宋体"/>
                <w:sz w:val="24"/>
              </w:rPr>
              <w:t>c）应测试模型加载与分发的带宽效率，记录模型文件从存储系统（本地SSD/NFS/对象存储）加载到GPU显存的耗时，评估模型分发环节对服务冷启动时间和弹性扩缩容效率的影响。</w:t>
            </w:r>
          </w:p>
          <w:p w14:paraId="16E208F7">
            <w:r>
              <w:rPr>
                <w:rFonts w:ascii="宋体" w:hAnsi="宋体"/>
                <w:b/>
                <w:sz w:val="24"/>
              </w:rPr>
              <w:t>单位有效Token成本</w:t>
            </w:r>
          </w:p>
          <w:p w14:paraId="787E9829">
            <w:r>
              <w:rPr>
                <w:rFonts w:ascii="宋体" w:hAnsi="宋体"/>
                <w:sz w:val="24"/>
              </w:rPr>
              <w:t>a）应测试单位有效Token的综合生产成本（Cost per Effective Token, CET），综合算力租赁成本、电力能耗成本、网络带宽成本、运维人力成本、软件许可成本等全部成本要素，建立Token生产的全成本模型。</w:t>
            </w:r>
          </w:p>
          <w:p w14:paraId="2BA05215">
            <w:r>
              <w:rPr>
                <w:rFonts w:ascii="宋体" w:hAnsi="宋体"/>
                <w:sz w:val="24"/>
              </w:rPr>
              <w:t>参考计算公式：CET = 总成本TCO / 有效Token总数，其中总成本TCO = C_算力 + C_电力 + C_网络 + C_运维 + C_软件；有效Token数 = 总生成Token数 × 有效率。单位通常为元/百万Token或元/十亿Token。</w:t>
            </w:r>
          </w:p>
          <w:p w14:paraId="4079CCC4">
            <w:r>
              <w:rPr>
                <w:rFonts w:ascii="宋体" w:hAnsi="宋体"/>
                <w:sz w:val="24"/>
              </w:rPr>
              <w:t>b）应对比不同计费模式（按量付费/包年包月/竞价实例/预留实例）下的Token生产成本差异，输出各计费模式在不同负载特征（稳定负载/波动负载/间歇负载/突发负载）下的最优成本策略建议。</w:t>
            </w:r>
          </w:p>
          <w:p w14:paraId="1BB14C94">
            <w:r>
              <w:rPr>
                <w:rFonts w:ascii="宋体" w:hAnsi="宋体"/>
                <w:sz w:val="24"/>
              </w:rPr>
              <w:t>参考计算公式：计费模式成本 = Σ（实例单价 × 使用时长 × 实例数），需考虑竞价实例的中断概率带来的额外成本。</w:t>
            </w:r>
          </w:p>
          <w:p w14:paraId="7BD38747">
            <w:r>
              <w:rPr>
                <w:rFonts w:ascii="宋体" w:hAnsi="宋体"/>
                <w:sz w:val="24"/>
              </w:rPr>
              <w:t>c）应测试不同推理优化技术（模型量化INT8/INT4/FP8、模型剪枝、知识蒸馏、推测解码Speculative Decoding等）对单位Token成本的降低效果，量化优化技术的降本收益。</w:t>
            </w:r>
          </w:p>
          <w:p w14:paraId="7CF9B3DD">
            <w:r>
              <w:rPr>
                <w:rFonts w:ascii="宋体" w:hAnsi="宋体"/>
                <w:sz w:val="24"/>
              </w:rPr>
              <w:t>参考计算公式：降本率 =（优化前CET - 优化后CET）/ 优化前CET × 100%。</w:t>
            </w:r>
          </w:p>
          <w:p w14:paraId="127615E8">
            <w:r>
              <w:rPr>
                <w:rFonts w:ascii="宋体" w:hAnsi="宋体"/>
                <w:sz w:val="24"/>
              </w:rPr>
              <w:t>d）应测试资源超分配（GPU MIG分区/vGPU/GPU Time-Slicing/Multi-Process Service）场景下的Token产能密度与单位成本，与整卡独占模式进行成本-性能对比分析。</w:t>
            </w:r>
          </w:p>
          <w:p w14:paraId="5733190E">
            <w:r>
              <w:rPr>
                <w:rFonts w:ascii="宋体" w:hAnsi="宋体"/>
                <w:b/>
                <w:sz w:val="24"/>
              </w:rPr>
              <w:t>投资回报率（ROI）</w:t>
            </w:r>
          </w:p>
          <w:p w14:paraId="5E551BA1">
            <w:r>
              <w:rPr>
                <w:rFonts w:ascii="宋体" w:hAnsi="宋体"/>
                <w:sz w:val="24"/>
              </w:rPr>
              <w:t>a）应建立Token云服务的投资回报率（Return On Investment, ROI）评估模型，综合硬件基础设施投入、软件开发与许可费用、运维人员成本等投资项，以及Token服务带来的直接收入与间接业务价值等回报项，计算全生命周期的ROI指标。</w:t>
            </w:r>
          </w:p>
          <w:p w14:paraId="0211DEC3">
            <w:r>
              <w:rPr>
                <w:rFonts w:ascii="宋体" w:hAnsi="宋体"/>
                <w:sz w:val="24"/>
              </w:rPr>
              <w:t>参考计算公式：ROI =（Token服务总收益 - 总投入成本）/ 总投入成本 × 100%；投资回收期（月）= 总投入成本 / 月均净收益；净现值NPV = Σ（第t年净现金流 /（1 + 折现率）^t） - 初始投资。</w:t>
            </w:r>
          </w:p>
          <w:p w14:paraId="029B8834">
            <w:r>
              <w:rPr>
                <w:rFonts w:ascii="宋体" w:hAnsi="宋体"/>
                <w:sz w:val="24"/>
              </w:rPr>
              <w:t>b）应测算不同硬件配置方案（全A100集群 / 全H100集群 / A100+H100异构集群 / 国产芯片方案）的3年TCO与ROI对比，输出不同预算约束下的最优硬件选型建议。</w:t>
            </w:r>
          </w:p>
          <w:p w14:paraId="23C4F090">
            <w:r>
              <w:rPr>
                <w:rFonts w:ascii="宋体" w:hAnsi="宋体"/>
                <w:sz w:val="24"/>
              </w:rPr>
              <w:t>c）应测算引入推理优化技术（量化、稀疏化、蒸馏等）后的ROI增量，量化优化技术投入与性能/成本收益的回报周期。</w:t>
            </w:r>
          </w:p>
          <w:p w14:paraId="554D7B3B">
            <w:r>
              <w:rPr>
                <w:rFonts w:ascii="宋体" w:hAnsi="宋体"/>
                <w:sz w:val="24"/>
              </w:rPr>
              <w:t>参考计算公式：优化ROI增量 =（优化后年净收益 - 优化前年净收益）/ 优化投入成本 × 100%。</w:t>
            </w:r>
          </w:p>
          <w:p w14:paraId="187D5E1A">
            <w:r>
              <w:rPr>
                <w:rFonts w:ascii="宋体" w:hAnsi="宋体"/>
                <w:sz w:val="24"/>
              </w:rPr>
              <w:t>d）应建立Token产能的边际收益递减模型，分析在现有架构下追加硬件投入的边际Token产能增长曲线，确定单次最优扩容规模与扩容时机。</w:t>
            </w:r>
          </w:p>
          <w:p w14:paraId="1C8FD2DB">
            <w:r>
              <w:rPr>
                <w:rFonts w:ascii="宋体" w:hAnsi="宋体"/>
                <w:b/>
                <w:sz w:val="24"/>
              </w:rPr>
              <w:t>并行扩展效率</w:t>
            </w:r>
          </w:p>
          <w:p w14:paraId="5498D301">
            <w:r>
              <w:rPr>
                <w:rFonts w:ascii="宋体" w:hAnsi="宋体"/>
                <w:sz w:val="24"/>
              </w:rPr>
              <w:t>a）应测试Token推理服务的并行扩展效率（Parallel Scaling Efficiency），在多GPU/多节点环境下，测试从1卡扩展至N卡（N=2/4/8/16/32/64/128）时系统总吞吐率的扩展比例，量化并行扩展的线性度。</w:t>
            </w:r>
          </w:p>
          <w:p w14:paraId="05E3B717">
            <w:r>
              <w:rPr>
                <w:rFonts w:ascii="宋体" w:hAnsi="宋体"/>
                <w:sz w:val="24"/>
              </w:rPr>
              <w:t>参考计算公式：并行扩展效率 =（N卡总吞吐率 / N）/ 单卡吞吐率 × 100%；强扩展效率（固定总负载）= 1卡耗时 /（N卡耗时 × N）× 100%；弱扩展效率（固定每卡负载）= N卡吞吐率 /（单卡吞吐率 × N）× 100%。</w:t>
            </w:r>
          </w:p>
          <w:p w14:paraId="0BF3AC26">
            <w:r>
              <w:rPr>
                <w:rFonts w:ascii="宋体" w:hAnsi="宋体"/>
                <w:sz w:val="24"/>
              </w:rPr>
              <w:t>b）应分别测试张量并行（Tensor Parallelism，TP）、流水线并行（Pipeline Parallelism，PP）、数据并行（Data Parallelism，DP）三种策略下的扩展效率曲线，分析不同并行策略的扩展瓶颈（如TP的AllReduce通信开销、PP的流水线气泡率、DP的模型加载冗余）。</w:t>
            </w:r>
          </w:p>
          <w:p w14:paraId="1E1FE986">
            <w:r>
              <w:rPr>
                <w:rFonts w:ascii="宋体" w:hAnsi="宋体"/>
                <w:sz w:val="24"/>
              </w:rPr>
              <w:t>参考计算公式：流水线气泡率 =（流水线深度 - 1）/（微批次总数 + 流水线深度 - 1）× 100%；通信开销占比 = AllReduce耗时 / 单Step总耗时 × 100%。</w:t>
            </w:r>
          </w:p>
          <w:p w14:paraId="494E8A9A">
            <w:r>
              <w:rPr>
                <w:rFonts w:ascii="宋体" w:hAnsi="宋体"/>
                <w:sz w:val="24"/>
              </w:rPr>
              <w:t>c）应测试跨节点网络（InfiniBand NDR 400Gbps / RoCE v2 / 以太网）对并行扩展效率的影响，量化网络带宽与延迟对大规模并行推理的性能制约。</w:t>
            </w:r>
          </w:p>
          <w:p w14:paraId="65281660">
            <w:r>
              <w:rPr>
                <w:rFonts w:ascii="宋体" w:hAnsi="宋体"/>
                <w:sz w:val="24"/>
              </w:rPr>
              <w:t>d）应测试异构并行（TP+PP混合、TP+DP混合）策略下的最优并行配置搜索，自动化搜索给定模型与硬件条件下使扩展效率最大化的并行维度组合。</w:t>
            </w:r>
          </w:p>
          <w:p w14:paraId="4DEF584F">
            <w:r>
              <w:rPr>
                <w:rFonts w:ascii="宋体" w:hAnsi="宋体"/>
                <w:sz w:val="24"/>
              </w:rPr>
              <w:t>参考计算公式：最优并行配置 = argmax_{TP,PP,DP}（扩展效率），约束条件包括：TP ≤ 单节点GPU数、显存可容纳模型、通信拓扑限制。</w:t>
            </w:r>
          </w:p>
          <w:p w14:paraId="721BBD11">
            <w:r>
              <w:rPr>
                <w:rFonts w:ascii="宋体" w:hAnsi="宋体"/>
                <w:b/>
                <w:sz w:val="24"/>
              </w:rPr>
              <w:t>能效比与绿色算力评估</w:t>
            </w:r>
          </w:p>
          <w:p w14:paraId="2D31245F">
            <w:r>
              <w:rPr>
                <w:rFonts w:ascii="宋体" w:hAnsi="宋体"/>
                <w:sz w:val="24"/>
              </w:rPr>
              <w:t>a）应测试单位能耗的Token产出效率（Tokens/kWh），在不同负载等级（30%/60%/90%/100%）下分别测量整机功耗（GPU+CPU+内存+网络+散热等）与Token产能的关系，建立能效比基线。</w:t>
            </w:r>
          </w:p>
          <w:p w14:paraId="514D1944">
            <w:r>
              <w:rPr>
                <w:rFonts w:ascii="宋体" w:hAnsi="宋体"/>
                <w:sz w:val="24"/>
              </w:rPr>
              <w:t>参考计算公式：能效比 = Token产能（Tokens）/ 整机功耗（kW）/ 时间（h）= Tokens/kWh；PUE（电力使用效率）= 数据中心总能耗 / IT设备能耗；绿色Token产出 = Token产能 × PUE倒数，即每kWh市电的Token产出。</w:t>
            </w:r>
          </w:p>
          <w:p w14:paraId="15CF2DDB">
            <w:r>
              <w:rPr>
                <w:rFonts w:ascii="宋体" w:hAnsi="宋体"/>
                <w:sz w:val="24"/>
              </w:rPr>
              <w:t>b）应测试不同硬件平台的能效比差异（NVIDIA A100/H100/B200/L40S、华为昇腾910B/910C、AMD MI300X等），为绿色算力选型提供数据参考。记录各硬件的额定功耗与实际负载功耗差异（GAP），评估功耗曲线的线性度。</w:t>
            </w:r>
          </w:p>
          <w:p w14:paraId="481EF077">
            <w:r>
              <w:rPr>
                <w:rFonts w:ascii="宋体" w:hAnsi="宋体"/>
                <w:sz w:val="24"/>
              </w:rPr>
              <w:t>c）应测试推理优化技术（模型量化INT8/INT4/FP8、算子融合、KV Cache压缩、Power Capping等）对能效比的提升效果，量化每项优化技术的节能收益与性能代价。</w:t>
            </w:r>
          </w:p>
          <w:p w14:paraId="65FBF120">
            <w:r>
              <w:rPr>
                <w:rFonts w:ascii="宋体" w:hAnsi="宋体"/>
                <w:sz w:val="24"/>
              </w:rPr>
              <w:t>参考计算公式：能效比提升率 =（优化后Tokens/kWh - 优化前Tokens/kWh）/ 优化前Tokens/kWh × 100%。</w:t>
            </w:r>
          </w:p>
          <w:p w14:paraId="0D5E480C">
            <w:r>
              <w:rPr>
                <w:rFonts w:ascii="宋体" w:hAnsi="宋体"/>
                <w:sz w:val="24"/>
              </w:rPr>
              <w:t>d）应测试不同batch size配置对能效比的影响，确定能耗最优的batch size区间（能效比峰值区间），在产能与能效之间寻求最优平衡点。绘制batch size-能效比曲线，输出推荐batch size范围。</w:t>
            </w:r>
          </w:p>
        </w:tc>
      </w:tr>
      <w:tr w14:paraId="17DE8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90C27D1">
            <w:pPr>
              <w:jc w:val="center"/>
            </w:pPr>
            <w:r>
              <w:rPr>
                <w:rFonts w:ascii="宋体" w:hAnsi="宋体"/>
                <w:b/>
                <w:sz w:val="24"/>
              </w:rPr>
              <w:t>预期结果</w:t>
            </w:r>
          </w:p>
        </w:tc>
        <w:tc>
          <w:tcPr>
            <w:tcW w:w="8153" w:type="dxa"/>
          </w:tcPr>
          <w:p w14:paraId="12606A66">
            <w:r>
              <w:rPr>
                <w:rFonts w:ascii="宋体" w:hAnsi="宋体"/>
              </w:rPr>
              <w:t>系统应完成异构加速器利用率、显存效率、Prefill/Decode吞吐、CPU/内存/网络、单位有效Token成本、ROI、并行扩展效率及能效比测试；关键资源与能耗指标应可采集、可计算、可追溯，运行期间不得出现显存异常、资源泄漏或服务中断；扩展效率、资源利用率和能效表现应满足设计预期，并能够形成容量、成本和硬件选型依据。</w:t>
            </w:r>
          </w:p>
        </w:tc>
      </w:tr>
      <w:tr w14:paraId="0AC33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FD3C01E">
            <w:pPr>
              <w:jc w:val="center"/>
            </w:pPr>
            <w:r>
              <w:rPr>
                <w:rFonts w:ascii="宋体" w:hAnsi="宋体"/>
                <w:b/>
                <w:sz w:val="24"/>
              </w:rPr>
              <w:t>测试结果</w:t>
            </w:r>
          </w:p>
        </w:tc>
        <w:tc>
          <w:tcPr>
            <w:tcW w:w="8153" w:type="dxa"/>
          </w:tcPr>
          <w:p w14:paraId="097E228F"/>
          <w:p w14:paraId="47006B64">
            <w:r>
              <w:rPr>
                <w:b/>
                <w:sz w:val="18"/>
              </w:rPr>
              <w:t>{{RESULT_504}}</w:t>
              <w:br/>
              <w:t>[[DEMO_504]]</w:t>
            </w:r>
          </w:p>
          <w:p w14:paraId="7624B1F1">
            <w:r/>
          </w:p>
          <w:p w14:paraId="78CB69DA">
            <w:r/>
          </w:p>
          <w:p w14:paraId="2EA8C16A">
            <w:r/>
          </w:p>
          <w:p w14:paraId="1B10C4AB">
            <w:r/>
          </w:p>
          <w:p w14:paraId="6D55A0B2">
            <w:r/>
          </w:p>
          <w:p w14:paraId="0902BEEF">
            <w:r/>
          </w:p>
          <w:p w14:paraId="2BA971D0">
            <w:r/>
          </w:p>
          <w:p w14:paraId="310719D6"/>
          <w:p w14:paraId="6B604304">
            <w:r>
              <w:rPr>
                <w:rFonts w:hint="eastAsia"/>
              </w:rPr>
            </w:r>
          </w:p>
          <w:p w14:paraId="66F7F2D4"/>
          <w:p w14:paraId="512B8AF4">
            <w:r>
              <w:rPr>
                <w:rFonts w:hint="eastAsia"/>
              </w:rPr>
            </w:r>
          </w:p>
          <w:p w14:paraId="0E7E879D"/>
          <w:p w14:paraId="272544C3">
            <w:r>
              <w:rPr>
                <w:rFonts w:hint="eastAsia"/>
              </w:rPr>
            </w:r>
          </w:p>
          <w:p w14:paraId="5BCBC58E"/>
          <w:p w14:paraId="3366B4D3">
            <w:r>
              <w:rPr>
                <w:rFonts w:hint="eastAsia"/>
              </w:rPr>
            </w:r>
          </w:p>
          <w:p w14:paraId="0633CD23"/>
          <w:p w14:paraId="0C5159F6">
            <w:r>
              <w:rPr>
                <w:rFonts w:hint="eastAsia"/>
              </w:rPr>
            </w:r>
          </w:p>
          <w:p w14:paraId="27F4E638"/>
          <w:p w14:paraId="7930C07E">
            <w:r>
              <w:rPr>
                <w:rFonts w:hint="eastAsia"/>
              </w:rPr>
            </w:r>
          </w:p>
          <w:p w14:paraId="5E558CEB"/>
          <w:p w14:paraId="130C09D6">
            <w:r>
              <w:rPr>
                <w:rFonts w:hint="eastAsia"/>
              </w:rPr>
            </w:r>
          </w:p>
          <w:p w14:paraId="4FE210E3"/>
          <w:p w14:paraId="2EAEAC82">
            <w:r>
              <w:rPr>
                <w:rFonts w:hint="eastAsia"/>
              </w:rPr>
            </w:r>
          </w:p>
          <w:p w14:paraId="7E1CBB1C"/>
          <w:p w14:paraId="2F4310BE">
            <w:r>
              <w:rPr>
                <w:rFonts w:hint="eastAsia"/>
              </w:rPr>
            </w:r>
          </w:p>
          <w:p w14:paraId="3AE60E55"/>
          <w:p w14:paraId="26C0AD65">
            <w:r>
              <w:rPr>
                <w:rFonts w:hint="eastAsia"/>
              </w:rPr>
            </w:r>
          </w:p>
          <w:p w14:paraId="48C8BF5A"/>
          <w:p w14:paraId="5861BA5B">
            <w:r>
              <w:rPr>
                <w:rFonts w:hint="eastAsia"/>
              </w:rPr>
            </w:r>
          </w:p>
          <w:p w14:paraId="38372D05"/>
          <w:p w14:paraId="37C6EB3D">
            <w:r>
              <w:rPr>
                <w:rFonts w:hint="eastAsia"/>
              </w:rPr>
            </w:r>
          </w:p>
          <w:p w14:paraId="653B5581"/>
          <w:p w14:paraId="304C279B">
            <w:r>
              <w:rPr>
                <w:rFonts w:hint="eastAsia"/>
              </w:rPr>
            </w:r>
          </w:p>
          <w:p w14:paraId="749834CE"/>
          <w:p w14:paraId="0E2EB854">
            <w:r>
              <w:rPr>
                <w:rFonts w:hint="eastAsia"/>
              </w:rPr>
            </w:r>
          </w:p>
          <w:p w14:paraId="31621ACD"/>
          <w:p w14:paraId="1BAAEB5D">
            <w:r>
              <w:rPr>
                <w:rFonts w:hint="eastAsia"/>
              </w:rPr>
            </w:r>
          </w:p>
          <w:p w14:paraId="07140DCE"/>
          <w:p w14:paraId="03F75880">
            <w:r>
              <w:rPr>
                <w:rFonts w:hint="eastAsia"/>
              </w:rPr>
            </w:r>
          </w:p>
          <w:p w14:paraId="49638A73"/>
        </w:tc>
      </w:tr>
      <w:tr w14:paraId="4C9E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F16D01C">
            <w:pPr>
              <w:jc w:val="center"/>
            </w:pPr>
            <w:r>
              <w:rPr>
                <w:rFonts w:ascii="宋体" w:hAnsi="宋体"/>
                <w:b/>
                <w:sz w:val="24"/>
              </w:rPr>
              <w:t>备注</w:t>
            </w:r>
          </w:p>
        </w:tc>
        <w:tc>
          <w:tcPr>
            <w:tcW w:w="8153" w:type="dxa"/>
          </w:tcPr>
          <w:p w14:paraId="293AB783">
            <w:r>
              <w:rPr>
                <w:rFonts w:ascii="宋体" w:hAnsi="宋体"/>
                <w:sz w:val="24"/>
              </w:rPr>
              <w:t>{{NOTE_504}}</w:t>
            </w:r>
          </w:p>
        </w:tc>
      </w:tr>
    </w:tbl>
    <w:p w14:paraId="063BCFD9"/>
    <w:p w14:paraId="3FA16DDB">
      <w:pPr>
        <w:rPr>
          <w:rFonts w:hint="eastAsia" w:ascii="宋体" w:hAnsi="宋体" w:cs="黑体"/>
          <w:sz w:val="24"/>
          <w:szCs w:val="18"/>
        </w:rPr>
      </w:pPr>
    </w:p>
    <w:p w14:paraId="2F0042FA">
      <w:pPr>
        <w:rPr>
          <w:rFonts w:hint="eastAsia" w:ascii="宋体" w:hAnsi="宋体" w:cs="黑体"/>
          <w:sz w:val="24"/>
          <w:szCs w:val="18"/>
        </w:rPr>
      </w:pPr>
    </w:p>
    <w:p w14:paraId="3816312F">
      <w:pPr>
        <w:rPr>
          <w:rFonts w:hint="eastAsia" w:ascii="宋体" w:hAnsi="宋体" w:cs="黑体"/>
          <w:sz w:val="24"/>
          <w:szCs w:val="18"/>
        </w:rPr>
      </w:pPr>
      <w:r>
        <w:rPr>
          <w:rFonts w:hint="eastAsia" w:ascii="宋体" w:hAnsi="宋体" w:cs="黑体"/>
          <w:sz w:val="24"/>
          <w:szCs w:val="18"/>
        </w:rPr>
        <w:br w:type="page"/>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24"/>
        <w:gridCol w:w="1022"/>
        <w:gridCol w:w="998"/>
        <w:gridCol w:w="1214"/>
        <w:gridCol w:w="975"/>
        <w:gridCol w:w="1248"/>
      </w:tblGrid>
      <w:tr w14:paraId="60064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283" w:type="dxa"/>
            <w:gridSpan w:val="6"/>
            <w:vAlign w:val="center"/>
          </w:tcPr>
          <w:p w14:paraId="4669B309">
            <w:pPr>
              <w:rPr>
                <w:rFonts w:hint="eastAsia" w:ascii="宋体" w:hAnsi="宋体" w:cs="宋体"/>
                <w:bCs/>
              </w:rPr>
            </w:pPr>
            <w:r>
              <w:rPr>
                <w:rFonts w:hint="eastAsia" w:ascii="宋体" w:hAnsi="宋体" w:cs="黑体"/>
                <w:sz w:val="24"/>
                <w:szCs w:val="18"/>
              </w:rPr>
              <w:br w:type="page"/>
            </w:r>
            <w:r>
              <w:rPr>
                <w:rFonts w:hint="eastAsia" w:ascii="宋体" w:hAnsi="宋体" w:cs="黑体"/>
                <w:b/>
                <w:bCs/>
                <w:sz w:val="36"/>
                <w:szCs w:val="36"/>
              </w:rPr>
              <w:t>检验内容一览表</w:t>
            </w:r>
          </w:p>
        </w:tc>
      </w:tr>
      <w:tr w14:paraId="16933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283" w:type="dxa"/>
            <w:gridSpan w:val="6"/>
            <w:vAlign w:val="center"/>
          </w:tcPr>
          <w:p w14:paraId="6CE133F5">
            <w:pPr>
              <w:jc w:val="left"/>
              <w:rPr>
                <w:rFonts w:hint="eastAsia" w:ascii="宋体" w:hAnsi="宋体" w:cs="黑体"/>
                <w:sz w:val="24"/>
              </w:rPr>
            </w:pPr>
            <w:r>
              <w:rPr>
                <w:rFonts w:hint="eastAsia" w:ascii="宋体" w:hAnsi="宋体" w:cs="黑体"/>
                <w:sz w:val="24"/>
              </w:rPr>
              <w:t>检验依据：</w:t>
            </w:r>
            <w:bookmarkStart w:id="0" w:name="_GoBack"/>
            <w:r>
              <w:rPr>
                <w:rFonts w:hint="eastAsia" w:ascii="宋体" w:hAnsi="宋体" w:eastAsia="宋体" w:cs="黑体"/>
                <w:sz w:val="24"/>
              </w:rPr>
              <w:t>CTTL-XXFF-2026-0367《</w:t>
            </w:r>
            <w:r>
              <w:rPr>
                <w:rFonts w:hint="eastAsia" w:ascii="宋体" w:hAnsi="宋体" w:eastAsia="宋体" w:cs="黑体"/>
                <w:sz w:val="24"/>
                <w:lang w:val="en-US" w:eastAsia="zh-CN"/>
              </w:rPr>
              <w:t>高效能Token云服务</w:t>
            </w:r>
            <w:r>
              <w:rPr>
                <w:rFonts w:hint="eastAsia" w:ascii="宋体" w:hAnsi="宋体" w:eastAsia="宋体" w:cs="黑体"/>
                <w:sz w:val="24"/>
              </w:rPr>
              <w:t>》第四</w:t>
            </w:r>
            <w:bookmarkEnd w:id="0"/>
            <w:r>
              <w:rPr>
                <w:rFonts w:hint="eastAsia" w:ascii="宋体" w:hAnsi="宋体" w:cs="黑体"/>
                <w:sz w:val="24"/>
              </w:rPr>
              <w:t>章</w:t>
            </w:r>
          </w:p>
        </w:tc>
      </w:tr>
      <w:tr w14:paraId="41E55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3826" w:type="dxa"/>
            <w:vAlign w:val="center"/>
          </w:tcPr>
          <w:p w14:paraId="28E05359">
            <w:pPr>
              <w:jc w:val="left"/>
              <w:rPr>
                <w:rFonts w:hint="eastAsia" w:ascii="宋体" w:hAnsi="宋体" w:cs="黑体"/>
                <w:sz w:val="24"/>
              </w:rPr>
            </w:pPr>
            <w:r>
              <w:rPr>
                <w:rFonts w:hint="eastAsia" w:ascii="宋体" w:hAnsi="宋体" w:cs="黑体"/>
                <w:sz w:val="24"/>
              </w:rPr>
              <w:t>检验项目/模块</w:t>
            </w:r>
          </w:p>
        </w:tc>
        <w:tc>
          <w:tcPr>
            <w:tcW w:w="1022" w:type="dxa"/>
            <w:vAlign w:val="center"/>
          </w:tcPr>
          <w:p w14:paraId="40EA4E1B">
            <w:pPr>
              <w:jc w:val="left"/>
              <w:rPr>
                <w:rFonts w:hint="eastAsia" w:ascii="宋体" w:hAnsi="宋体" w:cs="黑体"/>
                <w:sz w:val="24"/>
              </w:rPr>
            </w:pPr>
            <w:r>
              <w:rPr>
                <w:rFonts w:hint="eastAsia" w:ascii="宋体" w:hAnsi="宋体" w:cs="黑体"/>
                <w:sz w:val="24"/>
              </w:rPr>
              <w:t>应测项</w:t>
            </w:r>
          </w:p>
        </w:tc>
        <w:tc>
          <w:tcPr>
            <w:tcW w:w="998" w:type="dxa"/>
            <w:vAlign w:val="center"/>
          </w:tcPr>
          <w:p w14:paraId="77C3344D">
            <w:pPr>
              <w:jc w:val="left"/>
              <w:rPr>
                <w:rFonts w:hint="eastAsia" w:ascii="宋体" w:hAnsi="宋体" w:cs="黑体"/>
                <w:sz w:val="24"/>
              </w:rPr>
            </w:pPr>
            <w:r>
              <w:rPr>
                <w:rFonts w:hint="eastAsia" w:ascii="宋体" w:hAnsi="宋体" w:cs="黑体"/>
                <w:sz w:val="24"/>
              </w:rPr>
              <w:t>实测项</w:t>
            </w:r>
          </w:p>
        </w:tc>
        <w:tc>
          <w:tcPr>
            <w:tcW w:w="1214" w:type="dxa"/>
            <w:vAlign w:val="center"/>
          </w:tcPr>
          <w:p w14:paraId="16BA6DA7">
            <w:pPr>
              <w:jc w:val="left"/>
              <w:rPr>
                <w:rFonts w:hint="eastAsia" w:ascii="宋体" w:hAnsi="宋体" w:cs="黑体"/>
                <w:sz w:val="24"/>
              </w:rPr>
            </w:pPr>
            <w:r>
              <w:rPr>
                <w:rFonts w:hint="eastAsia" w:ascii="宋体" w:hAnsi="宋体" w:cs="黑体"/>
                <w:sz w:val="24"/>
              </w:rPr>
              <w:t>不涉及项</w:t>
            </w:r>
          </w:p>
        </w:tc>
        <w:tc>
          <w:tcPr>
            <w:tcW w:w="975" w:type="dxa"/>
            <w:vAlign w:val="center"/>
          </w:tcPr>
          <w:p w14:paraId="090D66EE">
            <w:pPr>
              <w:jc w:val="left"/>
              <w:rPr>
                <w:rFonts w:hint="eastAsia" w:ascii="宋体" w:hAnsi="宋体" w:cs="黑体"/>
                <w:sz w:val="24"/>
              </w:rPr>
            </w:pPr>
            <w:r>
              <w:rPr>
                <w:rFonts w:hint="eastAsia" w:ascii="宋体" w:hAnsi="宋体" w:cs="黑体"/>
                <w:sz w:val="24"/>
              </w:rPr>
              <w:t>合格项</w:t>
            </w:r>
          </w:p>
        </w:tc>
        <w:tc>
          <w:tcPr>
            <w:tcW w:w="1248" w:type="dxa"/>
            <w:vAlign w:val="center"/>
          </w:tcPr>
          <w:p w14:paraId="623261F8">
            <w:pPr>
              <w:jc w:val="left"/>
              <w:rPr>
                <w:rFonts w:hint="eastAsia" w:ascii="宋体" w:hAnsi="宋体" w:cs="黑体"/>
                <w:sz w:val="24"/>
              </w:rPr>
            </w:pPr>
            <w:r>
              <w:rPr>
                <w:rFonts w:hint="eastAsia" w:ascii="宋体" w:hAnsi="宋体" w:cs="黑体"/>
                <w:sz w:val="24"/>
              </w:rPr>
              <w:t>不合格项</w:t>
            </w:r>
          </w:p>
        </w:tc>
      </w:tr>
      <w:tr w14:paraId="28FF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3826" w:type="dxa"/>
            <w:vAlign w:val="center"/>
          </w:tcPr>
          <w:p w14:paraId="169678DB">
            <w:pPr>
              <w:jc w:val="left"/>
              <w:rPr>
                <w:rFonts w:hint="eastAsia" w:ascii="宋体" w:hAnsi="宋体" w:cs="黑体"/>
                <w:sz w:val="24"/>
              </w:rPr>
            </w:pPr>
            <w:r>
              <w:rPr>
                <w:rFonts w:hint="eastAsia" w:ascii="宋体" w:hAnsi="宋体" w:cs="黑体"/>
                <w:sz w:val="24"/>
              </w:rPr>
              <w:t>Token产能效率</w:t>
            </w:r>
          </w:p>
        </w:tc>
        <w:tc>
          <w:tcPr>
            <w:tcW w:w="1022" w:type="dxa"/>
            <w:vAlign w:val="center"/>
          </w:tcPr>
          <w:p w14:paraId="25A72C52">
            <w:pPr>
              <w:rPr>
                <w:rFonts w:hint="eastAsia" w:ascii="宋体" w:hAnsi="宋体" w:cs="黑体"/>
                <w:sz w:val="24"/>
              </w:rPr>
            </w:pPr>
            <w:r>
              <w:rPr>
                <w:rFonts w:ascii="宋体" w:hAnsi="宋体"/>
              </w:rPr>
              <w:t>1</w:t>
            </w:r>
          </w:p>
        </w:tc>
        <w:tc>
          <w:tcPr>
            <w:tcW w:w="998" w:type="dxa"/>
            <w:vAlign w:val="center"/>
          </w:tcPr>
          <w:p w14:paraId="195C1990">
            <w:pPr>
              <w:rPr>
                <w:rFonts w:hint="eastAsia" w:ascii="宋体" w:hAnsi="宋体" w:cs="黑体"/>
                <w:sz w:val="24"/>
              </w:rPr>
            </w:pPr>
            <w:r>
              <w:rPr>
                <w:rFonts w:ascii="宋体" w:hAnsi="宋体"/>
              </w:rPr>
              <w:t>1</w:t>
            </w:r>
          </w:p>
        </w:tc>
        <w:tc>
          <w:tcPr>
            <w:tcW w:w="1214" w:type="dxa"/>
            <w:vAlign w:val="center"/>
          </w:tcPr>
          <w:p w14:paraId="7D4D5FA2">
            <w:pPr>
              <w:rPr>
                <w:rFonts w:hint="eastAsia" w:ascii="宋体" w:hAnsi="宋体" w:cs="黑体"/>
                <w:sz w:val="24"/>
              </w:rPr>
            </w:pPr>
            <w:r>
              <w:rPr>
                <w:rFonts w:ascii="宋体" w:hAnsi="宋体"/>
              </w:rPr>
              <w:t>0</w:t>
            </w:r>
          </w:p>
        </w:tc>
        <w:tc>
          <w:tcPr>
            <w:tcW w:w="975" w:type="dxa"/>
            <w:vAlign w:val="center"/>
          </w:tcPr>
          <w:p w14:paraId="1C5ABE25">
            <w:pPr>
              <w:rPr>
                <w:rFonts w:hint="eastAsia" w:ascii="宋体" w:hAnsi="宋体" w:cs="黑体"/>
                <w:sz w:val="24"/>
              </w:rPr>
            </w:pPr>
            <w:r>
              <w:rPr>
                <w:rFonts w:ascii="宋体" w:hAnsi="宋体"/>
              </w:rPr>
              <w:t>1</w:t>
            </w:r>
          </w:p>
        </w:tc>
        <w:tc>
          <w:tcPr>
            <w:tcW w:w="1248" w:type="dxa"/>
            <w:vAlign w:val="center"/>
          </w:tcPr>
          <w:p w14:paraId="603D4152">
            <w:pPr>
              <w:rPr>
                <w:rFonts w:hint="eastAsia" w:ascii="宋体" w:hAnsi="宋体" w:cs="黑体"/>
                <w:sz w:val="24"/>
              </w:rPr>
            </w:pPr>
            <w:r>
              <w:rPr>
                <w:rFonts w:ascii="宋体" w:hAnsi="宋体"/>
              </w:rPr>
              <w:t>0</w:t>
            </w:r>
          </w:p>
        </w:tc>
      </w:tr>
      <w:tr w14:paraId="0001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3826" w:type="dxa"/>
            <w:vAlign w:val="center"/>
          </w:tcPr>
          <w:p w14:paraId="76F24DA1">
            <w:pPr>
              <w:jc w:val="left"/>
              <w:rPr>
                <w:rFonts w:hint="eastAsia" w:ascii="宋体" w:hAnsi="宋体" w:cs="黑体"/>
                <w:sz w:val="24"/>
              </w:rPr>
            </w:pPr>
            <w:r>
              <w:rPr>
                <w:rFonts w:hint="eastAsia" w:ascii="宋体" w:hAnsi="宋体" w:cs="黑体"/>
                <w:sz w:val="24"/>
              </w:rPr>
              <w:t>时延与响应体验</w:t>
            </w:r>
          </w:p>
        </w:tc>
        <w:tc>
          <w:tcPr>
            <w:tcW w:w="1022" w:type="dxa"/>
            <w:vAlign w:val="center"/>
          </w:tcPr>
          <w:p w14:paraId="48992275">
            <w:pPr>
              <w:rPr>
                <w:rFonts w:hint="eastAsia" w:ascii="宋体" w:hAnsi="宋体" w:cs="黑体"/>
                <w:sz w:val="24"/>
              </w:rPr>
            </w:pPr>
            <w:r>
              <w:rPr>
                <w:rFonts w:ascii="宋体" w:hAnsi="宋体"/>
              </w:rPr>
              <w:t>1</w:t>
            </w:r>
          </w:p>
        </w:tc>
        <w:tc>
          <w:tcPr>
            <w:tcW w:w="998" w:type="dxa"/>
            <w:vAlign w:val="center"/>
          </w:tcPr>
          <w:p w14:paraId="35CBBDD8">
            <w:pPr>
              <w:rPr>
                <w:rFonts w:hint="eastAsia" w:ascii="宋体" w:hAnsi="宋体" w:cs="黑体"/>
                <w:sz w:val="24"/>
              </w:rPr>
            </w:pPr>
            <w:r>
              <w:rPr>
                <w:rFonts w:ascii="宋体" w:hAnsi="宋体"/>
              </w:rPr>
              <w:t>1</w:t>
            </w:r>
          </w:p>
        </w:tc>
        <w:tc>
          <w:tcPr>
            <w:tcW w:w="1214" w:type="dxa"/>
            <w:vAlign w:val="center"/>
          </w:tcPr>
          <w:p w14:paraId="643ECB0D">
            <w:pPr>
              <w:rPr>
                <w:rFonts w:hint="eastAsia" w:ascii="宋体" w:hAnsi="宋体" w:cs="黑体"/>
                <w:sz w:val="24"/>
              </w:rPr>
            </w:pPr>
            <w:r>
              <w:rPr>
                <w:rFonts w:ascii="宋体" w:hAnsi="宋体"/>
              </w:rPr>
              <w:t>0</w:t>
            </w:r>
          </w:p>
        </w:tc>
        <w:tc>
          <w:tcPr>
            <w:tcW w:w="975" w:type="dxa"/>
            <w:vAlign w:val="center"/>
          </w:tcPr>
          <w:p w14:paraId="5800ABC8">
            <w:pPr>
              <w:rPr>
                <w:rFonts w:hint="eastAsia" w:ascii="宋体" w:hAnsi="宋体" w:cs="黑体"/>
                <w:sz w:val="24"/>
              </w:rPr>
            </w:pPr>
            <w:r>
              <w:rPr>
                <w:rFonts w:ascii="宋体" w:hAnsi="宋体"/>
              </w:rPr>
              <w:t>1</w:t>
            </w:r>
          </w:p>
        </w:tc>
        <w:tc>
          <w:tcPr>
            <w:tcW w:w="1248" w:type="dxa"/>
            <w:vAlign w:val="center"/>
          </w:tcPr>
          <w:p w14:paraId="2CCAED60">
            <w:pPr>
              <w:rPr>
                <w:rFonts w:hint="eastAsia" w:ascii="宋体" w:hAnsi="宋体" w:cs="黑体"/>
                <w:sz w:val="24"/>
              </w:rPr>
            </w:pPr>
            <w:r>
              <w:rPr>
                <w:rFonts w:ascii="宋体" w:hAnsi="宋体"/>
              </w:rPr>
              <w:t>0</w:t>
            </w:r>
          </w:p>
        </w:tc>
      </w:tr>
      <w:tr w14:paraId="39DD1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3826" w:type="dxa"/>
            <w:vAlign w:val="center"/>
          </w:tcPr>
          <w:p w14:paraId="4D172C9A">
            <w:pPr>
              <w:jc w:val="left"/>
              <w:rPr>
                <w:rFonts w:hint="eastAsia" w:ascii="宋体" w:hAnsi="宋体" w:cs="黑体"/>
                <w:sz w:val="24"/>
              </w:rPr>
            </w:pPr>
            <w:r>
              <w:rPr>
                <w:rFonts w:hint="eastAsia" w:ascii="宋体" w:hAnsi="宋体" w:cs="黑体"/>
                <w:sz w:val="24"/>
              </w:rPr>
              <w:t>服务承载能力与稳定性</w:t>
            </w:r>
          </w:p>
        </w:tc>
        <w:tc>
          <w:tcPr>
            <w:tcW w:w="1022" w:type="dxa"/>
            <w:vAlign w:val="center"/>
          </w:tcPr>
          <w:p w14:paraId="0D16EFEF">
            <w:pPr>
              <w:rPr>
                <w:rFonts w:hint="eastAsia" w:ascii="宋体" w:hAnsi="宋体" w:cs="黑体"/>
                <w:sz w:val="24"/>
              </w:rPr>
            </w:pPr>
            <w:r>
              <w:rPr>
                <w:rFonts w:ascii="宋体" w:hAnsi="宋体"/>
              </w:rPr>
              <w:t>1</w:t>
            </w:r>
          </w:p>
        </w:tc>
        <w:tc>
          <w:tcPr>
            <w:tcW w:w="998" w:type="dxa"/>
            <w:vAlign w:val="center"/>
          </w:tcPr>
          <w:p w14:paraId="43FF58F3">
            <w:pPr>
              <w:rPr>
                <w:rFonts w:hint="eastAsia" w:ascii="宋体" w:hAnsi="宋体" w:cs="黑体"/>
                <w:sz w:val="24"/>
              </w:rPr>
            </w:pPr>
            <w:r>
              <w:rPr>
                <w:rFonts w:ascii="宋体" w:hAnsi="宋体"/>
              </w:rPr>
              <w:t>1</w:t>
            </w:r>
          </w:p>
        </w:tc>
        <w:tc>
          <w:tcPr>
            <w:tcW w:w="1214" w:type="dxa"/>
            <w:vAlign w:val="center"/>
          </w:tcPr>
          <w:p w14:paraId="360433CD">
            <w:pPr>
              <w:rPr>
                <w:rFonts w:hint="eastAsia" w:ascii="宋体" w:hAnsi="宋体" w:cs="黑体"/>
                <w:sz w:val="24"/>
              </w:rPr>
            </w:pPr>
            <w:r>
              <w:rPr>
                <w:rFonts w:ascii="宋体" w:hAnsi="宋体"/>
              </w:rPr>
              <w:t>0</w:t>
            </w:r>
          </w:p>
        </w:tc>
        <w:tc>
          <w:tcPr>
            <w:tcW w:w="975" w:type="dxa"/>
            <w:vAlign w:val="center"/>
          </w:tcPr>
          <w:p w14:paraId="5A440AED">
            <w:pPr>
              <w:rPr>
                <w:rFonts w:hint="eastAsia" w:ascii="宋体" w:hAnsi="宋体" w:cs="黑体"/>
                <w:sz w:val="24"/>
              </w:rPr>
            </w:pPr>
            <w:r>
              <w:rPr>
                <w:rFonts w:ascii="宋体" w:hAnsi="宋体"/>
              </w:rPr>
              <w:t>1</w:t>
            </w:r>
          </w:p>
        </w:tc>
        <w:tc>
          <w:tcPr>
            <w:tcW w:w="1248" w:type="dxa"/>
            <w:vAlign w:val="center"/>
          </w:tcPr>
          <w:p w14:paraId="7F63FC90">
            <w:pPr>
              <w:rPr>
                <w:rFonts w:hint="eastAsia" w:ascii="宋体" w:hAnsi="宋体" w:cs="黑体"/>
                <w:sz w:val="24"/>
              </w:rPr>
            </w:pPr>
            <w:r>
              <w:rPr>
                <w:rFonts w:ascii="宋体" w:hAnsi="宋体"/>
              </w:rPr>
              <w:t>0</w:t>
            </w:r>
          </w:p>
        </w:tc>
      </w:tr>
      <w:tr w14:paraId="29147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3826" w:type="dxa"/>
            <w:vAlign w:val="center"/>
          </w:tcPr>
          <w:p w14:paraId="70FC134E">
            <w:pPr>
              <w:jc w:val="left"/>
              <w:rPr>
                <w:rFonts w:hint="eastAsia" w:ascii="宋体" w:hAnsi="宋体" w:cs="黑体"/>
                <w:sz w:val="24"/>
              </w:rPr>
            </w:pPr>
            <w:r>
              <w:rPr>
                <w:rFonts w:hint="eastAsia" w:ascii="宋体" w:hAnsi="宋体" w:cs="黑体"/>
                <w:sz w:val="24"/>
              </w:rPr>
              <w:t>资源利用率与能效</w:t>
            </w:r>
          </w:p>
        </w:tc>
        <w:tc>
          <w:tcPr>
            <w:tcW w:w="1022" w:type="dxa"/>
            <w:vAlign w:val="center"/>
          </w:tcPr>
          <w:p w14:paraId="117D8209">
            <w:pPr>
              <w:rPr>
                <w:rFonts w:hint="eastAsia" w:ascii="宋体" w:hAnsi="宋体" w:cs="黑体"/>
                <w:sz w:val="24"/>
              </w:rPr>
            </w:pPr>
            <w:r>
              <w:rPr>
                <w:rFonts w:ascii="宋体" w:hAnsi="宋体"/>
              </w:rPr>
              <w:t>1</w:t>
            </w:r>
          </w:p>
        </w:tc>
        <w:tc>
          <w:tcPr>
            <w:tcW w:w="998" w:type="dxa"/>
            <w:vAlign w:val="center"/>
          </w:tcPr>
          <w:p w14:paraId="16F25FED">
            <w:pPr>
              <w:rPr>
                <w:rFonts w:hint="eastAsia" w:ascii="宋体" w:hAnsi="宋体" w:cs="黑体"/>
                <w:sz w:val="24"/>
              </w:rPr>
            </w:pPr>
            <w:r>
              <w:rPr>
                <w:rFonts w:ascii="宋体" w:hAnsi="宋体"/>
              </w:rPr>
              <w:t>1</w:t>
            </w:r>
          </w:p>
        </w:tc>
        <w:tc>
          <w:tcPr>
            <w:tcW w:w="1214" w:type="dxa"/>
            <w:vAlign w:val="center"/>
          </w:tcPr>
          <w:p w14:paraId="6B56B39A">
            <w:pPr>
              <w:rPr>
                <w:rFonts w:hint="eastAsia" w:ascii="宋体" w:hAnsi="宋体" w:cs="黑体"/>
                <w:sz w:val="24"/>
              </w:rPr>
            </w:pPr>
            <w:r>
              <w:rPr>
                <w:rFonts w:ascii="宋体" w:hAnsi="宋体"/>
              </w:rPr>
              <w:t>0</w:t>
            </w:r>
          </w:p>
        </w:tc>
        <w:tc>
          <w:tcPr>
            <w:tcW w:w="975" w:type="dxa"/>
            <w:vAlign w:val="center"/>
          </w:tcPr>
          <w:p w14:paraId="78351719">
            <w:pPr>
              <w:rPr>
                <w:rFonts w:hint="eastAsia" w:ascii="宋体" w:hAnsi="宋体" w:cs="黑体"/>
                <w:sz w:val="24"/>
              </w:rPr>
            </w:pPr>
            <w:r>
              <w:rPr>
                <w:rFonts w:ascii="宋体" w:hAnsi="宋体"/>
              </w:rPr>
              <w:t>1</w:t>
            </w:r>
          </w:p>
        </w:tc>
        <w:tc>
          <w:tcPr>
            <w:tcW w:w="1248" w:type="dxa"/>
            <w:vAlign w:val="center"/>
          </w:tcPr>
          <w:p w14:paraId="27C41989">
            <w:pPr>
              <w:rPr>
                <w:rFonts w:hint="eastAsia" w:ascii="宋体" w:hAnsi="宋体" w:cs="黑体"/>
                <w:sz w:val="24"/>
              </w:rPr>
            </w:pPr>
            <w:r>
              <w:rPr>
                <w:rFonts w:ascii="宋体" w:hAnsi="宋体"/>
              </w:rPr>
              <w:t>0</w:t>
            </w:r>
          </w:p>
        </w:tc>
      </w:tr>
      <w:tr w14:paraId="385C9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3826" w:type="dxa"/>
            <w:vAlign w:val="center"/>
          </w:tcPr>
          <w:p w14:paraId="10EED228">
            <w:pPr>
              <w:jc w:val="left"/>
              <w:rPr>
                <w:rFonts w:hint="eastAsia" w:ascii="宋体" w:hAnsi="宋体" w:cs="黑体"/>
                <w:sz w:val="24"/>
              </w:rPr>
            </w:pPr>
            <w:r>
              <w:rPr>
                <w:rFonts w:hint="eastAsia" w:ascii="宋体" w:hAnsi="宋体" w:cs="黑体"/>
                <w:sz w:val="24"/>
              </w:rPr>
              <w:t>总计</w:t>
            </w:r>
          </w:p>
        </w:tc>
        <w:tc>
          <w:tcPr>
            <w:tcW w:w="1022" w:type="dxa"/>
            <w:vAlign w:val="center"/>
          </w:tcPr>
          <w:p w14:paraId="35010EE4">
            <w:pPr>
              <w:rPr>
                <w:rFonts w:hint="eastAsia" w:ascii="宋体" w:hAnsi="宋体" w:cs="黑体"/>
                <w:sz w:val="24"/>
              </w:rPr>
            </w:pPr>
            <w:r>
              <w:rPr>
                <w:rFonts w:ascii="宋体" w:hAnsi="宋体"/>
              </w:rPr>
              <w:t>4</w:t>
            </w:r>
          </w:p>
        </w:tc>
        <w:tc>
          <w:tcPr>
            <w:tcW w:w="998" w:type="dxa"/>
            <w:vAlign w:val="center"/>
          </w:tcPr>
          <w:p w14:paraId="04A509D0">
            <w:pPr>
              <w:rPr>
                <w:rFonts w:hint="eastAsia" w:ascii="宋体" w:hAnsi="宋体" w:cs="黑体"/>
                <w:sz w:val="24"/>
              </w:rPr>
            </w:pPr>
            <w:r>
              <w:rPr>
                <w:rFonts w:ascii="宋体" w:hAnsi="宋体"/>
              </w:rPr>
              <w:t>4</w:t>
            </w:r>
          </w:p>
        </w:tc>
        <w:tc>
          <w:tcPr>
            <w:tcW w:w="1214" w:type="dxa"/>
            <w:vAlign w:val="center"/>
          </w:tcPr>
          <w:p w14:paraId="4A7620E4">
            <w:pPr>
              <w:rPr>
                <w:rFonts w:hint="eastAsia" w:ascii="宋体" w:hAnsi="宋体" w:cs="黑体"/>
                <w:sz w:val="24"/>
              </w:rPr>
            </w:pPr>
            <w:r>
              <w:rPr>
                <w:rFonts w:ascii="宋体" w:hAnsi="宋体"/>
              </w:rPr>
              <w:t>0</w:t>
            </w:r>
          </w:p>
        </w:tc>
        <w:tc>
          <w:tcPr>
            <w:tcW w:w="975" w:type="dxa"/>
            <w:vAlign w:val="center"/>
          </w:tcPr>
          <w:p w14:paraId="30D8AABD">
            <w:pPr>
              <w:rPr>
                <w:rFonts w:hint="eastAsia" w:ascii="宋体" w:hAnsi="宋体" w:cs="黑体"/>
                <w:sz w:val="24"/>
              </w:rPr>
            </w:pPr>
            <w:r>
              <w:rPr>
                <w:rFonts w:ascii="宋体" w:hAnsi="宋体"/>
              </w:rPr>
              <w:t>4</w:t>
            </w:r>
          </w:p>
        </w:tc>
        <w:tc>
          <w:tcPr>
            <w:tcW w:w="1248" w:type="dxa"/>
            <w:vAlign w:val="center"/>
          </w:tcPr>
          <w:p w14:paraId="031ADB52">
            <w:pPr>
              <w:rPr>
                <w:rFonts w:hint="eastAsia" w:ascii="宋体" w:hAnsi="宋体" w:cs="黑体"/>
                <w:sz w:val="24"/>
              </w:rPr>
            </w:pPr>
            <w:r>
              <w:rPr>
                <w:rFonts w:ascii="宋体" w:hAnsi="宋体"/>
              </w:rPr>
              <w:t>0</w:t>
            </w:r>
          </w:p>
        </w:tc>
      </w:tr>
      <w:tr w14:paraId="3737C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283" w:type="dxa"/>
            <w:gridSpan w:val="6"/>
            <w:vAlign w:val="center"/>
          </w:tcPr>
          <w:p w14:paraId="53246B5E">
            <w:pPr>
              <w:jc w:val="left"/>
              <w:rPr>
                <w:rFonts w:hint="eastAsia" w:ascii="宋体" w:hAnsi="宋体" w:cs="黑体"/>
                <w:sz w:val="24"/>
              </w:rPr>
            </w:pPr>
            <w:r>
              <w:rPr>
                <w:rFonts w:hint="eastAsia" w:ascii="宋体" w:hAnsi="宋体" w:cs="黑体"/>
                <w:sz w:val="24"/>
              </w:rPr>
              <w:t>备注：</w:t>
            </w:r>
          </w:p>
        </w:tc>
      </w:tr>
    </w:tbl>
    <w:p w14:paraId="71E19F07">
      <w:pPr>
        <w:tabs>
          <w:tab w:val="left" w:pos="720"/>
        </w:tabs>
        <w:spacing w:before="120" w:after="120"/>
        <w:jc w:val="center"/>
        <w:rPr>
          <w:rFonts w:hint="eastAsia" w:ascii="宋体" w:hAnsi="宋体" w:cs="黑体"/>
          <w:sz w:val="24"/>
          <w:szCs w:val="21"/>
        </w:rPr>
      </w:pPr>
    </w:p>
    <w:p w14:paraId="779ED5E3">
      <w:pPr>
        <w:spacing w:line="360" w:lineRule="auto"/>
        <w:rPr>
          <w:rFonts w:hint="eastAsia" w:ascii="宋体" w:hAnsi="宋体" w:cs="黑体"/>
          <w:sz w:val="24"/>
          <w:szCs w:val="18"/>
        </w:rPr>
      </w:pPr>
    </w:p>
    <w:p w14:paraId="23805988">
      <w:pPr>
        <w:spacing w:line="360" w:lineRule="auto"/>
        <w:rPr>
          <w:rFonts w:hint="eastAsia" w:ascii="宋体" w:hAnsi="宋体" w:cs="黑体"/>
          <w:sz w:val="24"/>
          <w:szCs w:val="18"/>
        </w:rPr>
      </w:pPr>
    </w:p>
    <w:p w14:paraId="0DF777D2">
      <w:pPr>
        <w:spacing w:line="360" w:lineRule="auto"/>
        <w:rPr>
          <w:rFonts w:hint="eastAsia" w:ascii="宋体" w:hAnsi="宋体" w:cs="黑体"/>
          <w:sz w:val="24"/>
          <w:szCs w:val="18"/>
        </w:rPr>
      </w:pPr>
    </w:p>
    <w:p w14:paraId="69BC7CB7">
      <w:pPr>
        <w:spacing w:line="360" w:lineRule="auto"/>
        <w:rPr>
          <w:rFonts w:hint="eastAsia" w:ascii="宋体" w:hAnsi="宋体" w:cs="黑体"/>
          <w:sz w:val="24"/>
          <w:szCs w:val="18"/>
        </w:rPr>
      </w:pPr>
    </w:p>
    <w:p w14:paraId="7F0978FB">
      <w:pPr>
        <w:spacing w:line="360" w:lineRule="auto"/>
        <w:rPr>
          <w:rFonts w:hint="eastAsia" w:ascii="宋体" w:hAnsi="宋体" w:cs="黑体"/>
          <w:sz w:val="24"/>
          <w:szCs w:val="18"/>
        </w:rPr>
      </w:pPr>
    </w:p>
    <w:p w14:paraId="297322BB">
      <w:pPr>
        <w:rPr>
          <w:rFonts w:hint="eastAsia" w:ascii="宋体" w:hAnsi="宋体" w:cs="黑体"/>
          <w:sz w:val="24"/>
          <w:szCs w:val="18"/>
        </w:rPr>
      </w:pPr>
      <w:r>
        <w:rPr>
          <w:rFonts w:hint="eastAsia" w:ascii="宋体" w:hAnsi="宋体" w:cs="黑体"/>
          <w:sz w:val="24"/>
          <w:szCs w:val="18"/>
        </w:rPr>
        <w:br w:type="page"/>
      </w:r>
    </w:p>
    <w:p w14:paraId="410828FD">
      <w:pPr>
        <w:ind w:left="-6"/>
        <w:jc w:val="center"/>
        <w:outlineLvl w:val="0"/>
        <w:rPr>
          <w:rFonts w:hint="eastAsia" w:ascii="宋体" w:hAnsi="宋体" w:cs="黑体"/>
          <w:b/>
          <w:sz w:val="36"/>
        </w:rPr>
      </w:pPr>
      <w:r>
        <w:rPr>
          <w:rFonts w:hint="eastAsia" w:ascii="宋体" w:hAnsi="宋体" w:cs="黑体"/>
          <w:b/>
          <w:sz w:val="36"/>
        </w:rPr>
        <w:t>检验项目结果表</w:t>
      </w:r>
    </w:p>
    <w:tbl>
      <w:tblPr>
        <w:tblStyle w:val="9"/>
        <w:tblW w:w="9251" w:type="dxa"/>
        <w:tblInd w:w="-372" w:type="dxa"/>
        <w:tblLayout w:type="fixed"/>
        <w:tblCellMar>
          <w:top w:w="0" w:type="dxa"/>
          <w:left w:w="108" w:type="dxa"/>
          <w:bottom w:w="0" w:type="dxa"/>
          <w:right w:w="108" w:type="dxa"/>
        </w:tblCellMar>
      </w:tblPr>
      <w:tblGrid>
        <w:gridCol w:w="507"/>
        <w:gridCol w:w="1789"/>
        <w:gridCol w:w="2739"/>
        <w:gridCol w:w="2712"/>
        <w:gridCol w:w="1504"/>
      </w:tblGrid>
      <w:tr w14:paraId="3FDA2414">
        <w:tblPrEx>
          <w:tblCellMar>
            <w:top w:w="0" w:type="dxa"/>
            <w:left w:w="108" w:type="dxa"/>
            <w:bottom w:w="0" w:type="dxa"/>
            <w:right w:w="108" w:type="dxa"/>
          </w:tblCellMar>
        </w:tblPrEx>
        <w:trPr>
          <w:trHeight w:val="532" w:hRule="atLeast"/>
          <w:tblHeader/>
        </w:trPr>
        <w:tc>
          <w:tcPr>
            <w:tcW w:w="507" w:type="dxa"/>
            <w:tcBorders>
              <w:top w:val="single" w:color="auto" w:sz="12" w:space="0"/>
              <w:left w:val="single" w:color="auto" w:sz="12" w:space="0"/>
              <w:bottom w:val="nil"/>
              <w:right w:val="single" w:color="auto" w:sz="4" w:space="0"/>
            </w:tcBorders>
            <w:vAlign w:val="center"/>
          </w:tcPr>
          <w:p w14:paraId="71194F91">
            <w:pPr>
              <w:rPr>
                <w:rFonts w:hint="eastAsia" w:ascii="宋体" w:hAnsi="宋体" w:cs="黑体"/>
                <w:b/>
                <w:bCs/>
                <w:sz w:val="28"/>
              </w:rPr>
            </w:pPr>
            <w:r>
              <w:rPr>
                <w:rFonts w:hint="eastAsia" w:ascii="宋体" w:hAnsi="宋体" w:cs="黑体"/>
                <w:b/>
                <w:bCs/>
              </w:rPr>
              <w:br w:type="page"/>
            </w:r>
            <w:r>
              <w:rPr>
                <w:rFonts w:hint="eastAsia" w:ascii="宋体" w:hAnsi="宋体" w:cs="黑体"/>
                <w:b/>
                <w:bCs/>
                <w:sz w:val="28"/>
              </w:rPr>
              <w:t>序号</w:t>
            </w:r>
          </w:p>
        </w:tc>
        <w:tc>
          <w:tcPr>
            <w:tcW w:w="1789" w:type="dxa"/>
            <w:tcBorders>
              <w:top w:val="single" w:color="auto" w:sz="12" w:space="0"/>
              <w:left w:val="nil"/>
              <w:bottom w:val="nil"/>
              <w:right w:val="single" w:color="auto" w:sz="4" w:space="0"/>
            </w:tcBorders>
            <w:vAlign w:val="center"/>
          </w:tcPr>
          <w:p w14:paraId="730E6FD3">
            <w:pPr>
              <w:jc w:val="center"/>
              <w:rPr>
                <w:rFonts w:hint="eastAsia" w:ascii="宋体" w:hAnsi="宋体" w:cs="黑体"/>
                <w:b/>
                <w:bCs/>
                <w:sz w:val="28"/>
              </w:rPr>
            </w:pPr>
            <w:r>
              <w:rPr>
                <w:rFonts w:hint="eastAsia" w:ascii="宋体" w:hAnsi="宋体" w:cs="黑体"/>
                <w:b/>
                <w:bCs/>
                <w:sz w:val="28"/>
              </w:rPr>
              <w:t>检验项目</w:t>
            </w:r>
          </w:p>
        </w:tc>
        <w:tc>
          <w:tcPr>
            <w:tcW w:w="2739" w:type="dxa"/>
            <w:tcBorders>
              <w:top w:val="single" w:color="auto" w:sz="12" w:space="0"/>
              <w:left w:val="nil"/>
              <w:bottom w:val="nil"/>
              <w:right w:val="single" w:color="auto" w:sz="4" w:space="0"/>
            </w:tcBorders>
            <w:vAlign w:val="center"/>
          </w:tcPr>
          <w:p w14:paraId="0BE4DF20">
            <w:pPr>
              <w:jc w:val="center"/>
              <w:rPr>
                <w:rFonts w:hint="eastAsia" w:ascii="宋体" w:hAnsi="宋体" w:cs="黑体"/>
                <w:b/>
                <w:bCs/>
                <w:sz w:val="28"/>
              </w:rPr>
            </w:pPr>
            <w:r>
              <w:rPr>
                <w:rFonts w:hint="eastAsia" w:ascii="宋体" w:hAnsi="宋体" w:cs="黑体"/>
                <w:b/>
                <w:bCs/>
                <w:sz w:val="28"/>
              </w:rPr>
              <w:t>标准要求</w:t>
            </w:r>
          </w:p>
        </w:tc>
        <w:tc>
          <w:tcPr>
            <w:tcW w:w="2712" w:type="dxa"/>
            <w:tcBorders>
              <w:top w:val="single" w:color="auto" w:sz="12" w:space="0"/>
              <w:left w:val="nil"/>
              <w:bottom w:val="nil"/>
              <w:right w:val="single" w:color="auto" w:sz="4" w:space="0"/>
            </w:tcBorders>
            <w:vAlign w:val="center"/>
          </w:tcPr>
          <w:p w14:paraId="665090A3">
            <w:pPr>
              <w:jc w:val="center"/>
              <w:rPr>
                <w:rFonts w:hint="eastAsia" w:ascii="宋体" w:hAnsi="宋体" w:cs="黑体"/>
                <w:b/>
                <w:bCs/>
                <w:sz w:val="28"/>
              </w:rPr>
            </w:pPr>
            <w:r>
              <w:rPr>
                <w:rFonts w:hint="eastAsia" w:ascii="宋体" w:hAnsi="宋体" w:cs="黑体"/>
                <w:b/>
                <w:bCs/>
                <w:sz w:val="28"/>
              </w:rPr>
              <w:t>检验结果</w:t>
            </w:r>
          </w:p>
        </w:tc>
        <w:tc>
          <w:tcPr>
            <w:tcW w:w="1504" w:type="dxa"/>
            <w:tcBorders>
              <w:top w:val="single" w:color="auto" w:sz="12" w:space="0"/>
              <w:left w:val="nil"/>
              <w:bottom w:val="nil"/>
              <w:right w:val="single" w:color="auto" w:sz="12" w:space="0"/>
            </w:tcBorders>
            <w:vAlign w:val="center"/>
          </w:tcPr>
          <w:p w14:paraId="3BC99807">
            <w:pPr>
              <w:jc w:val="center"/>
              <w:rPr>
                <w:rFonts w:hint="eastAsia" w:ascii="宋体" w:hAnsi="宋体" w:cs="黑体"/>
                <w:b/>
                <w:bCs/>
                <w:sz w:val="28"/>
              </w:rPr>
            </w:pPr>
            <w:r>
              <w:rPr>
                <w:rFonts w:hint="eastAsia" w:ascii="宋体" w:hAnsi="宋体" w:cs="黑体"/>
                <w:b/>
                <w:bCs/>
                <w:sz w:val="28"/>
              </w:rPr>
              <w:t>检验结论</w:t>
            </w:r>
          </w:p>
        </w:tc>
      </w:tr>
      <w:tr w14:paraId="528A3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62" w:hRule="atLeast"/>
        </w:trPr>
        <w:tc>
          <w:tcPr>
            <w:tcW w:w="9251" w:type="dxa"/>
            <w:gridSpan w:val="5"/>
            <w:tcBorders>
              <w:top w:val="single" w:color="auto" w:sz="8" w:space="0"/>
              <w:left w:val="single" w:color="auto" w:sz="12" w:space="0"/>
              <w:bottom w:val="single" w:color="auto" w:sz="4" w:space="0"/>
              <w:right w:val="single" w:color="auto" w:sz="12" w:space="0"/>
            </w:tcBorders>
            <w:vAlign w:val="center"/>
          </w:tcPr>
          <w:p w14:paraId="2EA6DD72">
            <w:pPr>
              <w:rPr>
                <w:rFonts w:hint="eastAsia" w:ascii="宋体" w:hAnsi="宋体" w:eastAsia="宋体" w:cs="黑体"/>
                <w:sz w:val="24"/>
                <w:lang w:val="en-US" w:eastAsia="zh-CN"/>
              </w:rPr>
            </w:pPr>
            <w:r>
              <w:rPr>
                <w:rFonts w:hint="eastAsia" w:ascii="宋体" w:hAnsi="宋体" w:cs="黑体"/>
                <w:sz w:val="24"/>
                <w:lang w:val="en-US" w:eastAsia="zh-CN"/>
              </w:rPr>
              <w:t>检</w:t>
            </w:r>
            <w:r>
              <w:rPr>
                <w:rFonts w:hint="eastAsia" w:asciiTheme="minorEastAsia" w:hAnsiTheme="minorEastAsia"/>
                <w:color w:val="000000"/>
                <w:spacing w:val="20"/>
                <w:sz w:val="22"/>
              </w:rPr>
              <w:t>验依据：</w:t>
            </w:r>
            <w:r>
              <w:rPr>
                <w:rFonts w:hint="eastAsia" w:ascii="宋体" w:hAnsi="宋体"/>
              </w:rPr>
              <w:t>CTTL-XXFF-2026-0367</w:t>
            </w:r>
            <w:r>
              <w:rPr>
                <w:rFonts w:ascii="宋体" w:hAnsi="宋体"/>
              </w:rPr>
              <w:t>《</w:t>
            </w:r>
            <w:r>
              <w:rPr>
                <w:rFonts w:hint="eastAsia" w:ascii="宋体" w:hAnsi="宋体"/>
                <w:lang w:val="en-US" w:eastAsia="zh-CN"/>
              </w:rPr>
              <w:t>高效能Token云服务</w:t>
            </w:r>
            <w:r>
              <w:rPr>
                <w:rFonts w:ascii="宋体" w:hAnsi="宋体"/>
              </w:rPr>
              <w:t>》</w:t>
            </w:r>
            <w:r>
              <w:rPr>
                <w:rFonts w:hint="eastAsia" w:asciiTheme="minorEastAsia" w:hAnsiTheme="minorEastAsia"/>
                <w:color w:val="000000"/>
                <w:spacing w:val="20"/>
                <w:sz w:val="22"/>
                <w:lang w:val="en-US" w:eastAsia="zh-CN"/>
              </w:rPr>
              <w:t>第四章</w:t>
            </w:r>
          </w:p>
        </w:tc>
      </w:tr>
      <w:tr w14:paraId="4980C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507" w:type="dxa"/>
            <w:tcBorders>
              <w:top w:val="single" w:color="auto" w:sz="4" w:space="0"/>
              <w:left w:val="single" w:color="auto" w:sz="12" w:space="0"/>
              <w:bottom w:val="nil"/>
              <w:right w:val="single" w:color="auto" w:sz="4" w:space="0"/>
            </w:tcBorders>
            <w:vAlign w:val="center"/>
          </w:tcPr>
          <w:p w14:paraId="1A9A32ED">
            <w:pPr>
              <w:jc w:val="center"/>
              <w:rPr>
                <w:rFonts w:hint="eastAsia" w:ascii="宋体" w:hAnsi="宋体" w:cs="黑体"/>
              </w:rPr>
            </w:pPr>
            <w:r>
              <w:rPr>
                <w:rFonts w:ascii="宋体" w:hAnsi="宋体"/>
              </w:rPr>
              <w:t>1</w:t>
            </w:r>
          </w:p>
        </w:tc>
        <w:tc>
          <w:tcPr>
            <w:tcW w:w="1789" w:type="dxa"/>
            <w:tcBorders>
              <w:top w:val="single" w:color="auto" w:sz="4" w:space="0"/>
              <w:left w:val="nil"/>
              <w:bottom w:val="nil"/>
              <w:right w:val="single" w:color="auto" w:sz="4" w:space="0"/>
            </w:tcBorders>
            <w:vAlign w:val="center"/>
          </w:tcPr>
          <w:p w14:paraId="28A07AC0">
            <w:pPr>
              <w:jc w:val="center"/>
              <w:rPr>
                <w:rFonts w:hint="eastAsia" w:ascii="宋体" w:hAnsi="宋体" w:cs="黑体"/>
              </w:rPr>
            </w:pPr>
            <w:r>
              <w:rPr>
                <w:rFonts w:ascii="宋体" w:hAnsi="宋体"/>
              </w:rPr>
              <w:t>Token产能效率</w:t>
            </w:r>
          </w:p>
        </w:tc>
        <w:tc>
          <w:tcPr>
            <w:tcW w:w="2739" w:type="dxa"/>
            <w:tcBorders>
              <w:top w:val="single" w:color="auto" w:sz="4" w:space="0"/>
              <w:left w:val="nil"/>
              <w:bottom w:val="nil"/>
              <w:right w:val="single" w:color="auto" w:sz="4" w:space="0"/>
            </w:tcBorders>
            <w:vAlign w:val="center"/>
          </w:tcPr>
          <w:p w14:paraId="2F91EA9F">
            <w:pPr>
              <w:rPr>
                <w:rFonts w:hint="eastAsia" w:ascii="宋体" w:hAnsi="宋体" w:cs="黑体"/>
              </w:rPr>
            </w:pPr>
            <w:r>
              <w:rPr>
                <w:rFonts w:ascii="宋体" w:hAnsi="宋体"/>
              </w:rPr>
              <w:t>测试不同模型、输入输出长度及并发条件下的Token生成吞吐率、有效Token产能和上下文长度性能。</w:t>
            </w:r>
          </w:p>
        </w:tc>
        <w:tc>
          <w:tcPr>
            <w:tcW w:w="2712" w:type="dxa"/>
            <w:tcBorders>
              <w:top w:val="single" w:color="auto" w:sz="4" w:space="0"/>
              <w:left w:val="nil"/>
              <w:bottom w:val="nil"/>
              <w:right w:val="single" w:color="auto" w:sz="4" w:space="0"/>
            </w:tcBorders>
            <w:vAlign w:val="center"/>
          </w:tcPr>
          <w:p w14:paraId="0BE2AB8F">
            <w:pPr>
              <w:jc w:val="center"/>
              <w:rPr>
                <w:rFonts w:hint="eastAsia" w:ascii="宋体" w:hAnsi="宋体" w:cs="黑体"/>
              </w:rPr>
            </w:pPr>
            <w:r>
              <w:rPr>
                <w:rFonts w:ascii="宋体" w:hAnsi="宋体"/>
              </w:rPr>
              <w:t>GLM-5.1并发128时输出吞吐峰值约3687.40 tok/s，详见测试编号101。</w:t>
            </w:r>
          </w:p>
        </w:tc>
        <w:tc>
          <w:tcPr>
            <w:tcW w:w="1504" w:type="dxa"/>
            <w:tcBorders>
              <w:top w:val="single" w:color="auto" w:sz="4" w:space="0"/>
              <w:left w:val="nil"/>
              <w:bottom w:val="nil"/>
              <w:right w:val="single" w:color="auto" w:sz="12" w:space="0"/>
            </w:tcBorders>
            <w:vAlign w:val="center"/>
          </w:tcPr>
          <w:p w14:paraId="11DC3F9B">
            <w:pPr>
              <w:widowControl/>
              <w:jc w:val="center"/>
              <w:rPr>
                <w:rFonts w:hint="eastAsia" w:ascii="黑体" w:hAnsi="黑体" w:eastAsia="黑体" w:cs="黑体"/>
                <w:color w:val="000000"/>
                <w:sz w:val="24"/>
                <w:szCs w:val="22"/>
              </w:rPr>
            </w:pPr>
            <w:r>
              <w:rPr>
                <w:rFonts w:ascii="宋体" w:hAnsi="宋体"/>
              </w:rPr>
              <w:t>通过</w:t>
            </w:r>
          </w:p>
        </w:tc>
      </w:tr>
      <w:tr w14:paraId="3E02F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507" w:type="dxa"/>
            <w:tcBorders>
              <w:top w:val="single" w:color="auto" w:sz="4" w:space="0"/>
              <w:left w:val="single" w:color="auto" w:sz="12" w:space="0"/>
              <w:bottom w:val="nil"/>
              <w:right w:val="single" w:color="auto" w:sz="4" w:space="0"/>
            </w:tcBorders>
            <w:vAlign w:val="center"/>
          </w:tcPr>
          <w:p w14:paraId="6CA00EA8">
            <w:pPr>
              <w:jc w:val="center"/>
              <w:rPr>
                <w:rFonts w:hint="eastAsia" w:ascii="宋体" w:hAnsi="宋体" w:cs="黑体"/>
              </w:rPr>
            </w:pPr>
            <w:r>
              <w:rPr>
                <w:rFonts w:ascii="宋体" w:hAnsi="宋体"/>
              </w:rPr>
              <w:t>2</w:t>
            </w:r>
          </w:p>
        </w:tc>
        <w:tc>
          <w:tcPr>
            <w:tcW w:w="1789" w:type="dxa"/>
            <w:tcBorders>
              <w:top w:val="single" w:color="auto" w:sz="4" w:space="0"/>
              <w:left w:val="nil"/>
              <w:bottom w:val="nil"/>
              <w:right w:val="single" w:color="auto" w:sz="4" w:space="0"/>
            </w:tcBorders>
            <w:vAlign w:val="center"/>
          </w:tcPr>
          <w:p w14:paraId="535F337F">
            <w:pPr>
              <w:jc w:val="center"/>
              <w:rPr>
                <w:rFonts w:hint="eastAsia" w:ascii="宋体" w:hAnsi="宋体" w:cs="黑体"/>
              </w:rPr>
            </w:pPr>
            <w:r>
              <w:rPr>
                <w:rFonts w:ascii="宋体" w:hAnsi="宋体"/>
              </w:rPr>
              <w:t>时延与响应体验</w:t>
            </w:r>
          </w:p>
        </w:tc>
        <w:tc>
          <w:tcPr>
            <w:tcW w:w="2739" w:type="dxa"/>
            <w:tcBorders>
              <w:top w:val="single" w:color="auto" w:sz="4" w:space="0"/>
              <w:left w:val="nil"/>
              <w:bottom w:val="nil"/>
              <w:right w:val="single" w:color="auto" w:sz="4" w:space="0"/>
            </w:tcBorders>
            <w:vAlign w:val="center"/>
          </w:tcPr>
          <w:p w14:paraId="064781B5">
            <w:pPr>
              <w:rPr>
                <w:rFonts w:hint="eastAsia" w:ascii="宋体" w:hAnsi="宋体" w:cs="黑体"/>
              </w:rPr>
            </w:pPr>
            <w:r>
              <w:rPr>
                <w:rFonts w:ascii="宋体" w:hAnsi="宋体"/>
              </w:rPr>
              <w:t>测试端到端时延、首Token时延（TTFT）、Token间时延（ITL）及长尾响应情况。</w:t>
            </w:r>
          </w:p>
        </w:tc>
        <w:tc>
          <w:tcPr>
            <w:tcW w:w="2712" w:type="dxa"/>
            <w:tcBorders>
              <w:top w:val="single" w:color="auto" w:sz="4" w:space="0"/>
              <w:left w:val="nil"/>
              <w:bottom w:val="nil"/>
              <w:right w:val="single" w:color="auto" w:sz="4" w:space="0"/>
            </w:tcBorders>
            <w:vAlign w:val="center"/>
          </w:tcPr>
          <w:p w14:paraId="0047A5D2">
            <w:pPr>
              <w:jc w:val="center"/>
              <w:rPr>
                <w:rFonts w:hint="eastAsia" w:ascii="宋体" w:hAnsi="宋体" w:cs="黑体"/>
              </w:rPr>
            </w:pPr>
            <w:r>
              <w:rPr>
                <w:rFonts w:ascii="宋体" w:hAnsi="宋体"/>
              </w:rPr>
              <w:t>TTFT P99最优约6.62 ms，详见测试编号502。</w:t>
            </w:r>
          </w:p>
        </w:tc>
        <w:tc>
          <w:tcPr>
            <w:tcW w:w="1504" w:type="dxa"/>
            <w:tcBorders>
              <w:top w:val="single" w:color="auto" w:sz="4" w:space="0"/>
              <w:left w:val="nil"/>
              <w:bottom w:val="nil"/>
              <w:right w:val="single" w:color="auto" w:sz="12" w:space="0"/>
            </w:tcBorders>
            <w:vAlign w:val="center"/>
          </w:tcPr>
          <w:p w14:paraId="57B10B15">
            <w:pPr>
              <w:widowControl/>
              <w:jc w:val="center"/>
              <w:rPr>
                <w:rFonts w:hint="eastAsia" w:ascii="黑体" w:hAnsi="黑体" w:eastAsia="黑体" w:cs="黑体"/>
                <w:sz w:val="24"/>
                <w:szCs w:val="22"/>
              </w:rPr>
            </w:pPr>
            <w:r>
              <w:rPr>
                <w:rFonts w:ascii="宋体" w:hAnsi="宋体"/>
              </w:rPr>
              <w:t>通过</w:t>
            </w:r>
          </w:p>
        </w:tc>
      </w:tr>
      <w:tr w14:paraId="139C8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507" w:type="dxa"/>
            <w:tcBorders>
              <w:top w:val="single" w:color="auto" w:sz="4" w:space="0"/>
              <w:left w:val="single" w:color="auto" w:sz="12" w:space="0"/>
              <w:bottom w:val="nil"/>
              <w:right w:val="single" w:color="auto" w:sz="4" w:space="0"/>
            </w:tcBorders>
            <w:vAlign w:val="center"/>
          </w:tcPr>
          <w:p w14:paraId="137346F5">
            <w:pPr>
              <w:jc w:val="center"/>
              <w:rPr>
                <w:rFonts w:hint="eastAsia" w:ascii="宋体" w:hAnsi="宋体" w:cs="黑体"/>
              </w:rPr>
            </w:pPr>
            <w:r>
              <w:rPr>
                <w:rFonts w:ascii="宋体" w:hAnsi="宋体"/>
              </w:rPr>
              <w:t>3</w:t>
            </w:r>
          </w:p>
        </w:tc>
        <w:tc>
          <w:tcPr>
            <w:tcW w:w="1789" w:type="dxa"/>
            <w:tcBorders>
              <w:top w:val="single" w:color="auto" w:sz="4" w:space="0"/>
              <w:left w:val="nil"/>
              <w:bottom w:val="nil"/>
              <w:right w:val="single" w:color="auto" w:sz="4" w:space="0"/>
            </w:tcBorders>
            <w:vAlign w:val="center"/>
          </w:tcPr>
          <w:p w14:paraId="4875E2BF">
            <w:pPr>
              <w:jc w:val="center"/>
              <w:rPr>
                <w:rFonts w:hint="eastAsia" w:ascii="宋体" w:hAnsi="宋体" w:cs="黑体"/>
              </w:rPr>
            </w:pPr>
            <w:r>
              <w:rPr>
                <w:rFonts w:ascii="宋体" w:hAnsi="宋体"/>
              </w:rPr>
              <w:t>服务承载能力与稳定性</w:t>
            </w:r>
          </w:p>
        </w:tc>
        <w:tc>
          <w:tcPr>
            <w:tcW w:w="2739" w:type="dxa"/>
            <w:tcBorders>
              <w:top w:val="single" w:color="auto" w:sz="4" w:space="0"/>
              <w:left w:val="nil"/>
              <w:bottom w:val="nil"/>
              <w:right w:val="single" w:color="auto" w:sz="4" w:space="0"/>
            </w:tcBorders>
            <w:vAlign w:val="center"/>
          </w:tcPr>
          <w:p w14:paraId="6D8886A3">
            <w:pPr>
              <w:rPr>
                <w:rFonts w:hint="eastAsia" w:ascii="黑体" w:hAnsi="黑体" w:cs="黑体"/>
                <w:color w:val="000000"/>
              </w:rPr>
            </w:pPr>
            <w:r>
              <w:rPr>
                <w:rFonts w:ascii="宋体" w:hAnsi="宋体"/>
              </w:rPr>
              <w:t>测试极限承载、长时间运行、弹性扩缩容、故障恢复、容灾切换及SLA保障能力。</w:t>
            </w:r>
          </w:p>
        </w:tc>
        <w:tc>
          <w:tcPr>
            <w:tcW w:w="2712" w:type="dxa"/>
            <w:tcBorders>
              <w:top w:val="single" w:color="auto" w:sz="4" w:space="0"/>
              <w:left w:val="nil"/>
              <w:bottom w:val="nil"/>
              <w:right w:val="single" w:color="auto" w:sz="4" w:space="0"/>
            </w:tcBorders>
            <w:vAlign w:val="center"/>
          </w:tcPr>
          <w:p w14:paraId="29A1FF78">
            <w:pPr>
              <w:widowControl/>
              <w:jc w:val="center"/>
              <w:rPr>
                <w:rFonts w:hint="eastAsia" w:ascii="宋体" w:hAnsi="宋体"/>
                <w:szCs w:val="21"/>
              </w:rPr>
            </w:pPr>
            <w:r>
              <w:rPr>
                <w:rFonts w:ascii="宋体" w:hAnsi="宋体"/>
              </w:rPr>
              <w:t>连续运行超过两个月，请求成功率100%，详见测试编号503。</w:t>
            </w:r>
          </w:p>
        </w:tc>
        <w:tc>
          <w:tcPr>
            <w:tcW w:w="1504" w:type="dxa"/>
            <w:tcBorders>
              <w:top w:val="single" w:color="auto" w:sz="4" w:space="0"/>
              <w:left w:val="nil"/>
              <w:bottom w:val="nil"/>
              <w:right w:val="single" w:color="auto" w:sz="12" w:space="0"/>
            </w:tcBorders>
            <w:vAlign w:val="center"/>
          </w:tcPr>
          <w:p w14:paraId="46D279EE">
            <w:pPr>
              <w:widowControl/>
              <w:jc w:val="center"/>
              <w:rPr>
                <w:rFonts w:hint="eastAsia" w:ascii="黑体" w:hAnsi="黑体" w:eastAsia="黑体" w:cs="黑体"/>
                <w:sz w:val="24"/>
                <w:szCs w:val="22"/>
              </w:rPr>
            </w:pPr>
            <w:r>
              <w:rPr>
                <w:rFonts w:ascii="宋体" w:hAnsi="宋体"/>
              </w:rPr>
              <w:t>通过</w:t>
            </w:r>
          </w:p>
        </w:tc>
      </w:tr>
      <w:tr w14:paraId="3E960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 w:hRule="atLeast"/>
        </w:trPr>
        <w:tc>
          <w:tcPr>
            <w:tcW w:w="507" w:type="dxa"/>
            <w:tcBorders>
              <w:top w:val="single" w:color="auto" w:sz="2" w:space="0"/>
              <w:left w:val="single" w:color="auto" w:sz="12" w:space="0"/>
              <w:bottom w:val="single" w:color="auto" w:sz="2" w:space="0"/>
              <w:right w:val="single" w:color="auto" w:sz="2" w:space="0"/>
            </w:tcBorders>
            <w:vAlign w:val="center"/>
          </w:tcPr>
          <w:p w14:paraId="528E1DB3">
            <w:pPr>
              <w:jc w:val="center"/>
              <w:rPr>
                <w:rFonts w:hint="eastAsia" w:ascii="宋体" w:hAnsi="宋体" w:cs="黑体"/>
              </w:rPr>
            </w:pPr>
            <w:r>
              <w:rPr>
                <w:rFonts w:ascii="宋体" w:hAnsi="宋体"/>
              </w:rPr>
              <w:t>4</w:t>
            </w:r>
          </w:p>
        </w:tc>
        <w:tc>
          <w:tcPr>
            <w:tcW w:w="1789" w:type="dxa"/>
            <w:tcBorders>
              <w:top w:val="single" w:color="auto" w:sz="2" w:space="0"/>
              <w:left w:val="single" w:color="auto" w:sz="2" w:space="0"/>
              <w:bottom w:val="single" w:color="auto" w:sz="2" w:space="0"/>
              <w:right w:val="single" w:color="auto" w:sz="2" w:space="0"/>
            </w:tcBorders>
            <w:vAlign w:val="center"/>
          </w:tcPr>
          <w:p w14:paraId="311631E5">
            <w:pPr>
              <w:jc w:val="center"/>
              <w:rPr>
                <w:rFonts w:hint="eastAsia" w:ascii="宋体" w:hAnsi="宋体" w:cs="黑体"/>
              </w:rPr>
            </w:pPr>
            <w:r>
              <w:rPr>
                <w:rFonts w:ascii="宋体" w:hAnsi="宋体"/>
              </w:rPr>
              <w:t>资源利用率与能效</w:t>
            </w:r>
          </w:p>
        </w:tc>
        <w:tc>
          <w:tcPr>
            <w:tcW w:w="2739" w:type="dxa"/>
            <w:tcBorders>
              <w:top w:val="single" w:color="auto" w:sz="2" w:space="0"/>
              <w:left w:val="single" w:color="auto" w:sz="2" w:space="0"/>
              <w:bottom w:val="single" w:color="auto" w:sz="2" w:space="0"/>
              <w:right w:val="single" w:color="auto" w:sz="2" w:space="0"/>
            </w:tcBorders>
            <w:vAlign w:val="center"/>
          </w:tcPr>
          <w:p w14:paraId="3B84FE2D">
            <w:pPr>
              <w:rPr>
                <w:rFonts w:hint="eastAsia" w:ascii="宋体" w:hAnsi="宋体" w:cs="黑体"/>
              </w:rPr>
            </w:pPr>
            <w:r>
              <w:rPr>
                <w:rFonts w:ascii="宋体" w:hAnsi="宋体"/>
              </w:rPr>
              <w:t>测试异构加速器利用率、显存占用、Prefill/Decode吞吐、扩展效率及能效表现。</w:t>
            </w:r>
          </w:p>
        </w:tc>
        <w:tc>
          <w:tcPr>
            <w:tcW w:w="2712" w:type="dxa"/>
            <w:tcBorders>
              <w:top w:val="single" w:color="auto" w:sz="2" w:space="0"/>
              <w:left w:val="single" w:color="auto" w:sz="2" w:space="0"/>
              <w:bottom w:val="single" w:color="auto" w:sz="2" w:space="0"/>
              <w:right w:val="single" w:color="auto" w:sz="2" w:space="0"/>
            </w:tcBorders>
            <w:vAlign w:val="center"/>
          </w:tcPr>
          <w:p w14:paraId="7817D1F8">
            <w:pPr>
              <w:jc w:val="center"/>
              <w:rPr>
                <w:rFonts w:hint="eastAsia" w:ascii="宋体" w:hAnsi="宋体" w:cs="黑体"/>
              </w:rPr>
            </w:pPr>
            <w:r>
              <w:rPr>
                <w:rFonts w:ascii="宋体" w:hAnsi="宋体"/>
              </w:rPr>
              <w:t>GPU稳态约400 W/卡，详见测试编号504。</w:t>
            </w:r>
          </w:p>
        </w:tc>
        <w:tc>
          <w:tcPr>
            <w:tcW w:w="1504" w:type="dxa"/>
            <w:tcBorders>
              <w:top w:val="single" w:color="auto" w:sz="2" w:space="0"/>
              <w:left w:val="single" w:color="auto" w:sz="2" w:space="0"/>
              <w:bottom w:val="single" w:color="auto" w:sz="2" w:space="0"/>
              <w:right w:val="single" w:color="auto" w:sz="12" w:space="0"/>
            </w:tcBorders>
            <w:vAlign w:val="center"/>
          </w:tcPr>
          <w:p w14:paraId="44DF1E31">
            <w:pPr>
              <w:widowControl/>
              <w:jc w:val="center"/>
              <w:rPr>
                <w:rFonts w:hint="eastAsia" w:ascii="黑体" w:hAnsi="黑体" w:eastAsia="黑体" w:cs="黑体"/>
                <w:color w:val="000000"/>
                <w:sz w:val="24"/>
                <w:szCs w:val="22"/>
              </w:rPr>
            </w:pPr>
            <w:r>
              <w:rPr>
                <w:rFonts w:ascii="宋体" w:hAnsi="宋体"/>
              </w:rPr>
              <w:t>通过</w:t>
            </w:r>
          </w:p>
        </w:tc>
      </w:tr>
    </w:tbl>
    <w:p w14:paraId="543BCCE9">
      <w:pPr>
        <w:rPr>
          <w:rFonts w:hint="eastAsia" w:ascii="宋体" w:hAnsi="宋体"/>
        </w:rPr>
      </w:pPr>
      <w:r>
        <w:rPr>
          <w:rFonts w:hint="eastAsia" w:ascii="宋体" w:hAnsi="宋体"/>
        </w:rPr>
        <w:br w:type="page"/>
      </w:r>
    </w:p>
    <w:p w14:paraId="1530DE8A">
      <w:pPr>
        <w:ind w:left="-6"/>
        <w:jc w:val="center"/>
        <w:outlineLvl w:val="0"/>
        <w:rPr>
          <w:rFonts w:hint="eastAsia" w:ascii="宋体" w:hAnsi="宋体" w:cs="黑体"/>
          <w:b/>
          <w:sz w:val="36"/>
        </w:rPr>
      </w:pPr>
      <w:r>
        <w:rPr>
          <w:rFonts w:hint="eastAsia" w:ascii="宋体" w:hAnsi="宋体" w:cs="黑体"/>
          <w:b/>
          <w:sz w:val="36"/>
        </w:rPr>
        <w:t>检验人员一览表</w:t>
      </w:r>
    </w:p>
    <w:tbl>
      <w:tblPr>
        <w:tblStyle w:val="9"/>
        <w:tblW w:w="9141" w:type="dxa"/>
        <w:tblInd w:w="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40"/>
        <w:gridCol w:w="2760"/>
        <w:gridCol w:w="2141"/>
      </w:tblGrid>
      <w:tr w14:paraId="58B79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0" w:type="dxa"/>
          </w:tcPr>
          <w:p w14:paraId="0ED60A16">
            <w:pPr>
              <w:jc w:val="center"/>
              <w:rPr>
                <w:rFonts w:hint="eastAsia" w:ascii="宋体" w:hAnsi="宋体" w:cs="黑体"/>
                <w:sz w:val="30"/>
              </w:rPr>
            </w:pPr>
            <w:r>
              <w:rPr>
                <w:rFonts w:hint="eastAsia" w:ascii="宋体" w:hAnsi="宋体" w:cs="黑体"/>
                <w:sz w:val="30"/>
              </w:rPr>
              <w:t>检验项目/模块</w:t>
            </w:r>
          </w:p>
        </w:tc>
        <w:tc>
          <w:tcPr>
            <w:tcW w:w="2760" w:type="dxa"/>
          </w:tcPr>
          <w:p w14:paraId="444D9913">
            <w:pPr>
              <w:jc w:val="center"/>
              <w:rPr>
                <w:rFonts w:hint="eastAsia" w:ascii="宋体" w:hAnsi="宋体" w:cs="黑体"/>
                <w:sz w:val="30"/>
              </w:rPr>
            </w:pPr>
            <w:r>
              <w:rPr>
                <w:rFonts w:hint="eastAsia" w:ascii="宋体" w:hAnsi="宋体" w:cs="黑体"/>
                <w:sz w:val="30"/>
              </w:rPr>
              <w:t>检 验 员</w:t>
            </w:r>
          </w:p>
        </w:tc>
        <w:tc>
          <w:tcPr>
            <w:tcW w:w="2141" w:type="dxa"/>
          </w:tcPr>
          <w:p w14:paraId="6FF658BF">
            <w:pPr>
              <w:jc w:val="center"/>
              <w:rPr>
                <w:rFonts w:hint="eastAsia" w:ascii="宋体" w:hAnsi="宋体" w:cs="黑体"/>
                <w:sz w:val="30"/>
              </w:rPr>
            </w:pPr>
            <w:r>
              <w:rPr>
                <w:rFonts w:hint="eastAsia" w:ascii="宋体" w:hAnsi="宋体" w:cs="黑体"/>
                <w:sz w:val="30"/>
              </w:rPr>
              <w:t>审 核 员</w:t>
            </w:r>
          </w:p>
        </w:tc>
      </w:tr>
      <w:tr w14:paraId="2D944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14E7B578">
            <w:pPr>
              <w:jc w:val="center"/>
              <w:rPr>
                <w:rFonts w:hint="eastAsia" w:ascii="宋体" w:hAnsi="宋体" w:cs="黑体"/>
                <w:sz w:val="32"/>
                <w:szCs w:val="32"/>
              </w:rPr>
            </w:pPr>
            <w:r>
              <w:rPr>
                <w:rFonts w:ascii="宋体" w:hAnsi="宋体"/>
                <w:sz w:val="24"/>
                <w:szCs w:val="22"/>
              </w:rPr>
              <w:t>Token产能效率</w:t>
            </w:r>
          </w:p>
        </w:tc>
        <w:tc>
          <w:tcPr>
            <w:tcW w:w="2760" w:type="dxa"/>
            <w:vAlign w:val="center"/>
          </w:tcPr>
          <w:p w14:paraId="18298BDF">
            <w:pPr>
              <w:jc w:val="center"/>
              <w:rPr>
                <w:rFonts w:hint="eastAsia" w:ascii="宋体" w:hAnsi="宋体" w:cs="黑体"/>
                <w:sz w:val="36"/>
                <w:szCs w:val="22"/>
              </w:rPr>
            </w:pPr>
            <w:r>
              <w:rPr>
                <w:rFonts w:ascii="宋体" w:hAnsi="宋体"/>
                <w:sz w:val="24"/>
                <w:szCs w:val="22"/>
              </w:rPr>
              <w:t>韩思齐</w:t>
            </w:r>
          </w:p>
        </w:tc>
        <w:tc>
          <w:tcPr>
            <w:tcW w:w="2141" w:type="dxa"/>
            <w:vAlign w:val="center"/>
          </w:tcPr>
          <w:p w14:paraId="0CE7A43C">
            <w:pPr>
              <w:jc w:val="center"/>
              <w:rPr>
                <w:rFonts w:hint="eastAsia" w:ascii="宋体" w:hAnsi="宋体" w:cs="黑体"/>
                <w:sz w:val="36"/>
                <w:szCs w:val="22"/>
              </w:rPr>
            </w:pPr>
            <w:r>
              <w:rPr>
                <w:rFonts w:ascii="宋体" w:hAnsi="宋体"/>
                <w:sz w:val="24"/>
                <w:szCs w:val="22"/>
              </w:rPr>
              <w:t>郑立</w:t>
            </w:r>
          </w:p>
        </w:tc>
      </w:tr>
      <w:tr w14:paraId="235A1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2CF8B72E">
            <w:pPr>
              <w:jc w:val="center"/>
              <w:rPr>
                <w:rFonts w:hint="eastAsia" w:ascii="宋体" w:hAnsi="宋体" w:cs="黑体"/>
                <w:sz w:val="32"/>
                <w:szCs w:val="32"/>
              </w:rPr>
            </w:pPr>
            <w:r>
              <w:rPr>
                <w:rFonts w:ascii="宋体" w:hAnsi="宋体"/>
                <w:sz w:val="24"/>
                <w:szCs w:val="22"/>
              </w:rPr>
              <w:t>时延与响应体验</w:t>
            </w:r>
          </w:p>
        </w:tc>
        <w:tc>
          <w:tcPr>
            <w:tcW w:w="2760" w:type="dxa"/>
            <w:vAlign w:val="center"/>
          </w:tcPr>
          <w:p w14:paraId="5C98294A">
            <w:pPr>
              <w:jc w:val="center"/>
              <w:rPr>
                <w:rFonts w:hint="eastAsia" w:ascii="宋体" w:hAnsi="宋体" w:cs="黑体"/>
                <w:sz w:val="36"/>
                <w:szCs w:val="22"/>
              </w:rPr>
            </w:pPr>
            <w:r>
              <w:rPr>
                <w:rFonts w:ascii="宋体" w:hAnsi="宋体"/>
                <w:sz w:val="24"/>
                <w:szCs w:val="22"/>
              </w:rPr>
              <w:t>韩思齐</w:t>
            </w:r>
          </w:p>
        </w:tc>
        <w:tc>
          <w:tcPr>
            <w:tcW w:w="2141" w:type="dxa"/>
            <w:vAlign w:val="center"/>
          </w:tcPr>
          <w:p w14:paraId="5474E3F5">
            <w:pPr>
              <w:jc w:val="center"/>
              <w:rPr>
                <w:rFonts w:hint="eastAsia" w:ascii="宋体" w:hAnsi="宋体" w:cs="黑体"/>
                <w:sz w:val="36"/>
                <w:szCs w:val="22"/>
              </w:rPr>
            </w:pPr>
            <w:r>
              <w:rPr>
                <w:rFonts w:ascii="宋体" w:hAnsi="宋体"/>
                <w:sz w:val="24"/>
                <w:szCs w:val="22"/>
              </w:rPr>
              <w:t>郑立</w:t>
            </w:r>
          </w:p>
        </w:tc>
      </w:tr>
      <w:tr w14:paraId="531D5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51A3875A">
            <w:pPr>
              <w:jc w:val="center"/>
              <w:rPr>
                <w:rFonts w:hint="eastAsia" w:ascii="宋体" w:hAnsi="宋体" w:cs="黑体"/>
                <w:sz w:val="32"/>
                <w:szCs w:val="32"/>
              </w:rPr>
            </w:pPr>
            <w:r>
              <w:rPr>
                <w:rFonts w:ascii="宋体" w:hAnsi="宋体"/>
                <w:sz w:val="24"/>
                <w:szCs w:val="22"/>
              </w:rPr>
              <w:t>服务承载能力与稳定性</w:t>
            </w:r>
          </w:p>
        </w:tc>
        <w:tc>
          <w:tcPr>
            <w:tcW w:w="2760" w:type="dxa"/>
            <w:vAlign w:val="center"/>
          </w:tcPr>
          <w:p w14:paraId="098C76BE">
            <w:pPr>
              <w:jc w:val="center"/>
              <w:rPr>
                <w:rFonts w:hint="eastAsia" w:ascii="宋体" w:hAnsi="宋体" w:cs="黑体"/>
                <w:sz w:val="36"/>
                <w:szCs w:val="22"/>
              </w:rPr>
            </w:pPr>
            <w:r>
              <w:rPr>
                <w:rFonts w:ascii="宋体" w:hAnsi="宋体"/>
                <w:sz w:val="24"/>
                <w:szCs w:val="22"/>
              </w:rPr>
              <w:t>韩思齐</w:t>
            </w:r>
          </w:p>
        </w:tc>
        <w:tc>
          <w:tcPr>
            <w:tcW w:w="2141" w:type="dxa"/>
            <w:vAlign w:val="center"/>
          </w:tcPr>
          <w:p w14:paraId="6CB411D7">
            <w:pPr>
              <w:jc w:val="center"/>
              <w:rPr>
                <w:rFonts w:hint="eastAsia" w:ascii="宋体" w:hAnsi="宋体" w:cs="黑体"/>
                <w:sz w:val="36"/>
                <w:szCs w:val="22"/>
              </w:rPr>
            </w:pPr>
            <w:r>
              <w:rPr>
                <w:rFonts w:ascii="宋体" w:hAnsi="宋体"/>
                <w:sz w:val="24"/>
                <w:szCs w:val="22"/>
              </w:rPr>
              <w:t>郑立</w:t>
            </w:r>
          </w:p>
        </w:tc>
      </w:tr>
      <w:tr w14:paraId="4FF2B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691CD35B">
            <w:pPr>
              <w:jc w:val="center"/>
              <w:rPr>
                <w:rFonts w:hint="eastAsia" w:ascii="宋体" w:hAnsi="宋体" w:cs="黑体"/>
                <w:sz w:val="24"/>
                <w:szCs w:val="22"/>
              </w:rPr>
            </w:pPr>
            <w:r>
              <w:rPr>
                <w:rFonts w:ascii="宋体" w:hAnsi="宋体"/>
                <w:sz w:val="24"/>
                <w:szCs w:val="22"/>
              </w:rPr>
              <w:t>资源利用率与能效</w:t>
            </w:r>
          </w:p>
        </w:tc>
        <w:tc>
          <w:tcPr>
            <w:tcW w:w="2760" w:type="dxa"/>
            <w:vAlign w:val="center"/>
          </w:tcPr>
          <w:p w14:paraId="11E54A57">
            <w:pPr>
              <w:jc w:val="center"/>
              <w:rPr>
                <w:rFonts w:hint="eastAsia" w:ascii="宋体" w:hAnsi="宋体" w:cs="黑体"/>
                <w:sz w:val="36"/>
                <w:szCs w:val="22"/>
              </w:rPr>
            </w:pPr>
            <w:r>
              <w:rPr>
                <w:rFonts w:ascii="宋体" w:hAnsi="宋体"/>
                <w:sz w:val="24"/>
                <w:szCs w:val="22"/>
              </w:rPr>
              <w:t>韩思齐</w:t>
            </w:r>
          </w:p>
        </w:tc>
        <w:tc>
          <w:tcPr>
            <w:tcW w:w="2141" w:type="dxa"/>
            <w:vAlign w:val="center"/>
          </w:tcPr>
          <w:p w14:paraId="24619DE2">
            <w:pPr>
              <w:jc w:val="center"/>
              <w:rPr>
                <w:rFonts w:hint="eastAsia" w:ascii="宋体" w:hAnsi="宋体" w:cs="黑体"/>
                <w:sz w:val="36"/>
                <w:szCs w:val="22"/>
              </w:rPr>
            </w:pPr>
            <w:r>
              <w:rPr>
                <w:rFonts w:ascii="宋体" w:hAnsi="宋体"/>
                <w:sz w:val="24"/>
                <w:szCs w:val="22"/>
              </w:rPr>
              <w:t>郑立</w:t>
            </w:r>
          </w:p>
        </w:tc>
      </w:tr>
      <w:tr w14:paraId="2B717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2E31571D">
            <w:pPr>
              <w:jc w:val="center"/>
              <w:rPr>
                <w:rFonts w:hint="eastAsia" w:ascii="宋体" w:hAnsi="宋体" w:cs="黑体"/>
              </w:rPr>
            </w:pPr>
          </w:p>
        </w:tc>
        <w:tc>
          <w:tcPr>
            <w:tcW w:w="2760" w:type="dxa"/>
            <w:vAlign w:val="center"/>
          </w:tcPr>
          <w:p w14:paraId="35E7BBC4">
            <w:pPr>
              <w:jc w:val="center"/>
              <w:rPr>
                <w:rFonts w:hint="eastAsia" w:ascii="宋体" w:hAnsi="宋体" w:cs="黑体"/>
                <w:sz w:val="28"/>
              </w:rPr>
            </w:pPr>
          </w:p>
        </w:tc>
        <w:tc>
          <w:tcPr>
            <w:tcW w:w="2141" w:type="dxa"/>
            <w:vAlign w:val="center"/>
          </w:tcPr>
          <w:p w14:paraId="161B2BF1">
            <w:pPr>
              <w:jc w:val="center"/>
              <w:rPr>
                <w:rFonts w:hint="eastAsia" w:ascii="宋体" w:hAnsi="宋体" w:cs="黑体"/>
                <w:sz w:val="28"/>
              </w:rPr>
            </w:pPr>
          </w:p>
        </w:tc>
      </w:tr>
      <w:tr w14:paraId="7D27B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4240" w:type="dxa"/>
            <w:vAlign w:val="center"/>
          </w:tcPr>
          <w:p w14:paraId="3B399ED3">
            <w:pPr>
              <w:jc w:val="center"/>
              <w:rPr>
                <w:rFonts w:hint="eastAsia" w:ascii="宋体" w:hAnsi="宋体" w:cs="黑体"/>
              </w:rPr>
            </w:pPr>
          </w:p>
        </w:tc>
        <w:tc>
          <w:tcPr>
            <w:tcW w:w="2760" w:type="dxa"/>
            <w:vAlign w:val="center"/>
          </w:tcPr>
          <w:p w14:paraId="2C8EE65C">
            <w:pPr>
              <w:jc w:val="center"/>
              <w:rPr>
                <w:rFonts w:hint="eastAsia" w:ascii="宋体" w:hAnsi="宋体" w:cs="黑体"/>
                <w:sz w:val="28"/>
              </w:rPr>
            </w:pPr>
          </w:p>
        </w:tc>
        <w:tc>
          <w:tcPr>
            <w:tcW w:w="2141" w:type="dxa"/>
            <w:vAlign w:val="center"/>
          </w:tcPr>
          <w:p w14:paraId="01282BDF">
            <w:pPr>
              <w:jc w:val="center"/>
              <w:rPr>
                <w:rFonts w:hint="eastAsia" w:ascii="宋体" w:hAnsi="宋体" w:cs="黑体"/>
                <w:sz w:val="28"/>
              </w:rPr>
            </w:pPr>
          </w:p>
        </w:tc>
      </w:tr>
    </w:tbl>
    <w:p w14:paraId="76F0E95A">
      <w:pPr>
        <w:rPr>
          <w:rFonts w:hint="eastAsia" w:ascii="华文中宋" w:hAnsi="华文中宋" w:eastAsia="华文中宋"/>
          <w:sz w:val="24"/>
          <w:szCs w:val="24"/>
        </w:rPr>
      </w:pPr>
    </w:p>
    <w:p w14:paraId="133506ED"/>
    <w:sectPr>
      <w:headerReference r:id="rId5" w:type="first"/>
      <w:footerReference r:id="rId8" w:type="first"/>
      <w:headerReference r:id="rId3" w:type="default"/>
      <w:footerReference r:id="rId6" w:type="default"/>
      <w:headerReference r:id="rId4" w:type="even"/>
      <w:footerReference r:id="rId7" w:type="even"/>
      <w:endnotePr>
        <w:numFmt w:val="decimal"/>
      </w:endnotePr>
      <w:pgSz w:w="11906" w:h="16838"/>
      <w:pgMar w:top="907" w:right="1134" w:bottom="907"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Open Sans">
    <w:altName w:val="Times New Roman"/>
    <w:panose1 w:val="00000000000000000000"/>
    <w:charset w:val="00"/>
    <w:family w:val="swiss"/>
    <w:pitch w:val="default"/>
    <w:sig w:usb0="00000000" w:usb1="00000000" w:usb2="00000028" w:usb3="00000000" w:csb0="0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F3A25">
    <w:pPr>
      <w:pStyle w:val="5"/>
      <w:jc w:val="center"/>
      <w:rPr>
        <w:sz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6251856"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14ECC0">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v54ScMQIAAFwEAAAOAAAAAAAAAAEAIAAAAB8BAABkcnMvZTJvRG9jLnhtbFBLBQYA&#10;AAAABgAGAFkBAADCBQAAAAA=&#10;">
              <v:fill on="f" focussize="0,0"/>
              <v:stroke on="f" weight="0.5pt"/>
              <v:imagedata o:title=""/>
              <o:lock v:ext="edit" aspectratio="f"/>
              <v:textbox inset="0mm,0mm,0mm,0mm" style="mso-fit-shape-to-text:t;">
                <w:txbxContent>
                  <w:p w14:paraId="6814ECC0">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23</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B970B">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CFBB2">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66897">
    <w:pPr>
      <w:pStyle w:val="6"/>
      <w:pBdr>
        <w:bottom w:val="none" w:color="auto" w:sz="0" w:space="0"/>
      </w:pBdr>
      <w:jc w:val="both"/>
      <w:rPr>
        <w:rFonts w:hint="eastAsia" w:ascii="黑体" w:hAnsi="黑体" w:eastAsia="黑体"/>
      </w:rPr>
    </w:pPr>
    <w:r>
      <w:rPr>
        <w:rFonts w:hint="eastAsia" w:ascii="黑体" w:hAnsi="黑体" w:eastAsia="黑体"/>
      </w:rPr>
      <w:t xml:space="preserve">  </w:t>
    </w:r>
    <w:r>
      <w:rPr>
        <w:rFonts w:ascii="黑体" w:hAnsi="黑体" w:eastAsia="黑体"/>
      </w:rPr>
      <w:drawing>
        <wp:inline distT="0" distB="0" distL="0" distR="0">
          <wp:extent cx="1356360" cy="346710"/>
          <wp:effectExtent l="0" t="0" r="15240" b="8255"/>
          <wp:docPr id="1642331627" name="图片 4" descr="新泰尔实验室组合商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31627" name="图片 4" descr="新泰尔实验室组合商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56360" cy="346710"/>
                  </a:xfrm>
                  <a:prstGeom prst="rect">
                    <a:avLst/>
                  </a:prstGeom>
                  <a:noFill/>
                  <a:ln>
                    <a:noFill/>
                  </a:ln>
                </pic:spPr>
              </pic:pic>
            </a:graphicData>
          </a:graphic>
        </wp:inline>
      </w:drawing>
    </w:r>
    <w:r>
      <w:rPr>
        <w:rFonts w:hint="eastAsia" w:ascii="黑体" w:hAnsi="黑体" w:eastAsia="黑体"/>
      </w:rPr>
      <w:t xml:space="preserve">                                               </w:t>
    </w:r>
    <w:r>
      <w:drawing>
        <wp:inline distT="0" distB="0" distL="114300" distR="114300">
          <wp:extent cx="1583690" cy="435610"/>
          <wp:effectExtent l="0" t="0" r="16510" b="21590"/>
          <wp:docPr id="11534253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25369" name="图片 3"/>
                  <pic:cNvPicPr>
                    <a:picLocks noChangeAspect="1"/>
                  </pic:cNvPicPr>
                </pic:nvPicPr>
                <pic:blipFill>
                  <a:blip r:embed="rId2"/>
                  <a:stretch>
                    <a:fillRect/>
                  </a:stretch>
                </pic:blipFill>
                <pic:spPr>
                  <a:xfrm>
                    <a:off x="0" y="0"/>
                    <a:ext cx="1583690" cy="435610"/>
                  </a:xfrm>
                  <a:prstGeom prst="rect">
                    <a:avLst/>
                  </a:prstGeom>
                  <a:noFill/>
                  <a:ln>
                    <a:noFill/>
                  </a:ln>
                </pic:spPr>
              </pic:pic>
            </a:graphicData>
          </a:graphic>
        </wp:inline>
      </w:drawing>
    </w:r>
    <w:r>
      <w:rPr>
        <w:rFonts w:hint="eastAsia" w:ascii="黑体" w:hAnsi="黑体" w:eastAsia="黑体"/>
      </w:rPr>
      <w:t xml:space="preserve">                                                                           </w:t>
    </w:r>
  </w:p>
  <w:p w14:paraId="578729BE">
    <w:pPr>
      <w:pStyle w:val="6"/>
      <w:pBdr>
        <w:bottom w:val="none" w:color="auto" w:sz="0" w:space="0"/>
      </w:pBdr>
      <w:jc w:val="both"/>
      <w:rPr>
        <w:rFonts w:hint="eastAsia" w:ascii="黑体" w:hAnsi="黑体" w:eastAsia="黑体"/>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14059">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53833">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432" w:hanging="432"/>
      </w:pPr>
      <w:rPr>
        <w:rFonts w:hint="default"/>
      </w:rPr>
    </w:lvl>
    <w:lvl w:ilvl="1" w:tentative="0">
      <w:start w:val="1"/>
      <w:numFmt w:val="decimal"/>
      <w:pStyle w:val="2"/>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ascii="Times New Roman" w:hAnsi="Times New Roman" w:cs="Times New Roman"/>
        <w:sz w:val="20"/>
        <w:szCs w:val="20"/>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
    <w:nsid w:val="02C746DA"/>
    <w:multiLevelType w:val="multilevel"/>
    <w:tmpl w:val="02C746DA"/>
    <w:lvl w:ilvl="0" w:tentative="0">
      <w:start w:val="1"/>
      <w:numFmt w:val="chineseCountingThousand"/>
      <w:suff w:val="nothing"/>
      <w:lvlText w:val="%1、"/>
      <w:lvlJc w:val="left"/>
      <w:pPr>
        <w:ind w:left="0" w:firstLine="0"/>
      </w:pPr>
      <w:rPr>
        <w:rFonts w:hint="eastAsia"/>
      </w:rPr>
    </w:lvl>
    <w:lvl w:ilvl="1" w:tentative="0">
      <w:start w:val="1"/>
      <w:numFmt w:val="decimal"/>
      <w:lvlText w:val="%2."/>
      <w:lvlJc w:val="left"/>
      <w:pPr>
        <w:tabs>
          <w:tab w:val="left" w:pos="786"/>
        </w:tabs>
        <w:ind w:left="426" w:firstLine="0"/>
      </w:pPr>
      <w:rPr>
        <w:rFonts w:hint="eastAsia"/>
      </w:rPr>
    </w:lvl>
    <w:lvl w:ilvl="2" w:tentative="0">
      <w:start w:val="1"/>
      <w:numFmt w:val="decimal"/>
      <w:pStyle w:val="3"/>
      <w:lvlText w:val="%2.%3"/>
      <w:lvlJc w:val="left"/>
      <w:pPr>
        <w:tabs>
          <w:tab w:val="left" w:pos="142"/>
        </w:tabs>
        <w:ind w:left="142" w:firstLine="0"/>
      </w:pPr>
      <w:rPr>
        <w:rFonts w:hint="default"/>
        <w:b/>
        <w:bCs/>
        <w:sz w:val="28"/>
        <w:szCs w:val="28"/>
      </w:rPr>
    </w:lvl>
    <w:lvl w:ilvl="3" w:tentative="0">
      <w:start w:val="1"/>
      <w:numFmt w:val="decimal"/>
      <w:lvlText w:val="%2.%3.%4"/>
      <w:lvlJc w:val="left"/>
      <w:pPr>
        <w:tabs>
          <w:tab w:val="left" w:pos="720"/>
        </w:tabs>
        <w:ind w:left="0" w:firstLine="0"/>
      </w:pPr>
      <w:rPr>
        <w:rFonts w:hint="default" w:ascii="Times New Roman" w:hAnsi="Times New Roman"/>
      </w:rPr>
    </w:lvl>
    <w:lvl w:ilvl="4" w:tentative="0">
      <w:start w:val="1"/>
      <w:numFmt w:val="lowerLetter"/>
      <w:lvlText w:val="%5)"/>
      <w:lvlJc w:val="left"/>
      <w:pPr>
        <w:tabs>
          <w:tab w:val="left" w:pos="0"/>
        </w:tabs>
        <w:ind w:left="0" w:firstLine="0"/>
      </w:pPr>
      <w:rPr>
        <w:rFonts w:hint="default" w:ascii="Times New Roman" w:hAnsi="Times New Roman"/>
      </w:rPr>
    </w:lvl>
    <w:lvl w:ilvl="5" w:tentative="0">
      <w:start w:val="1"/>
      <w:numFmt w:val="lowerLetter"/>
      <w:lvlText w:val="(%6)"/>
      <w:lvlJc w:val="left"/>
      <w:pPr>
        <w:tabs>
          <w:tab w:val="left" w:pos="4677"/>
        </w:tabs>
        <w:ind w:left="4252" w:firstLine="0"/>
      </w:pPr>
      <w:rPr>
        <w:rFonts w:hint="eastAsia"/>
      </w:rPr>
    </w:lvl>
    <w:lvl w:ilvl="6" w:tentative="0">
      <w:start w:val="1"/>
      <w:numFmt w:val="lowerRoman"/>
      <w:lvlText w:val="(%7)"/>
      <w:lvlJc w:val="left"/>
      <w:pPr>
        <w:tabs>
          <w:tab w:val="left" w:pos="5528"/>
        </w:tabs>
        <w:ind w:left="5102" w:firstLine="0"/>
      </w:pPr>
      <w:rPr>
        <w:rFonts w:hint="eastAsia"/>
      </w:rPr>
    </w:lvl>
    <w:lvl w:ilvl="7" w:tentative="0">
      <w:start w:val="1"/>
      <w:numFmt w:val="lowerLetter"/>
      <w:lvlText w:val="(%8)"/>
      <w:lvlJc w:val="left"/>
      <w:pPr>
        <w:tabs>
          <w:tab w:val="left" w:pos="6378"/>
        </w:tabs>
        <w:ind w:left="5953" w:firstLine="0"/>
      </w:pPr>
      <w:rPr>
        <w:rFonts w:hint="eastAsia"/>
      </w:rPr>
    </w:lvl>
    <w:lvl w:ilvl="8" w:tentative="0">
      <w:start w:val="1"/>
      <w:numFmt w:val="lowerRoman"/>
      <w:lvlText w:val="(%9)"/>
      <w:lvlJc w:val="left"/>
      <w:pPr>
        <w:tabs>
          <w:tab w:val="left" w:pos="7228"/>
        </w:tabs>
        <w:ind w:left="6803" w:firstLine="0"/>
      </w:pPr>
      <w:rPr>
        <w:rFonts w:hint="eastAsia"/>
      </w:rPr>
    </w:lvl>
  </w:abstractNum>
  <w:abstractNum w:abstractNumId="2">
    <w:nsid w:val="6CEA2025"/>
    <w:multiLevelType w:val="multilevel"/>
    <w:tmpl w:val="6CEA2025"/>
    <w:lvl w:ilvl="0" w:tentative="0">
      <w:start w:val="1"/>
      <w:numFmt w:val="none"/>
      <w:suff w:val="nothing"/>
      <w:lvlText w:val="%1"/>
      <w:lvlJc w:val="left"/>
      <w:pPr>
        <w:ind w:left="0" w:firstLine="0"/>
      </w:pPr>
    </w:lvl>
    <w:lvl w:ilvl="1" w:tentative="0">
      <w:start w:val="1"/>
      <w:numFmt w:val="decimal"/>
      <w:pStyle w:val="15"/>
      <w:suff w:val="nothing"/>
      <w:lvlText w:val="%1%2　"/>
      <w:lvlJc w:val="left"/>
      <w:pPr>
        <w:ind w:left="0" w:firstLine="0"/>
      </w:pPr>
      <w:rPr>
        <w:rFonts w:hint="eastAsia" w:ascii="黑体" w:hAnsi="Times New Roman" w:eastAsia="黑体"/>
        <w:b w:val="0"/>
        <w:i w:val="0"/>
        <w:sz w:val="21"/>
      </w:rPr>
    </w:lvl>
    <w:lvl w:ilvl="2" w:tentative="0">
      <w:start w:val="1"/>
      <w:numFmt w:val="decimal"/>
      <w:suff w:val="nothing"/>
      <w:lvlText w:val="%1%2.%3　"/>
      <w:lvlJc w:val="left"/>
      <w:pPr>
        <w:ind w:left="0" w:firstLine="0"/>
      </w:pPr>
      <w:rPr>
        <w:rFonts w:hint="eastAsia" w:ascii="黑体" w:hAnsi="Times New Roman" w:eastAsia="黑体" w:cs="Times New Roman"/>
        <w:b w:val="0"/>
        <w:bCs w:val="0"/>
        <w:i w:val="0"/>
        <w:iCs w:val="0"/>
        <w:caps w:val="0"/>
        <w:smallCaps w:val="0"/>
        <w:strike w:val="0"/>
        <w:dstrike w:val="0"/>
        <w:vanish w:val="0"/>
        <w:color w:val="000000"/>
        <w:spacing w:val="0"/>
        <w:kern w:val="0"/>
        <w:position w:val="0"/>
        <w:sz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lvl>
    <w:lvl w:ilvl="8" w:tentative="0">
      <w:start w:val="1"/>
      <w:numFmt w:val="decimal"/>
      <w:lvlText w:val="%1.%2.%3.%4.%5.%6.%7.%8.%9"/>
      <w:lvlJc w:val="left"/>
      <w:pPr>
        <w:tabs>
          <w:tab w:val="left" w:pos="4777"/>
        </w:tabs>
        <w:ind w:left="4677" w:hanging="170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endnotePr>
    <w:numFmt w:val="decimal"/>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CFEDD9"/>
    <w:rsid w:val="00055871"/>
    <w:rsid w:val="00091594"/>
    <w:rsid w:val="001E1EAD"/>
    <w:rsid w:val="00253405"/>
    <w:rsid w:val="00371183"/>
    <w:rsid w:val="003D2264"/>
    <w:rsid w:val="00425A06"/>
    <w:rsid w:val="004E62DC"/>
    <w:rsid w:val="00522D0C"/>
    <w:rsid w:val="005733CD"/>
    <w:rsid w:val="00596A74"/>
    <w:rsid w:val="005E3C6D"/>
    <w:rsid w:val="006B02FB"/>
    <w:rsid w:val="006D1531"/>
    <w:rsid w:val="008E7150"/>
    <w:rsid w:val="0096476A"/>
    <w:rsid w:val="009E3E13"/>
    <w:rsid w:val="009F62F2"/>
    <w:rsid w:val="00A05E67"/>
    <w:rsid w:val="00AF6A6E"/>
    <w:rsid w:val="00B160C0"/>
    <w:rsid w:val="00BC6387"/>
    <w:rsid w:val="00C44085"/>
    <w:rsid w:val="00C604A7"/>
    <w:rsid w:val="00C82DA1"/>
    <w:rsid w:val="00CE7D9E"/>
    <w:rsid w:val="00D16D3E"/>
    <w:rsid w:val="00E65A7B"/>
    <w:rsid w:val="00FE1758"/>
    <w:rsid w:val="19455562"/>
    <w:rsid w:val="59CFEDD9"/>
    <w:rsid w:val="6C602B47"/>
    <w:rsid w:val="6D1C5E25"/>
    <w:rsid w:val="772917E0"/>
    <w:rsid w:val="7CAB67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1"/>
    <w:next w:val="1"/>
    <w:unhideWhenUsed/>
    <w:qFormat/>
    <w:uiPriority w:val="0"/>
    <w:pPr>
      <w:keepNext/>
      <w:keepLines/>
      <w:numPr>
        <w:ilvl w:val="1"/>
        <w:numId w:val="1"/>
      </w:numPr>
      <w:spacing w:before="260" w:after="260" w:line="413" w:lineRule="auto"/>
      <w:outlineLvl w:val="1"/>
    </w:pPr>
    <w:rPr>
      <w:rFonts w:ascii="Arial" w:hAnsi="Arial" w:eastAsia="黑体"/>
      <w:b/>
      <w:sz w:val="32"/>
    </w:rPr>
  </w:style>
  <w:style w:type="paragraph" w:styleId="3">
    <w:name w:val="heading 3"/>
    <w:basedOn w:val="1"/>
    <w:next w:val="1"/>
    <w:qFormat/>
    <w:uiPriority w:val="0"/>
    <w:pPr>
      <w:keepNext/>
      <w:keepLines/>
      <w:numPr>
        <w:ilvl w:val="2"/>
        <w:numId w:val="2"/>
      </w:numPr>
      <w:tabs>
        <w:tab w:val="left" w:pos="0"/>
        <w:tab w:val="left" w:pos="420"/>
      </w:tabs>
      <w:adjustRightInd w:val="0"/>
      <w:snapToGrid w:val="0"/>
      <w:spacing w:before="240" w:after="156" w:afterLines="50" w:line="400" w:lineRule="atLeast"/>
      <w:outlineLvl w:val="2"/>
    </w:pPr>
    <w:rPr>
      <w:rFonts w:ascii="宋体" w:hAnsi="宋体"/>
      <w:spacing w:val="12"/>
      <w:sz w:val="22"/>
      <w:szCs w:val="24"/>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Date"/>
    <w:basedOn w:val="1"/>
    <w:next w:val="1"/>
    <w:qFormat/>
    <w:uiPriority w:val="0"/>
    <w:pPr>
      <w:ind w:left="100" w:leftChars="250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rPr>
  </w:style>
  <w:style w:type="paragraph" w:styleId="7">
    <w:name w:val="toc 1"/>
    <w:basedOn w:val="1"/>
    <w:next w:val="1"/>
    <w:qFormat/>
    <w:uiPriority w:val="0"/>
    <w:pPr>
      <w:spacing w:before="156"/>
      <w:ind w:left="-69" w:leftChars="-33" w:firstLine="67" w:firstLineChars="28"/>
    </w:pPr>
    <w:rPr>
      <w:sz w:val="24"/>
    </w:rPr>
  </w:style>
  <w:style w:type="paragraph" w:styleId="8">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34"/>
    <w:pPr>
      <w:ind w:firstLine="420" w:firstLineChars="200"/>
    </w:pPr>
  </w:style>
  <w:style w:type="paragraph" w:customStyle="1" w:styleId="13">
    <w:name w:val="段"/>
    <w:qFormat/>
    <w:uiPriority w:val="0"/>
    <w:pPr>
      <w:tabs>
        <w:tab w:val="center" w:pos="4201"/>
        <w:tab w:val="right" w:leader="dot" w:pos="9298"/>
      </w:tabs>
      <w:autoSpaceDE w:val="0"/>
      <w:autoSpaceDN w:val="0"/>
      <w:jc w:val="both"/>
    </w:pPr>
    <w:rPr>
      <w:rFonts w:ascii="宋体" w:hAnsi="Times New Roman" w:eastAsia="宋体" w:cs="Times New Roman"/>
      <w:sz w:val="21"/>
      <w:lang w:val="en-US" w:eastAsia="zh-CN" w:bidi="ar-SA"/>
    </w:rPr>
  </w:style>
  <w:style w:type="paragraph" w:customStyle="1" w:styleId="14">
    <w:name w:val="p1"/>
    <w:basedOn w:val="1"/>
    <w:qFormat/>
    <w:uiPriority w:val="0"/>
    <w:pPr>
      <w:widowControl/>
      <w:jc w:val="left"/>
    </w:pPr>
    <w:rPr>
      <w:rFonts w:ascii="Helvetica" w:hAnsi="Helvetica" w:cs="宋体"/>
      <w:color w:val="000000"/>
      <w:kern w:val="0"/>
      <w:sz w:val="17"/>
      <w:szCs w:val="17"/>
    </w:rPr>
  </w:style>
  <w:style w:type="paragraph" w:customStyle="1" w:styleId="15">
    <w:name w:val="标准文件_章标题"/>
    <w:next w:val="16"/>
    <w:qFormat/>
    <w:uiPriority w:val="0"/>
    <w:pPr>
      <w:numPr>
        <w:ilvl w:val="1"/>
        <w:numId w:val="3"/>
      </w:numPr>
      <w:spacing w:beforeLines="100" w:afterLines="100"/>
      <w:jc w:val="both"/>
      <w:outlineLvl w:val="0"/>
    </w:pPr>
    <w:rPr>
      <w:rFonts w:ascii="黑体" w:hAnsi="Times New Roman" w:eastAsia="黑体" w:cs="Times New Roman"/>
      <w:sz w:val="21"/>
      <w:lang w:val="en-US" w:eastAsia="zh-CN" w:bidi="ar-SA"/>
    </w:rPr>
  </w:style>
  <w:style w:type="paragraph" w:customStyle="1" w:styleId="16">
    <w:name w:val="标准文件_段"/>
    <w:qFormat/>
    <w:uiPriority w:val="0"/>
    <w:pPr>
      <w:autoSpaceDE w:val="0"/>
      <w:autoSpaceDN w:val="0"/>
      <w:ind w:firstLine="200" w:firstLineChars="200"/>
      <w:jc w:val="both"/>
    </w:pPr>
    <w:rPr>
      <w:rFonts w:ascii="Times New Roman" w:hAnsi="Times New Roman" w:eastAsia="宋体" w:cs="Times New Roman"/>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780</Words>
  <Characters>943</Characters>
  <Lines>581</Lines>
  <Paragraphs>416</Paragraphs>
  <TotalTime>1</TotalTime>
  <ScaleCrop>false</ScaleCrop>
  <LinksUpToDate>false</LinksUpToDate>
  <CharactersWithSpaces>1034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2026-07-10T14:36:00Z</dcterms:created>
  <dc:creator>庄祎</dc:creator>
  <cp:lastModifiedBy>不忘，前行</cp:lastModifiedBy>
  <dcterms:modified xsi:type="dcterms:W3CDTF">2026-08-06T03:10:38Z</dcterms:modified>
  <dc:title>高效能Token云服务检验项目原始记录在线生成模板</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B2C9289EE2E945FEB3EF1859430A51EC_13</vt:lpwstr>
  </property>
  <property fmtid="{D5CDD505-2E9C-101B-9397-08002B2CF9AE}" pid="4" name="KSOTemplateDocerSaveRecord">
    <vt:lpwstr>eyJoZGlkIjoiMThmZDI3OTQ3NzI2MThjZDAzZDkyM2UwMmU2MTZhYjciLCJ1c2VySWQiOiIyNTk0NDI0OTcifQ==</vt:lpwstr>
  </property>
</Properties>
</file>