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精准测试能力成熟度模型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《精准测试能力成熟度模型》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检验依据：《精准测试能力成熟度模型》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用户权限管理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具备检验项要求的各项功能，过程和结果可追溯。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{{RESULT_110}}</w:t>
              <w:br/>
              <w:t>[[DEMO_110]]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{{CONCLUSION_110}}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项目管理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具备检验项要求的各项功能，过程和结果可追溯。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{{RESULT_121}}</w:t>
              <w:br/>
              <w:t>[[DEMO_121]]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{{CONCLUSION_121}}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版本管理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具备检验项要求的各项功能，过程和结果可追溯。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{{RESULT_122}}</w:t>
              <w:br/>
              <w:t>[[DEMO_122]]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{{CONCLUSION_122}}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配置管理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具备检验项要求的各项功能，过程和结果可追溯。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{{RESULT_123}}</w:t>
              <w:br/>
              <w:t>[[DEMO_123]]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{{CONCLUSION_123}}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数据安全管理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{{RESULT_130}}</w:t>
              <w:br/>
              <w:t>[[DEMO_130]]</w:t>
            </w:r>
          </w:p>
        </w:tc>
        <w:tc>
          <w:tcPr>
            <w:tcW w:type="dxa" w:w="1208"/>
          </w:tcPr>
          <w:p>
            <w:r>
              <w:t>{{CONCLUSION_130}}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接入复杂度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{{RESULT_141}}</w:t>
              <w:br/>
              <w:t>[[DEMO_141]]</w:t>
            </w:r>
          </w:p>
        </w:tc>
        <w:tc>
          <w:tcPr>
            <w:tcW w:type="dxa" w:w="1208"/>
          </w:tcPr>
          <w:p>
            <w:r>
              <w:t>{{CONCLUSION_141}}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可扩展性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{{RESULT_142}}</w:t>
              <w:br/>
              <w:t>[[DEMO_142]]</w:t>
            </w:r>
          </w:p>
        </w:tc>
        <w:tc>
          <w:tcPr>
            <w:tcW w:type="dxa" w:w="1208"/>
          </w:tcPr>
          <w:p>
            <w:r>
              <w:t>{{CONCLUSION_142}}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代码插桩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{{RESULT_210}}</w:t>
              <w:br/>
              <w:t>[[DEMO_210]]</w:t>
            </w:r>
          </w:p>
        </w:tc>
        <w:tc>
          <w:tcPr>
            <w:tcW w:type="dxa" w:w="1208"/>
          </w:tcPr>
          <w:p>
            <w:r>
              <w:t>{{CONCLUSION_210}}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数据采集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{{RESULT_220}}</w:t>
              <w:br/>
              <w:t>[[DEMO_220]]</w:t>
            </w:r>
          </w:p>
        </w:tc>
        <w:tc>
          <w:tcPr>
            <w:tcW w:type="dxa" w:w="1208"/>
          </w:tcPr>
          <w:p>
            <w:r>
              <w:t>{{CONCLUSION_220}}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代码分析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{{RESULT_230}}</w:t>
              <w:br/>
              <w:t>[[DEMO_230]]</w:t>
            </w:r>
          </w:p>
        </w:tc>
        <w:tc>
          <w:tcPr>
            <w:tcW w:type="dxa" w:w="1208"/>
          </w:tcPr>
          <w:p>
            <w:r>
              <w:t>{{CONCLUSION_230}}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正向追溯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{{RESULT_310}}</w:t>
              <w:br/>
              <w:t>[[DEMO_310]]</w:t>
            </w:r>
          </w:p>
        </w:tc>
        <w:tc>
          <w:tcPr>
            <w:tcW w:type="dxa" w:w="1208"/>
          </w:tcPr>
          <w:p>
            <w:r>
              <w:t>{{CONCLUSION_310}}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反向追溯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{{RESULT_320}}</w:t>
              <w:br/>
              <w:t>[[DEMO_320]]</w:t>
            </w:r>
          </w:p>
        </w:tc>
        <w:tc>
          <w:tcPr>
            <w:tcW w:type="dxa" w:w="1208"/>
          </w:tcPr>
          <w:p>
            <w:r>
              <w:t>{{CONCLUSION_320}}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平台价值度量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{{RESULT_410}}</w:t>
              <w:br/>
              <w:t>[[DEMO_410]]</w:t>
            </w:r>
          </w:p>
        </w:tc>
        <w:tc>
          <w:tcPr>
            <w:tcW w:type="dxa" w:w="1208"/>
          </w:tcPr>
          <w:p>
            <w:r>
              <w:t>{{CONCLUSION_410}}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覆盖率分析及可视化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{{RESULT_420}}</w:t>
              <w:br/>
              <w:t>[[DEMO_420]]</w:t>
            </w:r>
          </w:p>
        </w:tc>
        <w:tc>
          <w:tcPr>
            <w:tcW w:type="dxa" w:w="1208"/>
          </w:tcPr>
          <w:p>
            <w:r>
              <w:t>{{CONCLUSION_420}}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变更影响分析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{{RESULT_430}}</w:t>
              <w:br/>
              <w:t>[[DEMO_430]]</w:t>
            </w:r>
          </w:p>
        </w:tc>
        <w:tc>
          <w:tcPr>
            <w:tcW w:type="dxa" w:w="1208"/>
          </w:tcPr>
          <w:p>
            <w:r>
              <w:t>{{CONCLUSION_430}}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业务全景展示能力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{{RESULT_440}}</w:t>
              <w:br/>
              <w:t>[[DEMO_440]]</w:t>
            </w:r>
          </w:p>
        </w:tc>
        <w:tc>
          <w:tcPr>
            <w:tcW w:type="dxa" w:w="1208"/>
          </w:tcPr>
          <w:p>
            <w:r>
              <w:t>{{CONCLUSION_440}}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用例优先级分析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{{RESULT_451}}</w:t>
              <w:br/>
              <w:t>[[DEMO_451]]</w:t>
            </w:r>
          </w:p>
        </w:tc>
        <w:tc>
          <w:tcPr>
            <w:tcW w:type="dxa" w:w="1208"/>
          </w:tcPr>
          <w:p>
            <w:r>
              <w:t>{{CONCLUSION_451}}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用例最小集分析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{{RESULT_452}}</w:t>
              <w:br/>
              <w:t>[[DEMO_452]]</w:t>
            </w:r>
          </w:p>
        </w:tc>
        <w:tc>
          <w:tcPr>
            <w:tcW w:type="dxa" w:w="1208"/>
          </w:tcPr>
          <w:p>
            <w:r>
              <w:t>{{CONCLUSION_452}}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测试用例推荐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{{RESULT_453}}</w:t>
              <w:br/>
              <w:t>[[DEMO_453]]</w:t>
            </w:r>
          </w:p>
        </w:tc>
        <w:tc>
          <w:tcPr>
            <w:tcW w:type="dxa" w:w="1208"/>
          </w:tcPr>
          <w:p>
            <w:r>
              <w:t>{{CONCLUSION_453}}</w:t>
            </w:r>
          </w:p>
        </w:tc>
      </w:tr>
      <w:tr>
        <w:tc>
          <w:tcPr>
            <w:tcW w:type="dxa" w:w="855"/>
          </w:tcPr>
          <w:p>
            <w:r>
              <w:t>20</w:t>
            </w:r>
          </w:p>
        </w:tc>
        <w:tc>
          <w:tcPr>
            <w:tcW w:type="dxa" w:w="2977"/>
          </w:tcPr>
          <w:p>
            <w:r>
              <w:t>漏测分析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{{RESULT_461}}</w:t>
              <w:br/>
              <w:t>[[DEMO_461]]</w:t>
            </w:r>
          </w:p>
        </w:tc>
        <w:tc>
          <w:tcPr>
            <w:tcW w:type="dxa" w:w="1208"/>
          </w:tcPr>
          <w:p>
            <w:r>
              <w:t>{{CONCLUSION_461}}</w:t>
            </w:r>
          </w:p>
        </w:tc>
      </w:tr>
      <w:tr>
        <w:tc>
          <w:tcPr>
            <w:tcW w:type="dxa" w:w="855"/>
          </w:tcPr>
          <w:p>
            <w:r>
              <w:t>21</w:t>
            </w:r>
          </w:p>
        </w:tc>
        <w:tc>
          <w:tcPr>
            <w:tcW w:type="dxa" w:w="2977"/>
          </w:tcPr>
          <w:p>
            <w:r>
              <w:t>缺陷分析</w:t>
            </w:r>
          </w:p>
        </w:tc>
        <w:tc>
          <w:tcPr>
            <w:tcW w:type="dxa" w:w="3119"/>
          </w:tcPr>
          <w:p>
            <w:r>
              <w:t>具备检验项要求的各项功能，过程和结果可追溯。</w:t>
            </w:r>
          </w:p>
        </w:tc>
        <w:tc>
          <w:tcPr>
            <w:tcW w:type="dxa" w:w="1308"/>
          </w:tcPr>
          <w:p>
            <w:r>
              <w:t>{{RESULT_462}}</w:t>
              <w:br/>
              <w:t>[[DEMO_462]]</w:t>
            </w:r>
          </w:p>
        </w:tc>
        <w:tc>
          <w:tcPr>
            <w:tcW w:type="dxa" w:w="1208"/>
          </w:tcPr>
          <w:p>
            <w:r>
              <w:t>{{CONCLUSION_462}}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精准测试能力成熟度模型检验报告在线生成模板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