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Site</w:t>
      </w:r>
      <w:r>
        <w:t xml:space="preserve"> </w:t>
      </w:r>
      <w:r>
        <w:t xml:space="preserve">de</w:t>
      </w:r>
      <w:r>
        <w:t xml:space="preserve"> </w:t>
      </w:r>
      <w:r>
        <w:t xml:space="preserve">test</w:t>
      </w:r>
      <w:r>
        <w:t xml:space="preserve"> </w:t>
      </w:r>
      <w:r>
        <w:t xml:space="preserve">RAG</w:t>
      </w:r>
      <w:r>
        <w:t xml:space="preserve"> </w:t>
      </w:r>
      <w:r>
        <w:t xml:space="preserve">–</w:t>
      </w:r>
      <w:r>
        <w:t xml:space="preserve"> </w:t>
      </w:r>
      <w:r>
        <w:t xml:space="preserve">Base</w:t>
      </w:r>
      <w:r>
        <w:t xml:space="preserve"> </w:t>
      </w:r>
      <w:r>
        <w:t xml:space="preserve">de</w:t>
      </w:r>
      <w:r>
        <w:t xml:space="preserve"> </w:t>
      </w:r>
      <w:r>
        <w:t xml:space="preserve">connaissances</w:t>
      </w:r>
      <w:r>
        <w:t xml:space="preserve"> </w:t>
      </w:r>
      <w:r>
        <w:t xml:space="preserve">fictive</w:t>
      </w:r>
    </w:p>
    <w:bookmarkStart w:id="20" w:name="site-web-de-test-ia-rag"/>
    <w:p>
      <w:pPr>
        <w:pStyle w:val="Heading1"/>
      </w:pPr>
      <w:r>
        <w:t xml:space="preserve">Site Web de Test IA RAG</w:t>
      </w:r>
    </w:p>
    <w:p>
      <w:pPr>
        <w:pStyle w:val="FirstParagraph"/>
      </w:pPr>
      <w:r>
        <w:t xml:space="preserve">Ce site web est une</w:t>
      </w:r>
      <w:r>
        <w:t xml:space="preserve"> </w:t>
      </w:r>
      <w:r>
        <w:rPr>
          <w:b/>
          <w:bCs/>
        </w:rPr>
        <w:t xml:space="preserve">base de connaissances fictive</w:t>
      </w:r>
      <w:r>
        <w:t xml:space="preserve"> </w:t>
      </w:r>
      <w:r>
        <w:t xml:space="preserve">créée exclusivement</w:t>
      </w:r>
      <w:r>
        <w:t xml:space="preserve"> </w:t>
      </w:r>
      <w:r>
        <w:t xml:space="preserve">pour tester des systèmes de</w:t>
      </w:r>
      <w:r>
        <w:t xml:space="preserve"> </w:t>
      </w:r>
      <w:r>
        <w:rPr>
          <w:b/>
          <w:bCs/>
        </w:rPr>
        <w:t xml:space="preserve">génération augmentée par récupération (RAG)</w:t>
      </w:r>
      <w:r>
        <w:t xml:space="preserve">.</w:t>
      </w:r>
    </w:p>
    <w:bookmarkEnd w:id="20"/>
    <w:p>
      <w:pPr>
        <w:pStyle w:val="BodyText"/>
      </w:pPr>
      <w:r>
        <w:rPr>
          <w:b/>
          <w:bCs/>
        </w:rPr>
        <w:t xml:space="preserve">Important :</w:t>
      </w:r>
    </w:p>
    <w:p>
      <w:pPr>
        <w:pStyle w:val="Compact"/>
        <w:numPr>
          <w:ilvl w:val="0"/>
          <w:numId w:val="1001"/>
        </w:numPr>
      </w:pPr>
      <w:r>
        <w:t xml:space="preserve">Toutes les personnes, entreprises, technologies et faits présentés sur cette page sont</w:t>
      </w:r>
      <w:r>
        <w:t xml:space="preserve"> </w:t>
      </w:r>
      <w:r>
        <w:rPr>
          <w:b/>
          <w:bCs/>
        </w:rPr>
        <w:t xml:space="preserve">entièrement fictifs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Ce contenu ne doit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être traité comme une information du monde réel.</w:t>
      </w:r>
    </w:p>
    <w:p>
      <w:pPr>
        <w:pStyle w:val="Compact"/>
        <w:numPr>
          <w:ilvl w:val="0"/>
          <w:numId w:val="1001"/>
        </w:numPr>
      </w:pPr>
      <w:r>
        <w:t xml:space="preserve">Son seul objectif est d’évaluer l’ingestion de documents, le découpage, la récupération et l’ancrage des réponses.</w:t>
      </w:r>
    </w:p>
    <w:bookmarkStart w:id="21" w:name="présentation-du-domaine-fictif"/>
    <w:p>
      <w:pPr>
        <w:pStyle w:val="Heading2"/>
      </w:pPr>
      <w:r>
        <w:t xml:space="preserve">Présentation du domaine fictif</w:t>
      </w:r>
    </w:p>
    <w:p>
      <w:pPr>
        <w:pStyle w:val="FirstParagraph"/>
      </w:pPr>
      <w:r>
        <w:t xml:space="preserve">Le domaine fictif décrit ici s’articule autour d’une entreprise appelée</w:t>
      </w:r>
      <w:r>
        <w:t xml:space="preserve"> </w:t>
      </w:r>
      <w:r>
        <w:rPr>
          <w:b/>
          <w:bCs/>
        </w:rPr>
        <w:t xml:space="preserve">Orion Analytics Group (OAG)</w:t>
      </w:r>
      <w:r>
        <w:t xml:space="preserve">, un laboratoire de recherche axé sur des</w:t>
      </w:r>
      <w:r>
        <w:t xml:space="preserve"> </w:t>
      </w:r>
      <w:r>
        <w:t xml:space="preserve">systèmes d’intelligence artificielle expérimentaux. OAG opère dans la ville imaginaire de</w:t>
      </w:r>
      <w:r>
        <w:t xml:space="preserve"> </w:t>
      </w:r>
      <w:r>
        <w:rPr>
          <w:b/>
          <w:bCs/>
        </w:rPr>
        <w:t xml:space="preserve">Nova Cascadia</w:t>
      </w:r>
      <w:r>
        <w:t xml:space="preserve">.</w:t>
      </w:r>
    </w:p>
    <w:p>
      <w:pPr>
        <w:pStyle w:val="BodyText"/>
      </w:pPr>
      <w:r>
        <w:t xml:space="preserve">OAG est connue pour développer des outils internes combinant raisonnement symbolique,</w:t>
      </w:r>
      <w:r>
        <w:t xml:space="preserve"> </w:t>
      </w:r>
      <w:r>
        <w:t xml:space="preserve">récupération vectorielle et jeux de données orientés narration.</w:t>
      </w:r>
    </w:p>
    <w:bookmarkEnd w:id="21"/>
    <w:bookmarkStart w:id="22" w:name="entreprise-fictive-orion-analytics-group"/>
    <w:p>
      <w:pPr>
        <w:pStyle w:val="Heading2"/>
      </w:pPr>
      <w:r>
        <w:t xml:space="preserve">Entreprise fictive : Orion Analytics Group</w:t>
      </w:r>
    </w:p>
    <w:p>
      <w:pPr>
        <w:pStyle w:val="FirstParagraph"/>
      </w:pPr>
      <w:r>
        <w:t xml:space="preserve">Orion Analytics Group a été fondée en</w:t>
      </w:r>
      <w:r>
        <w:t xml:space="preserve"> </w:t>
      </w:r>
      <w:r>
        <w:rPr>
          <w:b/>
          <w:bCs/>
        </w:rPr>
        <w:t xml:space="preserve">2031</w:t>
      </w:r>
      <w:r>
        <w:t xml:space="preserve"> </w:t>
      </w:r>
      <w:r>
        <w:t xml:space="preserve">par</w:t>
      </w:r>
      <w:r>
        <w:t xml:space="preserve"> </w:t>
      </w:r>
      <w:r>
        <w:rPr>
          <w:b/>
          <w:bCs/>
        </w:rPr>
        <w:t xml:space="preserve">Dr Helena Voss</w:t>
      </w:r>
      <w:r>
        <w:t xml:space="preserve">, une chercheuse fictive en intelligence artificielle.</w:t>
      </w:r>
    </w:p>
    <w:p>
      <w:pPr>
        <w:pStyle w:val="BodyText"/>
      </w:pPr>
      <w:r>
        <w:t xml:space="preserve">L’entreprise comprend trois départements internes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Division Astra</w:t>
      </w:r>
      <w:r>
        <w:t xml:space="preserve"> </w:t>
      </w:r>
      <w:r>
        <w:t xml:space="preserve">– Se concentre sur l’ingestion de données et les embeddings.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Division Kepler</w:t>
      </w:r>
      <w:r>
        <w:t xml:space="preserve"> </w:t>
      </w:r>
      <w:r>
        <w:t xml:space="preserve">– Responsable des pipelines de récupération et des algorithmes de classement.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Division Atlas</w:t>
      </w:r>
      <w:r>
        <w:t xml:space="preserve"> </w:t>
      </w:r>
      <w:r>
        <w:t xml:space="preserve">– Gère l’évaluation, la détection des hallucinations et les métriques d’ancrage.</w:t>
      </w:r>
    </w:p>
    <w:bookmarkEnd w:id="22"/>
    <w:bookmarkStart w:id="23" w:name="technologie-fictive-indice-luma"/>
    <w:p>
      <w:pPr>
        <w:pStyle w:val="Heading2"/>
      </w:pPr>
      <w:r>
        <w:t xml:space="preserve">Technologie fictive : Indice LUMA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indice LUMA</w:t>
      </w:r>
      <w:r>
        <w:t xml:space="preserve"> </w:t>
      </w:r>
      <w:r>
        <w:t xml:space="preserve">est un système de notation propriétaire créé par OAG.</w:t>
      </w:r>
      <w:r>
        <w:t xml:space="preserve"> </w:t>
      </w:r>
      <w:r>
        <w:t xml:space="preserve">Il mesure la précision avec laquelle un système d’IA répond aux questions en utilisant le contexte récupéré.</w:t>
      </w:r>
    </w:p>
    <w:p>
      <w:pPr>
        <w:pStyle w:val="BodyText"/>
      </w:pPr>
      <w:r>
        <w:t xml:space="preserve">L’indice LUMA est calculé à partir de trois facteurs fictifs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 d’alignement du contexte (CAS)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Facteur de précision de récupération (RPF)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Coefficient d’ancrage de la réponse (AGC)</w:t>
      </w:r>
    </w:p>
    <w:p>
      <w:pPr>
        <w:pStyle w:val="FirstParagraph"/>
      </w:pPr>
      <w:r>
        <w:t xml:space="preserve">Un indice LUMA supérieur à</w:t>
      </w:r>
      <w:r>
        <w:t xml:space="preserve"> </w:t>
      </w:r>
      <w:r>
        <w:rPr>
          <w:rStyle w:val="VerbatimChar"/>
        </w:rPr>
        <w:t xml:space="preserve">0.82</w:t>
      </w:r>
      <w:r>
        <w:t xml:space="preserve"> </w:t>
      </w:r>
      <w:r>
        <w:t xml:space="preserve">est considéré comme acceptable pour les tests internes,</w:t>
      </w:r>
      <w:r>
        <w:t xml:space="preserve"> </w:t>
      </w:r>
      <w:r>
        <w:t xml:space="preserve">tandis que toute valeur inférieure à</w:t>
      </w:r>
      <w:r>
        <w:t xml:space="preserve"> </w:t>
      </w:r>
      <w:r>
        <w:rPr>
          <w:rStyle w:val="VerbatimChar"/>
        </w:rPr>
        <w:t xml:space="preserve">0.70</w:t>
      </w:r>
      <w:r>
        <w:t xml:space="preserve"> </w:t>
      </w:r>
      <w:r>
        <w:t xml:space="preserve">déclenche une revue manuelle.</w:t>
      </w:r>
    </w:p>
    <w:bookmarkEnd w:id="23"/>
    <w:bookmarkStart w:id="24" w:name="Xe13d6af012e88c80f32d29b3f114357d8ae63cf"/>
    <w:p>
      <w:pPr>
        <w:pStyle w:val="Heading2"/>
      </w:pPr>
      <w:r>
        <w:t xml:space="preserve">Événement fictif : l’incident de Nova Cascadia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2034</w:t>
      </w:r>
      <w:r>
        <w:t xml:space="preserve">, OAG a connu ce que l’on appelle désormais</w:t>
      </w:r>
      <w:r>
        <w:t xml:space="preserve"> </w:t>
      </w:r>
      <w:r>
        <w:rPr>
          <w:b/>
          <w:bCs/>
        </w:rPr>
        <w:t xml:space="preserve">l’incident de Nova Cascadia</w:t>
      </w:r>
      <w:r>
        <w:t xml:space="preserve">.</w:t>
      </w:r>
    </w:p>
    <w:p>
      <w:pPr>
        <w:pStyle w:val="BodyText"/>
      </w:pPr>
      <w:r>
        <w:t xml:space="preserve">Lors de cet événement, un système RAG expérimental a incorrectement fusionné des documents</w:t>
      </w:r>
      <w:r>
        <w:t xml:space="preserve"> </w:t>
      </w:r>
      <w:r>
        <w:t xml:space="preserve">provenant des divisions Astra et Atlas, entraînant la présentation de réponses contradictoires</w:t>
      </w:r>
      <w:r>
        <w:t xml:space="preserve"> </w:t>
      </w:r>
      <w:r>
        <w:t xml:space="preserve">comme étant des faits.</w:t>
      </w:r>
    </w:p>
    <w:p>
      <w:pPr>
        <w:pStyle w:val="BodyText"/>
      </w:pPr>
      <w:r>
        <w:t xml:space="preserve">Cet incident a conduit à la mise en place de limites de récupération plus strictes et à</w:t>
      </w:r>
      <w:r>
        <w:t xml:space="preserve"> </w:t>
      </w:r>
      <w:r>
        <w:t xml:space="preserve">l’introduction de tests de contradiction synthétiques.</w:t>
      </w:r>
    </w:p>
    <w:bookmarkEnd w:id="24"/>
    <w:bookmarkStart w:id="25" w:name="Xa91622a031760c6013d5e436009af9ad1de4abd"/>
    <w:p>
      <w:pPr>
        <w:pStyle w:val="Heading2"/>
      </w:pPr>
      <w:r>
        <w:t xml:space="preserve">Exemples de faits pour les tests de récupération</w:t>
      </w:r>
    </w:p>
    <w:p>
      <w:pPr>
        <w:pStyle w:val="Compact"/>
        <w:numPr>
          <w:ilvl w:val="0"/>
          <w:numId w:val="1004"/>
        </w:numPr>
      </w:pPr>
      <w:r>
        <w:t xml:space="preserve">Orion Analytics Group a son siège à Nova Cascadia.</w:t>
      </w:r>
    </w:p>
    <w:p>
      <w:pPr>
        <w:pStyle w:val="Compact"/>
        <w:numPr>
          <w:ilvl w:val="0"/>
          <w:numId w:val="1004"/>
        </w:numPr>
      </w:pPr>
      <w:r>
        <w:t xml:space="preserve">La division Astra se concentre sur les embeddings et l’ingestion de données.</w:t>
      </w:r>
    </w:p>
    <w:p>
      <w:pPr>
        <w:pStyle w:val="Compact"/>
        <w:numPr>
          <w:ilvl w:val="0"/>
          <w:numId w:val="1004"/>
        </w:numPr>
      </w:pPr>
      <w:r>
        <w:t xml:space="preserve">La division Kepler conçoit des algorithmes de récupération et de classement.</w:t>
      </w:r>
    </w:p>
    <w:p>
      <w:pPr>
        <w:pStyle w:val="Compact"/>
        <w:numPr>
          <w:ilvl w:val="0"/>
          <w:numId w:val="1004"/>
        </w:numPr>
      </w:pPr>
      <w:r>
        <w:t xml:space="preserve">La division Atlas évalue les hallucinations et l’ancrage.</w:t>
      </w:r>
    </w:p>
    <w:p>
      <w:pPr>
        <w:pStyle w:val="Compact"/>
        <w:numPr>
          <w:ilvl w:val="0"/>
          <w:numId w:val="1004"/>
        </w:numPr>
      </w:pPr>
      <w:r>
        <w:t xml:space="preserve">L’indice LUMA prend en compte le CAS, le RPF et l’AGC.</w:t>
      </w:r>
    </w:p>
    <w:p>
      <w:pPr>
        <w:pStyle w:val="Compact"/>
        <w:numPr>
          <w:ilvl w:val="0"/>
          <w:numId w:val="1004"/>
        </w:numPr>
      </w:pPr>
      <w:r>
        <w:t xml:space="preserve">L’incident de Nova Cascadia s’est produit en 2034.</w:t>
      </w:r>
    </w:p>
    <w:bookmarkEnd w:id="25"/>
    <w:bookmarkStart w:id="26" w:name="cas-dusage-prévus-pour-les-tests-rag"/>
    <w:p>
      <w:pPr>
        <w:pStyle w:val="Heading2"/>
      </w:pPr>
      <w:r>
        <w:t xml:space="preserve">Cas d’usage prévus pour les tests RAG</w:t>
      </w:r>
    </w:p>
    <w:p>
      <w:pPr>
        <w:pStyle w:val="FirstParagraph"/>
      </w:pPr>
      <w:r>
        <w:t xml:space="preserve">Cette page peut être utilisée pour tester :</w:t>
      </w:r>
    </w:p>
    <w:p>
      <w:pPr>
        <w:pStyle w:val="Compact"/>
        <w:numPr>
          <w:ilvl w:val="0"/>
          <w:numId w:val="1005"/>
        </w:numPr>
      </w:pPr>
      <w:r>
        <w:t xml:space="preserve">Les stratégies de découpage de documents</w:t>
      </w:r>
    </w:p>
    <w:p>
      <w:pPr>
        <w:pStyle w:val="Compact"/>
        <w:numPr>
          <w:ilvl w:val="0"/>
          <w:numId w:val="1005"/>
        </w:numPr>
      </w:pPr>
      <w:r>
        <w:t xml:space="preserve">La récupération sémantique par rapport à la récupération par mots-clés</w:t>
      </w:r>
    </w:p>
    <w:p>
      <w:pPr>
        <w:pStyle w:val="Compact"/>
        <w:numPr>
          <w:ilvl w:val="0"/>
          <w:numId w:val="1005"/>
        </w:numPr>
      </w:pPr>
      <w:r>
        <w:t xml:space="preserve">Les réponses aux questions ancrées dans le contexte</w:t>
      </w:r>
    </w:p>
    <w:p>
      <w:pPr>
        <w:pStyle w:val="Compact"/>
        <w:numPr>
          <w:ilvl w:val="0"/>
          <w:numId w:val="1005"/>
        </w:numPr>
      </w:pPr>
      <w:r>
        <w:t xml:space="preserve">La récupération multi-étapes (par exemple : incident → division → métrique)</w:t>
      </w:r>
    </w:p>
    <w:p>
      <w:pPr>
        <w:pStyle w:val="Compact"/>
        <w:numPr>
          <w:ilvl w:val="0"/>
          <w:numId w:val="1005"/>
        </w:numPr>
      </w:pPr>
      <w:r>
        <w:t xml:space="preserve">La détection d’hallucinations lorsque les réponses ne sont pas présentes</w:t>
      </w:r>
    </w:p>
    <w:bookmarkEnd w:id="26"/>
    <w:p>
      <w:pPr>
        <w:pStyle w:val="FirstParagraph"/>
      </w:pPr>
      <w:r>
        <w:t xml:space="preserve">© Contenu fictif destiné uniquement aux tests d’IA</w:t>
      </w:r>
      <w:r>
        <w:br/>
      </w:r>
      <w:r>
        <w:t xml:space="preserve">Hébergé comme page statique pour des démonstrations GitHub Pages.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de test RAG – Base de connaissances fictive</dc:title>
  <dc:creator/>
  <dc:language>fr</dc:language>
  <cp:keywords/>
  <dcterms:created xsi:type="dcterms:W3CDTF">2025-12-27T01:36:14Z</dcterms:created>
  <dcterms:modified xsi:type="dcterms:W3CDTF">2025-12-27T01:36:14Z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