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Site</w:t>
      </w:r>
      <w:r>
        <w:t xml:space="preserve"> </w:t>
      </w:r>
      <w:r>
        <w:t xml:space="preserve">de</w:t>
      </w:r>
      <w:r>
        <w:t xml:space="preserve"> </w:t>
      </w:r>
      <w:r>
        <w:t xml:space="preserve">Testes</w:t>
      </w:r>
      <w:r>
        <w:t xml:space="preserve"> </w:t>
      </w:r>
      <w:r>
        <w:t xml:space="preserve">RAG</w:t>
      </w:r>
      <w:r>
        <w:t xml:space="preserve"> </w:t>
      </w:r>
      <w:r>
        <w:t xml:space="preserve">–</w:t>
      </w:r>
      <w:r>
        <w:t xml:space="preserve"> </w:t>
      </w:r>
      <w:r>
        <w:t xml:space="preserve">Base</w:t>
      </w:r>
      <w:r>
        <w:t xml:space="preserve"> </w:t>
      </w:r>
      <w:r>
        <w:t xml:space="preserve">de</w:t>
      </w:r>
      <w:r>
        <w:t xml:space="preserve"> </w:t>
      </w:r>
      <w:r>
        <w:t xml:space="preserve">Conhecimento</w:t>
      </w:r>
      <w:r>
        <w:t xml:space="preserve"> </w:t>
      </w:r>
      <w:r>
        <w:t xml:space="preserve">Fictícia</w:t>
      </w:r>
    </w:p>
    <w:bookmarkStart w:id="20" w:name="site-de-testes-rag-para-ia"/>
    <w:p>
      <w:pPr>
        <w:pStyle w:val="Heading1"/>
      </w:pPr>
      <w:r>
        <w:t xml:space="preserve">Site de Testes RAG para IA</w:t>
      </w:r>
    </w:p>
    <w:p>
      <w:pPr>
        <w:pStyle w:val="FirstParagraph"/>
      </w:pPr>
      <w:r>
        <w:t xml:space="preserve">Este site é uma</w:t>
      </w:r>
      <w:r>
        <w:t xml:space="preserve"> </w:t>
      </w:r>
      <w:r>
        <w:rPr>
          <w:b/>
          <w:bCs/>
        </w:rPr>
        <w:t xml:space="preserve">base de conhecimento fictícia</w:t>
      </w:r>
      <w:r>
        <w:t xml:space="preserve"> </w:t>
      </w:r>
      <w:r>
        <w:t xml:space="preserve">criada exclusivamente</w:t>
      </w:r>
      <w:r>
        <w:t xml:space="preserve"> </w:t>
      </w:r>
      <w:r>
        <w:t xml:space="preserve">para testar sistemas de</w:t>
      </w:r>
      <w:r>
        <w:t xml:space="preserve"> </w:t>
      </w:r>
      <w:r>
        <w:rPr>
          <w:b/>
          <w:bCs/>
        </w:rPr>
        <w:t xml:space="preserve">Retrieval-Augmented Generation (RAG)</w:t>
      </w:r>
      <w:r>
        <w:t xml:space="preserve">.</w:t>
      </w:r>
    </w:p>
    <w:bookmarkEnd w:id="20"/>
    <w:p>
      <w:pPr>
        <w:pStyle w:val="BodyText"/>
      </w:pPr>
      <w:r>
        <w:rPr>
          <w:b/>
          <w:bCs/>
        </w:rPr>
        <w:t xml:space="preserve">Importante:</w:t>
      </w:r>
    </w:p>
    <w:p>
      <w:pPr>
        <w:pStyle w:val="Compact"/>
        <w:numPr>
          <w:ilvl w:val="0"/>
          <w:numId w:val="1001"/>
        </w:numPr>
      </w:pPr>
      <w:r>
        <w:t xml:space="preserve">Todas as pessoas, empresas, tecnologias e fatos apresentados nesta página são</w:t>
      </w:r>
      <w:r>
        <w:t xml:space="preserve"> </w:t>
      </w:r>
      <w:r>
        <w:rPr>
          <w:b/>
          <w:bCs/>
        </w:rPr>
        <w:t xml:space="preserve">inteiramente fictícios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Este conteúdo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deve ser tratado como informação do mundo real.</w:t>
      </w:r>
    </w:p>
    <w:p>
      <w:pPr>
        <w:pStyle w:val="Compact"/>
        <w:numPr>
          <w:ilvl w:val="0"/>
          <w:numId w:val="1001"/>
        </w:numPr>
      </w:pPr>
      <w:r>
        <w:t xml:space="preserve">O único objetivo é avaliar ingestão de documentos, segmentação, recuperação e ancoragem de respostas.</w:t>
      </w:r>
    </w:p>
    <w:bookmarkStart w:id="21" w:name="visão-geral-do-domínio-fictício"/>
    <w:p>
      <w:pPr>
        <w:pStyle w:val="Heading2"/>
      </w:pPr>
      <w:r>
        <w:t xml:space="preserve">Visão geral do domínio fictício</w:t>
      </w:r>
    </w:p>
    <w:p>
      <w:pPr>
        <w:pStyle w:val="FirstParagraph"/>
      </w:pPr>
      <w:r>
        <w:t xml:space="preserve">O domínio fictício descrito aqui gira em torno de uma empresa chamada</w:t>
      </w:r>
      <w:r>
        <w:t xml:space="preserve"> </w:t>
      </w:r>
      <w:r>
        <w:rPr>
          <w:b/>
          <w:bCs/>
        </w:rPr>
        <w:t xml:space="preserve">Orion Analytics Group (OAG)</w:t>
      </w:r>
      <w:r>
        <w:t xml:space="preserve">, um laboratório de pesquisa focado em</w:t>
      </w:r>
      <w:r>
        <w:t xml:space="preserve"> </w:t>
      </w:r>
      <w:r>
        <w:t xml:space="preserve">sistemas experimentais de inteligência artificial. A OAG opera na cidade</w:t>
      </w:r>
      <w:r>
        <w:t xml:space="preserve"> </w:t>
      </w:r>
      <w:r>
        <w:t xml:space="preserve">imaginária de</w:t>
      </w:r>
      <w:r>
        <w:t xml:space="preserve"> </w:t>
      </w:r>
      <w:r>
        <w:rPr>
          <w:b/>
          <w:bCs/>
        </w:rPr>
        <w:t xml:space="preserve">Nova Cascadia</w:t>
      </w:r>
      <w:r>
        <w:t xml:space="preserve">.</w:t>
      </w:r>
    </w:p>
    <w:p>
      <w:pPr>
        <w:pStyle w:val="BodyText"/>
      </w:pPr>
      <w:r>
        <w:t xml:space="preserve">A OAG é conhecida por desenvolver ferramentas internas que combinam</w:t>
      </w:r>
      <w:r>
        <w:t xml:space="preserve"> </w:t>
      </w:r>
      <w:r>
        <w:t xml:space="preserve">raciocínio simbólico, recuperação baseada em vetores e conjuntos de dados narrativos.</w:t>
      </w:r>
    </w:p>
    <w:bookmarkEnd w:id="21"/>
    <w:bookmarkStart w:id="22" w:name="empresa-fictícia-orion-analytics-group"/>
    <w:p>
      <w:pPr>
        <w:pStyle w:val="Heading2"/>
      </w:pPr>
      <w:r>
        <w:t xml:space="preserve">Empresa fictícia: Orion Analytics Group</w:t>
      </w:r>
    </w:p>
    <w:p>
      <w:pPr>
        <w:pStyle w:val="FirstParagraph"/>
      </w:pPr>
      <w:r>
        <w:t xml:space="preserve">A Orion Analytics Group foi fundada em</w:t>
      </w:r>
      <w:r>
        <w:t xml:space="preserve"> </w:t>
      </w:r>
      <w:r>
        <w:rPr>
          <w:b/>
          <w:bCs/>
        </w:rPr>
        <w:t xml:space="preserve">2031</w:t>
      </w:r>
      <w:r>
        <w:t xml:space="preserve"> </w:t>
      </w:r>
      <w:r>
        <w:t xml:space="preserve">pela</w:t>
      </w:r>
      <w:r>
        <w:t xml:space="preserve"> </w:t>
      </w:r>
      <w:r>
        <w:rPr>
          <w:b/>
          <w:bCs/>
        </w:rPr>
        <w:t xml:space="preserve">Dra. Helena Voss</w:t>
      </w:r>
      <w:r>
        <w:t xml:space="preserve">, uma pesquisadora fictícia de IA.</w:t>
      </w:r>
    </w:p>
    <w:p>
      <w:pPr>
        <w:pStyle w:val="BodyText"/>
      </w:pPr>
      <w:r>
        <w:t xml:space="preserve">A empresa possui três divisões internas: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Divisão Astra</w:t>
      </w:r>
      <w:r>
        <w:t xml:space="preserve"> </w:t>
      </w:r>
      <w:r>
        <w:t xml:space="preserve">– Focada em ingestão de dados e embeddings.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Divisão Kepler</w:t>
      </w:r>
      <w:r>
        <w:t xml:space="preserve"> </w:t>
      </w:r>
      <w:r>
        <w:t xml:space="preserve">– Responsável por pipelines de recuperação e algoritmos de ranqueamento.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Divisão Atlas</w:t>
      </w:r>
      <w:r>
        <w:t xml:space="preserve"> </w:t>
      </w:r>
      <w:r>
        <w:t xml:space="preserve">– Responsável por avaliação, detecção de alucinações e métricas de ancoragem.</w:t>
      </w:r>
    </w:p>
    <w:bookmarkEnd w:id="22"/>
    <w:bookmarkStart w:id="23" w:name="tecnologia-fictícia-luma-index"/>
    <w:p>
      <w:pPr>
        <w:pStyle w:val="Heading2"/>
      </w:pPr>
      <w:r>
        <w:t xml:space="preserve">Tecnologia fictícia: LUMA Index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LUMA Index</w:t>
      </w:r>
      <w:r>
        <w:t xml:space="preserve"> </w:t>
      </w:r>
      <w:r>
        <w:t xml:space="preserve">é um sistema proprietário de pontuação criado pela OAG.</w:t>
      </w:r>
      <w:r>
        <w:t xml:space="preserve"> </w:t>
      </w:r>
      <w:r>
        <w:t xml:space="preserve">Ele mede o quão precisamente um sistema de IA responde a perguntas utilizando</w:t>
      </w:r>
      <w:r>
        <w:t xml:space="preserve"> </w:t>
      </w:r>
      <w:r>
        <w:t xml:space="preserve">o contexto recuperado.</w:t>
      </w:r>
    </w:p>
    <w:p>
      <w:pPr>
        <w:pStyle w:val="BodyText"/>
      </w:pPr>
      <w:r>
        <w:t xml:space="preserve">O LUMA Index é calculado com base em três fatores fictícios: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 Alignment Score (CAS)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Retrieval Precision Factor (RPF)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Answer Grounding Coefficient (AGC)</w:t>
      </w:r>
    </w:p>
    <w:p>
      <w:pPr>
        <w:pStyle w:val="FirstParagraph"/>
      </w:pPr>
      <w:r>
        <w:t xml:space="preserve">Um LUMA Index acima de</w:t>
      </w:r>
      <w:r>
        <w:t xml:space="preserve"> </w:t>
      </w:r>
      <w:r>
        <w:rPr>
          <w:rStyle w:val="VerbatimChar"/>
        </w:rPr>
        <w:t xml:space="preserve">0.82</w:t>
      </w:r>
      <w:r>
        <w:t xml:space="preserve"> </w:t>
      </w:r>
      <w:r>
        <w:t xml:space="preserve">é considerado aceitável para testes internos,</w:t>
      </w:r>
      <w:r>
        <w:t xml:space="preserve"> </w:t>
      </w:r>
      <w:r>
        <w:t xml:space="preserve">enquanto valores abaixo de</w:t>
      </w:r>
      <w:r>
        <w:t xml:space="preserve"> </w:t>
      </w:r>
      <w:r>
        <w:rPr>
          <w:rStyle w:val="VerbatimChar"/>
        </w:rPr>
        <w:t xml:space="preserve">0.70</w:t>
      </w:r>
      <w:r>
        <w:t xml:space="preserve"> </w:t>
      </w:r>
      <w:r>
        <w:t xml:space="preserve">acionam uma revisão manual.</w:t>
      </w:r>
    </w:p>
    <w:bookmarkEnd w:id="23"/>
    <w:bookmarkStart w:id="24" w:name="Xcb9175a950bc94f3d92789b666dd995b35169d6"/>
    <w:p>
      <w:pPr>
        <w:pStyle w:val="Heading2"/>
      </w:pPr>
      <w:r>
        <w:t xml:space="preserve">Evento fictício: o Incidente de Nova Cascadia</w:t>
      </w:r>
    </w:p>
    <w:p>
      <w:pPr>
        <w:pStyle w:val="FirstParagraph"/>
      </w:pPr>
      <w:r>
        <w:t xml:space="preserve">Em</w:t>
      </w:r>
      <w:r>
        <w:t xml:space="preserve"> </w:t>
      </w:r>
      <w:r>
        <w:rPr>
          <w:b/>
          <w:bCs/>
        </w:rPr>
        <w:t xml:space="preserve">2034</w:t>
      </w:r>
      <w:r>
        <w:t xml:space="preserve">, a OAG vivenciou o que hoje é conhecido como o</w:t>
      </w:r>
      <w:r>
        <w:t xml:space="preserve"> </w:t>
      </w:r>
      <w:r>
        <w:rPr>
          <w:b/>
          <w:bCs/>
        </w:rPr>
        <w:t xml:space="preserve">Incidente de Nova Cascadia</w:t>
      </w:r>
      <w:r>
        <w:t xml:space="preserve">.</w:t>
      </w:r>
    </w:p>
    <w:p>
      <w:pPr>
        <w:pStyle w:val="BodyText"/>
      </w:pPr>
      <w:r>
        <w:t xml:space="preserve">Durante esse evento, um sistema RAG experimental mesclou incorretamente</w:t>
      </w:r>
      <w:r>
        <w:t xml:space="preserve"> </w:t>
      </w:r>
      <w:r>
        <w:t xml:space="preserve">documentos das divisões Astra e Atlas, resultando em respostas contraditórias</w:t>
      </w:r>
      <w:r>
        <w:t xml:space="preserve"> </w:t>
      </w:r>
      <w:r>
        <w:t xml:space="preserve">apresentadas como fatos.</w:t>
      </w:r>
    </w:p>
    <w:p>
      <w:pPr>
        <w:pStyle w:val="BodyText"/>
      </w:pPr>
      <w:r>
        <w:t xml:space="preserve">Esse incidente levou à criação de limites de recuperação mais rigorosos e</w:t>
      </w:r>
      <w:r>
        <w:t xml:space="preserve"> </w:t>
      </w:r>
      <w:r>
        <w:t xml:space="preserve">à introdução de testes sintéticos de contradição.</w:t>
      </w:r>
    </w:p>
    <w:bookmarkEnd w:id="24"/>
    <w:bookmarkStart w:id="25" w:name="X9c7cda34bd088d6f53ab533bb4c0c5bf542b36f"/>
    <w:p>
      <w:pPr>
        <w:pStyle w:val="Heading2"/>
      </w:pPr>
      <w:r>
        <w:t xml:space="preserve">Fatos de exemplo para testes de recuperação</w:t>
      </w:r>
    </w:p>
    <w:p>
      <w:pPr>
        <w:pStyle w:val="Compact"/>
        <w:numPr>
          <w:ilvl w:val="0"/>
          <w:numId w:val="1004"/>
        </w:numPr>
      </w:pPr>
      <w:r>
        <w:t xml:space="preserve">A Orion Analytics Group tem sede em Nova Cascadia.</w:t>
      </w:r>
    </w:p>
    <w:p>
      <w:pPr>
        <w:pStyle w:val="Compact"/>
        <w:numPr>
          <w:ilvl w:val="0"/>
          <w:numId w:val="1004"/>
        </w:numPr>
      </w:pPr>
      <w:r>
        <w:t xml:space="preserve">A Divisão Astra foca em embeddings e ingestão de dados.</w:t>
      </w:r>
    </w:p>
    <w:p>
      <w:pPr>
        <w:pStyle w:val="Compact"/>
        <w:numPr>
          <w:ilvl w:val="0"/>
          <w:numId w:val="1004"/>
        </w:numPr>
      </w:pPr>
      <w:r>
        <w:t xml:space="preserve">A Divisão Kepler projeta algoritmos de recuperação e ranqueamento.</w:t>
      </w:r>
    </w:p>
    <w:p>
      <w:pPr>
        <w:pStyle w:val="Compact"/>
        <w:numPr>
          <w:ilvl w:val="0"/>
          <w:numId w:val="1004"/>
        </w:numPr>
      </w:pPr>
      <w:r>
        <w:t xml:space="preserve">A Divisão Atlas avalia alucinações e ancoragem.</w:t>
      </w:r>
    </w:p>
    <w:p>
      <w:pPr>
        <w:pStyle w:val="Compact"/>
        <w:numPr>
          <w:ilvl w:val="0"/>
          <w:numId w:val="1004"/>
        </w:numPr>
      </w:pPr>
      <w:r>
        <w:t xml:space="preserve">O LUMA Index considera CAS, RPF e AGC.</w:t>
      </w:r>
    </w:p>
    <w:p>
      <w:pPr>
        <w:pStyle w:val="Compact"/>
        <w:numPr>
          <w:ilvl w:val="0"/>
          <w:numId w:val="1004"/>
        </w:numPr>
      </w:pPr>
      <w:r>
        <w:t xml:space="preserve">O Incidente de Nova Cascadia ocorreu em 2034.</w:t>
      </w:r>
    </w:p>
    <w:bookmarkEnd w:id="25"/>
    <w:bookmarkStart w:id="26" w:name="casos-de-uso-pretendidos-para-testes-rag"/>
    <w:p>
      <w:pPr>
        <w:pStyle w:val="Heading2"/>
      </w:pPr>
      <w:r>
        <w:t xml:space="preserve">Casos de uso pretendidos para testes RAG</w:t>
      </w:r>
    </w:p>
    <w:p>
      <w:pPr>
        <w:pStyle w:val="FirstParagraph"/>
      </w:pPr>
      <w:r>
        <w:t xml:space="preserve">Esta página pode ser utilizada para testar:</w:t>
      </w:r>
    </w:p>
    <w:p>
      <w:pPr>
        <w:pStyle w:val="Compact"/>
        <w:numPr>
          <w:ilvl w:val="0"/>
          <w:numId w:val="1005"/>
        </w:numPr>
      </w:pPr>
      <w:r>
        <w:t xml:space="preserve">Estratégias de segmentação de documentos</w:t>
      </w:r>
    </w:p>
    <w:p>
      <w:pPr>
        <w:pStyle w:val="Compact"/>
        <w:numPr>
          <w:ilvl w:val="0"/>
          <w:numId w:val="1005"/>
        </w:numPr>
      </w:pPr>
      <w:r>
        <w:t xml:space="preserve">Recuperação semântica versus por palavras-chave</w:t>
      </w:r>
    </w:p>
    <w:p>
      <w:pPr>
        <w:pStyle w:val="Compact"/>
        <w:numPr>
          <w:ilvl w:val="0"/>
          <w:numId w:val="1005"/>
        </w:numPr>
      </w:pPr>
      <w:r>
        <w:t xml:space="preserve">Perguntas e respostas com ancoragem no contexto</w:t>
      </w:r>
    </w:p>
    <w:p>
      <w:pPr>
        <w:pStyle w:val="Compact"/>
        <w:numPr>
          <w:ilvl w:val="0"/>
          <w:numId w:val="1005"/>
        </w:numPr>
      </w:pPr>
      <w:r>
        <w:t xml:space="preserve">Recuperação em múltiplas etapas (ex.: incidente → divisão → métrica)</w:t>
      </w:r>
    </w:p>
    <w:p>
      <w:pPr>
        <w:pStyle w:val="Compact"/>
        <w:numPr>
          <w:ilvl w:val="0"/>
          <w:numId w:val="1005"/>
        </w:numPr>
      </w:pPr>
      <w:r>
        <w:t xml:space="preserve">Detecção de alucinações quando as respostas não estão presentes</w:t>
      </w:r>
    </w:p>
    <w:bookmarkEnd w:id="26"/>
    <w:p>
      <w:pPr>
        <w:pStyle w:val="FirstParagraph"/>
      </w:pPr>
      <w:r>
        <w:t xml:space="preserve">© Conteúdo fictício destinado exclusivamente a testes de IA</w:t>
      </w:r>
      <w:r>
        <w:br/>
      </w:r>
      <w:r>
        <w:t xml:space="preserve">Hospedado como página estática para demonstrações no GitHub Pages.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de Testes RAG – Base de Conhecimento Fictícia</dc:title>
  <dc:creator/>
  <dc:description>Base de conhecimento fictícia em português para testes de sistemas Retrieval-Augmented Generation (RAG).</dc:description>
  <dc:language>pt</dc:language>
  <cp:keywords/>
  <dcterms:created xsi:type="dcterms:W3CDTF">2025-12-27T01:36:16Z</dcterms:created>
  <dcterms:modified xsi:type="dcterms:W3CDTF">2025-12-27T01:36:16Z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