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B6085" w14:textId="77777777" w:rsidR="00AE1E4D" w:rsidRDefault="00AE1E4D" w:rsidP="00BF53A0">
      <w:pPr>
        <w:pBdr>
          <w:top w:val="double" w:sz="6" w:space="1" w:color="auto"/>
          <w:left w:val="double" w:sz="6" w:space="4" w:color="auto"/>
          <w:bottom w:val="double" w:sz="6" w:space="1" w:color="auto"/>
          <w:right w:val="double" w:sz="6" w:space="4" w:color="auto"/>
        </w:pBdr>
        <w:shd w:val="clear" w:color="auto" w:fill="C6D9F1"/>
        <w:spacing w:after="0" w:line="120" w:lineRule="auto"/>
        <w:jc w:val="center"/>
        <w:rPr>
          <w:b/>
          <w:color w:val="0F243E"/>
          <w:sz w:val="24"/>
          <w:szCs w:val="24"/>
        </w:rPr>
      </w:pPr>
    </w:p>
    <w:p w14:paraId="7B32A515" w14:textId="77777777" w:rsidR="006C4A9E" w:rsidRPr="006C4A9E" w:rsidRDefault="00137F1D" w:rsidP="006C4A9E">
      <w:pPr>
        <w:pBdr>
          <w:top w:val="double" w:sz="6" w:space="1" w:color="auto"/>
          <w:left w:val="double" w:sz="6" w:space="4" w:color="auto"/>
          <w:bottom w:val="double" w:sz="6" w:space="1" w:color="auto"/>
          <w:right w:val="double" w:sz="6" w:space="4" w:color="auto"/>
        </w:pBdr>
        <w:shd w:val="clear" w:color="auto" w:fill="C6D9F1"/>
        <w:spacing w:after="0" w:line="264" w:lineRule="auto"/>
        <w:jc w:val="center"/>
        <w:rPr>
          <w:b/>
          <w:color w:val="0F243E"/>
          <w:sz w:val="26"/>
          <w:szCs w:val="26"/>
        </w:rPr>
      </w:pPr>
      <w:r>
        <w:rPr>
          <w:b/>
          <w:color w:val="0F243E"/>
          <w:sz w:val="32"/>
          <w:szCs w:val="32"/>
        </w:rPr>
        <w:t>Änderungsantrag</w:t>
      </w:r>
      <w:r w:rsidR="007853F2" w:rsidRPr="005703F3">
        <w:rPr>
          <w:b/>
          <w:color w:val="0F243E"/>
          <w:sz w:val="32"/>
          <w:szCs w:val="32"/>
        </w:rPr>
        <w:t xml:space="preserve"> </w:t>
      </w:r>
      <w:r w:rsidR="006C4A9E">
        <w:rPr>
          <w:b/>
          <w:color w:val="0F243E"/>
          <w:sz w:val="32"/>
          <w:szCs w:val="32"/>
        </w:rPr>
        <w:t xml:space="preserve"> </w:t>
      </w:r>
    </w:p>
    <w:p w14:paraId="60F3FD81" w14:textId="77777777" w:rsidR="006C4A9E" w:rsidRPr="006C4A9E" w:rsidRDefault="006C4A9E" w:rsidP="006C4A9E">
      <w:pPr>
        <w:pBdr>
          <w:top w:val="double" w:sz="6" w:space="1" w:color="auto"/>
          <w:left w:val="double" w:sz="6" w:space="4" w:color="auto"/>
          <w:bottom w:val="double" w:sz="6" w:space="1" w:color="auto"/>
          <w:right w:val="double" w:sz="6" w:space="4" w:color="auto"/>
        </w:pBdr>
        <w:shd w:val="clear" w:color="auto" w:fill="C6D9F1"/>
        <w:spacing w:after="0" w:line="264" w:lineRule="auto"/>
        <w:jc w:val="center"/>
        <w:rPr>
          <w:b/>
          <w:color w:val="0F243E"/>
          <w:sz w:val="26"/>
          <w:szCs w:val="26"/>
        </w:rPr>
      </w:pPr>
      <w:proofErr w:type="spellStart"/>
      <w:r w:rsidRPr="006C4A9E">
        <w:rPr>
          <w:b/>
          <w:color w:val="0F243E"/>
          <w:sz w:val="26"/>
          <w:szCs w:val="26"/>
        </w:rPr>
        <w:t>bengo</w:t>
      </w:r>
      <w:proofErr w:type="spellEnd"/>
    </w:p>
    <w:p w14:paraId="0B5126D7" w14:textId="77777777" w:rsidR="009F2630" w:rsidRDefault="00282B9A" w:rsidP="006C4A9E">
      <w:pPr>
        <w:pBdr>
          <w:top w:val="double" w:sz="6" w:space="1" w:color="auto"/>
          <w:left w:val="double" w:sz="6" w:space="4" w:color="auto"/>
          <w:bottom w:val="double" w:sz="6" w:space="1" w:color="auto"/>
          <w:right w:val="double" w:sz="6" w:space="4" w:color="auto"/>
        </w:pBdr>
        <w:shd w:val="clear" w:color="auto" w:fill="C6D9F1"/>
        <w:spacing w:after="0" w:line="264" w:lineRule="auto"/>
        <w:jc w:val="center"/>
        <w:rPr>
          <w:b/>
          <w:color w:val="0F243E"/>
          <w:sz w:val="24"/>
          <w:szCs w:val="24"/>
        </w:rPr>
      </w:pPr>
      <w:r w:rsidRPr="005703F3">
        <w:rPr>
          <w:b/>
          <w:color w:val="0F243E"/>
          <w:sz w:val="24"/>
          <w:szCs w:val="24"/>
        </w:rPr>
        <w:t>(</w:t>
      </w:r>
      <w:r w:rsidR="006C4A9E" w:rsidRPr="006C4A9E">
        <w:rPr>
          <w:b/>
          <w:color w:val="0F243E"/>
          <w:sz w:val="24"/>
          <w:szCs w:val="24"/>
        </w:rPr>
        <w:t>Förderung entwicklungswichtiger Vorhaben privater deutscher Träger</w:t>
      </w:r>
      <w:r w:rsidR="009F2630" w:rsidRPr="005703F3">
        <w:rPr>
          <w:b/>
          <w:color w:val="0F243E"/>
          <w:sz w:val="24"/>
          <w:szCs w:val="24"/>
        </w:rPr>
        <w:t>)</w:t>
      </w:r>
    </w:p>
    <w:p w14:paraId="434BCBF0" w14:textId="77777777" w:rsidR="003C5261" w:rsidRDefault="003C5261" w:rsidP="007814D9">
      <w:pPr>
        <w:pBdr>
          <w:top w:val="double" w:sz="6" w:space="1" w:color="auto"/>
          <w:left w:val="double" w:sz="6" w:space="4" w:color="auto"/>
          <w:bottom w:val="double" w:sz="6" w:space="1" w:color="auto"/>
          <w:right w:val="double" w:sz="6" w:space="4" w:color="auto"/>
        </w:pBdr>
        <w:shd w:val="clear" w:color="auto" w:fill="C6D9F1"/>
        <w:spacing w:after="0" w:line="120" w:lineRule="auto"/>
        <w:jc w:val="center"/>
        <w:rPr>
          <w:b/>
          <w:color w:val="0F243E"/>
          <w:sz w:val="24"/>
          <w:szCs w:val="24"/>
        </w:rPr>
      </w:pPr>
    </w:p>
    <w:p w14:paraId="4DDB9B1E" w14:textId="77777777" w:rsidR="003C5261" w:rsidRDefault="003C5261" w:rsidP="003C5261">
      <w:pPr>
        <w:pBdr>
          <w:top w:val="double" w:sz="6" w:space="1" w:color="auto"/>
          <w:left w:val="double" w:sz="6" w:space="4" w:color="auto"/>
          <w:bottom w:val="double" w:sz="6" w:space="1" w:color="auto"/>
          <w:right w:val="double" w:sz="6" w:space="4" w:color="auto"/>
        </w:pBdr>
        <w:shd w:val="clear" w:color="auto" w:fill="DEEAF6"/>
        <w:spacing w:after="0" w:line="240" w:lineRule="auto"/>
        <w:jc w:val="center"/>
        <w:rPr>
          <w:b/>
          <w:color w:val="0F243E"/>
          <w:sz w:val="24"/>
          <w:szCs w:val="24"/>
        </w:rPr>
      </w:pPr>
    </w:p>
    <w:p w14:paraId="7CDA9B12" w14:textId="77777777" w:rsidR="003C5261" w:rsidRDefault="00137F1D" w:rsidP="003C5261">
      <w:pPr>
        <w:pBdr>
          <w:top w:val="double" w:sz="6" w:space="1" w:color="auto"/>
          <w:left w:val="double" w:sz="6" w:space="4" w:color="auto"/>
          <w:bottom w:val="double" w:sz="6" w:space="1" w:color="auto"/>
          <w:right w:val="double" w:sz="6" w:space="4" w:color="auto"/>
        </w:pBdr>
        <w:shd w:val="clear" w:color="auto" w:fill="DEEAF6"/>
        <w:spacing w:after="0" w:line="240" w:lineRule="auto"/>
        <w:jc w:val="center"/>
        <w:rPr>
          <w:b/>
          <w:color w:val="0F243E"/>
          <w:sz w:val="24"/>
          <w:szCs w:val="24"/>
        </w:rPr>
      </w:pPr>
      <w:r>
        <w:rPr>
          <w:b/>
          <w:color w:val="0F243E"/>
          <w:sz w:val="24"/>
          <w:szCs w:val="24"/>
        </w:rPr>
        <w:t>Beschreibung und Begründung der geplanten Änderungen</w:t>
      </w:r>
    </w:p>
    <w:p w14:paraId="697C0530" w14:textId="77777777" w:rsidR="00254164" w:rsidRPr="00160465" w:rsidRDefault="00254164" w:rsidP="003C5261">
      <w:pPr>
        <w:pBdr>
          <w:top w:val="double" w:sz="6" w:space="1" w:color="auto"/>
          <w:left w:val="double" w:sz="6" w:space="4" w:color="auto"/>
          <w:bottom w:val="double" w:sz="6" w:space="1" w:color="auto"/>
          <w:right w:val="double" w:sz="6" w:space="4" w:color="auto"/>
        </w:pBdr>
        <w:shd w:val="clear" w:color="auto" w:fill="DEEAF6"/>
        <w:spacing w:after="0" w:line="240" w:lineRule="auto"/>
        <w:jc w:val="center"/>
        <w:rPr>
          <w:b/>
          <w:color w:val="0F243E"/>
          <w:sz w:val="24"/>
          <w:szCs w:val="24"/>
        </w:rPr>
      </w:pPr>
    </w:p>
    <w:p w14:paraId="55DFE1D2" w14:textId="77777777" w:rsidR="00C423C3" w:rsidRDefault="00137F1D" w:rsidP="002529BF">
      <w:pPr>
        <w:pBdr>
          <w:top w:val="double" w:sz="6" w:space="1" w:color="auto"/>
          <w:left w:val="double" w:sz="6" w:space="4" w:color="auto"/>
          <w:bottom w:val="double" w:sz="6" w:space="1" w:color="auto"/>
          <w:right w:val="double" w:sz="6" w:space="4" w:color="auto"/>
        </w:pBdr>
        <w:shd w:val="clear" w:color="auto" w:fill="DEEAF6"/>
        <w:tabs>
          <w:tab w:val="left" w:pos="3969"/>
        </w:tabs>
        <w:spacing w:after="60" w:line="240" w:lineRule="auto"/>
        <w:jc w:val="both"/>
        <w:rPr>
          <w:sz w:val="20"/>
          <w:szCs w:val="20"/>
        </w:rPr>
      </w:pPr>
      <w:r>
        <w:rPr>
          <w:sz w:val="20"/>
          <w:szCs w:val="20"/>
        </w:rPr>
        <w:t xml:space="preserve">In diesem </w:t>
      </w:r>
      <w:r w:rsidR="00124E3B">
        <w:rPr>
          <w:sz w:val="20"/>
          <w:szCs w:val="20"/>
        </w:rPr>
        <w:t>Dokument</w:t>
      </w:r>
      <w:r w:rsidR="00254164">
        <w:rPr>
          <w:sz w:val="20"/>
          <w:szCs w:val="20"/>
        </w:rPr>
        <w:t xml:space="preserve"> </w:t>
      </w:r>
      <w:r>
        <w:rPr>
          <w:sz w:val="20"/>
          <w:szCs w:val="20"/>
        </w:rPr>
        <w:t xml:space="preserve">sind die geplanten Änderungen </w:t>
      </w:r>
      <w:r w:rsidR="00910B80">
        <w:rPr>
          <w:sz w:val="20"/>
          <w:szCs w:val="20"/>
        </w:rPr>
        <w:t xml:space="preserve">nachvollziehbar </w:t>
      </w:r>
      <w:r>
        <w:rPr>
          <w:sz w:val="20"/>
          <w:szCs w:val="20"/>
        </w:rPr>
        <w:t xml:space="preserve">zu </w:t>
      </w:r>
      <w:r w:rsidR="00616304">
        <w:rPr>
          <w:sz w:val="20"/>
          <w:szCs w:val="20"/>
        </w:rPr>
        <w:t>beschreiben</w:t>
      </w:r>
      <w:r w:rsidR="00EE2174">
        <w:rPr>
          <w:sz w:val="20"/>
          <w:szCs w:val="20"/>
        </w:rPr>
        <w:t xml:space="preserve"> und zu</w:t>
      </w:r>
      <w:r>
        <w:rPr>
          <w:sz w:val="20"/>
          <w:szCs w:val="20"/>
        </w:rPr>
        <w:t xml:space="preserve"> begrü</w:t>
      </w:r>
      <w:r w:rsidR="00616304">
        <w:rPr>
          <w:sz w:val="20"/>
          <w:szCs w:val="20"/>
        </w:rPr>
        <w:t xml:space="preserve">nden </w:t>
      </w:r>
      <w:r w:rsidR="00C6250E">
        <w:rPr>
          <w:sz w:val="20"/>
          <w:szCs w:val="20"/>
        </w:rPr>
        <w:t>sowie</w:t>
      </w:r>
      <w:r w:rsidR="00616304">
        <w:rPr>
          <w:sz w:val="20"/>
          <w:szCs w:val="20"/>
        </w:rPr>
        <w:t xml:space="preserve"> ihre Auswirkung auf d</w:t>
      </w:r>
      <w:r>
        <w:rPr>
          <w:sz w:val="20"/>
          <w:szCs w:val="20"/>
        </w:rPr>
        <w:t>en Finanzierungsplan</w:t>
      </w:r>
      <w:r w:rsidR="00910B80">
        <w:rPr>
          <w:sz w:val="20"/>
          <w:szCs w:val="20"/>
        </w:rPr>
        <w:t xml:space="preserve"> </w:t>
      </w:r>
      <w:r>
        <w:rPr>
          <w:sz w:val="20"/>
          <w:szCs w:val="20"/>
        </w:rPr>
        <w:t xml:space="preserve">darzustellen. </w:t>
      </w:r>
    </w:p>
    <w:p w14:paraId="08E717E6" w14:textId="1D9D633F" w:rsidR="003C5261" w:rsidRPr="00C178F7" w:rsidRDefault="00BD7821" w:rsidP="002529BF">
      <w:pPr>
        <w:pBdr>
          <w:top w:val="double" w:sz="6" w:space="1" w:color="auto"/>
          <w:left w:val="double" w:sz="6" w:space="4" w:color="auto"/>
          <w:bottom w:val="double" w:sz="6" w:space="1" w:color="auto"/>
          <w:right w:val="double" w:sz="6" w:space="4" w:color="auto"/>
        </w:pBdr>
        <w:shd w:val="clear" w:color="auto" w:fill="DEEAF6"/>
        <w:tabs>
          <w:tab w:val="left" w:pos="3969"/>
        </w:tabs>
        <w:spacing w:after="60" w:line="240" w:lineRule="auto"/>
        <w:jc w:val="both"/>
        <w:rPr>
          <w:sz w:val="20"/>
          <w:szCs w:val="20"/>
        </w:rPr>
      </w:pPr>
      <w:r>
        <w:rPr>
          <w:sz w:val="20"/>
          <w:szCs w:val="20"/>
        </w:rPr>
        <w:t>Es ergänzt das on</w:t>
      </w:r>
      <w:r w:rsidR="00124E3B">
        <w:rPr>
          <w:sz w:val="20"/>
          <w:szCs w:val="20"/>
        </w:rPr>
        <w:t>line in dem Antragspo</w:t>
      </w:r>
      <w:r>
        <w:rPr>
          <w:sz w:val="20"/>
          <w:szCs w:val="20"/>
        </w:rPr>
        <w:t>r</w:t>
      </w:r>
      <w:r w:rsidR="00124E3B">
        <w:rPr>
          <w:sz w:val="20"/>
          <w:szCs w:val="20"/>
        </w:rPr>
        <w:t>tal der Engagement Global</w:t>
      </w:r>
      <w:r>
        <w:rPr>
          <w:sz w:val="20"/>
          <w:szCs w:val="20"/>
        </w:rPr>
        <w:t xml:space="preserve"> auszufüllende </w:t>
      </w:r>
      <w:r w:rsidR="00465C40">
        <w:rPr>
          <w:sz w:val="20"/>
          <w:szCs w:val="20"/>
        </w:rPr>
        <w:t>Formular (</w:t>
      </w:r>
      <w:hyperlink r:id="rId11" w:history="1">
        <w:r w:rsidRPr="00C46BDF">
          <w:rPr>
            <w:sz w:val="20"/>
            <w:szCs w:val="20"/>
          </w:rPr>
          <w:t>www.antragsportal.de</w:t>
        </w:r>
      </w:hyperlink>
      <w:r w:rsidR="00124E3B">
        <w:rPr>
          <w:sz w:val="20"/>
          <w:szCs w:val="20"/>
        </w:rPr>
        <w:t>)</w:t>
      </w:r>
      <w:r>
        <w:rPr>
          <w:sz w:val="20"/>
          <w:szCs w:val="20"/>
        </w:rPr>
        <w:t xml:space="preserve"> in dem Fall, dass der dort vorgesehene Platz zur Beschreibung und Begründung der Änderungen nicht ausreicht.</w:t>
      </w:r>
    </w:p>
    <w:p w14:paraId="248C8788" w14:textId="77777777" w:rsidR="003C5261" w:rsidRPr="00AE1E4D" w:rsidRDefault="003C5261" w:rsidP="003938C5">
      <w:pPr>
        <w:pBdr>
          <w:top w:val="double" w:sz="6" w:space="1" w:color="auto"/>
          <w:left w:val="double" w:sz="6" w:space="4" w:color="auto"/>
          <w:bottom w:val="double" w:sz="6" w:space="1" w:color="auto"/>
          <w:right w:val="double" w:sz="6" w:space="4" w:color="auto"/>
        </w:pBdr>
        <w:shd w:val="clear" w:color="auto" w:fill="DEEAF6"/>
        <w:spacing w:after="0" w:line="120" w:lineRule="auto"/>
        <w:rPr>
          <w:b/>
          <w:color w:val="0F243E"/>
          <w:sz w:val="21"/>
          <w:szCs w:val="21"/>
        </w:rPr>
      </w:pPr>
    </w:p>
    <w:p w14:paraId="3E382FFE" w14:textId="77777777" w:rsidR="00AE1E4D" w:rsidRDefault="00AE1E4D" w:rsidP="00BF53A0">
      <w:pPr>
        <w:pBdr>
          <w:top w:val="double" w:sz="6" w:space="1" w:color="auto"/>
          <w:left w:val="double" w:sz="6" w:space="4" w:color="auto"/>
          <w:bottom w:val="double" w:sz="6" w:space="1" w:color="auto"/>
          <w:right w:val="double" w:sz="6" w:space="4" w:color="auto"/>
        </w:pBdr>
        <w:shd w:val="clear" w:color="auto" w:fill="C6D9F1"/>
        <w:tabs>
          <w:tab w:val="left" w:pos="1703"/>
        </w:tabs>
        <w:spacing w:after="0" w:line="120" w:lineRule="auto"/>
        <w:jc w:val="center"/>
        <w:rPr>
          <w:b/>
          <w:color w:val="0F243E"/>
          <w:sz w:val="24"/>
          <w:szCs w:val="24"/>
        </w:rPr>
      </w:pPr>
    </w:p>
    <w:p w14:paraId="0C95F6F9" w14:textId="77777777" w:rsidR="00C46BDF" w:rsidRDefault="00C46BDF" w:rsidP="00C46BDF">
      <w:pPr>
        <w:spacing w:after="0" w:line="264" w:lineRule="auto"/>
        <w:jc w:val="center"/>
      </w:pPr>
    </w:p>
    <w:p w14:paraId="70305DCF"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0A8BC69D"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 w:val="left" w:pos="4536"/>
          <w:tab w:val="left" w:pos="5954"/>
        </w:tabs>
        <w:spacing w:after="0" w:line="264" w:lineRule="auto"/>
        <w:ind w:left="1701" w:hanging="1701"/>
      </w:pPr>
      <w:r>
        <w:rPr>
          <w:b/>
          <w:i/>
          <w:color w:val="17365D"/>
          <w:shd w:val="clear" w:color="auto" w:fill="EEF3F8"/>
        </w:rPr>
        <w:t>Projektnummer</w:t>
      </w:r>
      <w:r w:rsidR="006000A1">
        <w:rPr>
          <w:b/>
          <w:i/>
          <w:color w:val="17365D"/>
          <w:shd w:val="clear" w:color="auto" w:fill="EEF3F8"/>
        </w:rPr>
        <w:t xml:space="preserve"> </w:t>
      </w:r>
      <w:r>
        <w:rPr>
          <w:i/>
          <w:color w:val="A6A6A6"/>
          <w:sz w:val="20"/>
          <w:szCs w:val="20"/>
        </w:rPr>
        <w:t xml:space="preserve">(wird von </w:t>
      </w:r>
      <w:proofErr w:type="spellStart"/>
      <w:r>
        <w:rPr>
          <w:i/>
          <w:color w:val="A6A6A6"/>
          <w:sz w:val="20"/>
          <w:szCs w:val="20"/>
        </w:rPr>
        <w:t>bengo</w:t>
      </w:r>
      <w:proofErr w:type="spellEnd"/>
      <w:r>
        <w:rPr>
          <w:i/>
          <w:color w:val="A6A6A6"/>
          <w:sz w:val="20"/>
          <w:szCs w:val="20"/>
        </w:rPr>
        <w:t xml:space="preserve"> eingetragen)</w:t>
      </w:r>
      <w:r>
        <w:rPr>
          <w:b/>
          <w:i/>
          <w:color w:val="17365D"/>
          <w:shd w:val="clear" w:color="auto" w:fill="EEF3F8"/>
        </w:rPr>
        <w:t>:</w:t>
      </w:r>
      <w:r w:rsidR="00A12557">
        <w:rPr>
          <w:b/>
          <w:i/>
        </w:rPr>
        <w:t xml:space="preserve"> </w:t>
      </w:r>
      <w:r w:rsidR="00A17C91">
        <w:rPr>
          <w:b/>
          <w:i/>
          <w:color w:val="17365D"/>
          <w:shd w:val="clear" w:color="auto" w:fill="EEF3F8"/>
        </w:rPr>
        <w:t>1867</w:t>
      </w:r>
      <w:r>
        <w:rPr>
          <w:b/>
          <w:i/>
        </w:rPr>
        <w:tab/>
      </w:r>
    </w:p>
    <w:p w14:paraId="2F4F249E"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0A3C81FE"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rPr>
          <w:b/>
          <w:i/>
          <w:color w:val="17365D"/>
          <w:shd w:val="clear" w:color="auto" w:fill="EEF3F8"/>
        </w:rPr>
      </w:pPr>
      <w:r>
        <w:rPr>
          <w:b/>
          <w:i/>
          <w:color w:val="17365D"/>
          <w:shd w:val="clear" w:color="auto" w:fill="EEF3F8"/>
        </w:rPr>
        <w:t>Projektland:</w:t>
      </w:r>
      <w:r w:rsidR="00A12557">
        <w:rPr>
          <w:b/>
          <w:i/>
          <w:color w:val="17365D"/>
          <w:shd w:val="clear" w:color="auto" w:fill="EEF3F8"/>
        </w:rPr>
        <w:t xml:space="preserve"> </w:t>
      </w:r>
      <w:r w:rsidR="00A17C91">
        <w:rPr>
          <w:b/>
          <w:i/>
          <w:color w:val="17365D"/>
          <w:shd w:val="clear" w:color="auto" w:fill="EEF3F8"/>
        </w:rPr>
        <w:t>Sambia</w:t>
      </w:r>
    </w:p>
    <w:p w14:paraId="4E53906A"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76D8139D" w14:textId="77777777" w:rsidR="00C46BDF" w:rsidRDefault="00C46BDF" w:rsidP="00A17C91">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rPr>
          <w:b/>
          <w:i/>
          <w:color w:val="17365D"/>
          <w:shd w:val="clear" w:color="auto" w:fill="EEF3F8"/>
        </w:rPr>
      </w:pPr>
      <w:r>
        <w:rPr>
          <w:b/>
          <w:i/>
          <w:color w:val="17365D"/>
          <w:shd w:val="clear" w:color="auto" w:fill="EEF3F8"/>
        </w:rPr>
        <w:t>Projekttitel:</w:t>
      </w:r>
      <w:r w:rsidR="00A12557">
        <w:rPr>
          <w:b/>
          <w:i/>
          <w:color w:val="17365D"/>
          <w:shd w:val="clear" w:color="auto" w:fill="EEF3F8"/>
        </w:rPr>
        <w:t xml:space="preserve"> </w:t>
      </w:r>
      <w:r w:rsidR="00A17C91" w:rsidRPr="00A17C91">
        <w:rPr>
          <w:b/>
          <w:i/>
          <w:color w:val="17365D"/>
          <w:shd w:val="clear" w:color="auto" w:fill="EEF3F8"/>
        </w:rPr>
        <w:t>Stärkung der audiologischen und HNO-medizinischen Versorgung in Sambia</w:t>
      </w:r>
    </w:p>
    <w:p w14:paraId="5A755775" w14:textId="77777777" w:rsidR="00A17C91" w:rsidRPr="00A17C91" w:rsidRDefault="00A17C91" w:rsidP="00A17C91">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rPr>
          <w:b/>
          <w:i/>
          <w:color w:val="17365D"/>
          <w:shd w:val="clear" w:color="auto" w:fill="EEF3F8"/>
        </w:rPr>
      </w:pPr>
    </w:p>
    <w:p w14:paraId="62A91338" w14:textId="328A04C8"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rPr>
          <w:b/>
          <w:i/>
        </w:rPr>
      </w:pPr>
      <w:r>
        <w:rPr>
          <w:b/>
          <w:i/>
          <w:color w:val="17365D"/>
          <w:shd w:val="clear" w:color="auto" w:fill="EEF3F8"/>
        </w:rPr>
        <w:t>Privater Träger:</w:t>
      </w:r>
      <w:r w:rsidR="00A12557">
        <w:rPr>
          <w:b/>
          <w:i/>
          <w:color w:val="17365D"/>
          <w:shd w:val="clear" w:color="auto" w:fill="EEF3F8"/>
        </w:rPr>
        <w:t xml:space="preserve"> </w:t>
      </w:r>
      <w:r w:rsidR="00C71E4B" w:rsidRPr="00C71E4B">
        <w:rPr>
          <w:b/>
          <w:i/>
          <w:color w:val="17365D"/>
          <w:shd w:val="clear" w:color="auto" w:fill="EEF3F8"/>
        </w:rPr>
        <w:t>CBM Christoffel-Blindenmission Christian Blind Mission e.V.</w:t>
      </w:r>
      <w:r>
        <w:rPr>
          <w:b/>
          <w:i/>
        </w:rPr>
        <w:tab/>
      </w:r>
    </w:p>
    <w:p w14:paraId="0B5344E2"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1486370B"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r>
        <w:rPr>
          <w:b/>
          <w:i/>
          <w:color w:val="17365D"/>
          <w:shd w:val="clear" w:color="auto" w:fill="EEF3F8"/>
        </w:rPr>
        <w:t>Projektlaufzeit:</w:t>
      </w:r>
      <w:r w:rsidR="00A12557">
        <w:rPr>
          <w:b/>
          <w:i/>
          <w:color w:val="17365D"/>
          <w:shd w:val="clear" w:color="auto" w:fill="EEF3F8"/>
        </w:rPr>
        <w:t xml:space="preserve"> </w:t>
      </w:r>
      <w:r w:rsidR="00A17C91">
        <w:rPr>
          <w:b/>
          <w:i/>
          <w:color w:val="17365D"/>
          <w:shd w:val="clear" w:color="auto" w:fill="EEF3F8"/>
        </w:rPr>
        <w:t>01.09.2018 – 31.12.202</w:t>
      </w:r>
      <w:r w:rsidR="004339B3">
        <w:rPr>
          <w:b/>
          <w:i/>
          <w:color w:val="17365D"/>
          <w:shd w:val="clear" w:color="auto" w:fill="EEF3F8"/>
        </w:rPr>
        <w:t>1</w:t>
      </w:r>
      <w:r>
        <w:rPr>
          <w:b/>
          <w:i/>
        </w:rPr>
        <w:tab/>
      </w:r>
    </w:p>
    <w:p w14:paraId="7BFA6986" w14:textId="77777777" w:rsidR="00C46BDF" w:rsidRDefault="00C46BDF" w:rsidP="00C46BDF">
      <w:pPr>
        <w:pBdr>
          <w:top w:val="double" w:sz="4" w:space="1" w:color="auto"/>
          <w:left w:val="double" w:sz="4" w:space="4" w:color="auto"/>
          <w:bottom w:val="double" w:sz="4" w:space="1" w:color="auto"/>
          <w:right w:val="double" w:sz="4" w:space="4" w:color="auto"/>
        </w:pBdr>
        <w:shd w:val="clear" w:color="auto" w:fill="E9EFF7"/>
        <w:tabs>
          <w:tab w:val="left" w:pos="1701"/>
        </w:tabs>
        <w:spacing w:after="0" w:line="264" w:lineRule="auto"/>
        <w:ind w:left="1701" w:hanging="1701"/>
      </w:pPr>
    </w:p>
    <w:p w14:paraId="50AF334A" w14:textId="77777777" w:rsidR="001B40D1" w:rsidRDefault="001B40D1" w:rsidP="006C4A9E">
      <w:pPr>
        <w:spacing w:after="0" w:line="240" w:lineRule="auto"/>
      </w:pPr>
    </w:p>
    <w:p w14:paraId="6C4F703A" w14:textId="77777777" w:rsidR="00A12557" w:rsidRPr="00CB4822" w:rsidRDefault="00052231" w:rsidP="00A12557">
      <w:pPr>
        <w:spacing w:after="120"/>
        <w:rPr>
          <w:rFonts w:cs="Calibri"/>
          <w:b/>
          <w:sz w:val="24"/>
          <w:szCs w:val="26"/>
          <w:u w:val="single"/>
        </w:rPr>
      </w:pPr>
      <w:r>
        <w:rPr>
          <w:rFonts w:cs="Calibri"/>
          <w:b/>
          <w:sz w:val="24"/>
          <w:szCs w:val="26"/>
          <w:u w:val="single"/>
        </w:rPr>
        <w:t xml:space="preserve">Antrag auf die </w:t>
      </w:r>
      <w:r w:rsidR="00A12557" w:rsidRPr="00CB4822">
        <w:rPr>
          <w:rFonts w:cs="Calibri"/>
          <w:b/>
          <w:sz w:val="24"/>
          <w:szCs w:val="26"/>
          <w:u w:val="single"/>
        </w:rPr>
        <w:t>Nutzung von Einsparung</w:t>
      </w:r>
      <w:r w:rsidR="002C6423" w:rsidRPr="00CB4822">
        <w:rPr>
          <w:rFonts w:cs="Calibri"/>
          <w:b/>
          <w:sz w:val="24"/>
          <w:szCs w:val="26"/>
          <w:u w:val="single"/>
        </w:rPr>
        <w:t>e</w:t>
      </w:r>
      <w:r w:rsidR="00A12557" w:rsidRPr="00CB4822">
        <w:rPr>
          <w:rFonts w:cs="Calibri"/>
          <w:b/>
          <w:sz w:val="24"/>
          <w:szCs w:val="26"/>
          <w:u w:val="single"/>
        </w:rPr>
        <w:t xml:space="preserve">n </w:t>
      </w:r>
      <w:r w:rsidR="005B7076">
        <w:rPr>
          <w:rFonts w:cs="Calibri"/>
          <w:b/>
          <w:sz w:val="24"/>
          <w:szCs w:val="26"/>
          <w:u w:val="single"/>
        </w:rPr>
        <w:t xml:space="preserve">und der Projektreserve </w:t>
      </w:r>
      <w:r w:rsidR="00A12557" w:rsidRPr="00CB4822">
        <w:rPr>
          <w:rFonts w:cs="Calibri"/>
          <w:b/>
          <w:sz w:val="24"/>
          <w:szCs w:val="26"/>
          <w:u w:val="single"/>
        </w:rPr>
        <w:t xml:space="preserve">für </w:t>
      </w:r>
      <w:r w:rsidR="00A17C91">
        <w:rPr>
          <w:rFonts w:cs="Calibri"/>
          <w:b/>
          <w:sz w:val="24"/>
          <w:szCs w:val="26"/>
          <w:u w:val="single"/>
        </w:rPr>
        <w:t xml:space="preserve">programmatische Anpassungen und COVID-19 </w:t>
      </w:r>
      <w:r w:rsidR="004339B3">
        <w:rPr>
          <w:rFonts w:cs="Calibri"/>
          <w:b/>
          <w:sz w:val="24"/>
          <w:szCs w:val="26"/>
          <w:u w:val="single"/>
        </w:rPr>
        <w:t>Präventionsm</w:t>
      </w:r>
      <w:r w:rsidR="00A17C91">
        <w:rPr>
          <w:rFonts w:cs="Calibri"/>
          <w:b/>
          <w:sz w:val="24"/>
          <w:szCs w:val="26"/>
          <w:u w:val="single"/>
        </w:rPr>
        <w:t>aßnahmen</w:t>
      </w:r>
    </w:p>
    <w:p w14:paraId="3E9152D0" w14:textId="77777777" w:rsidR="00052231" w:rsidRDefault="00052231" w:rsidP="009D2243">
      <w:pPr>
        <w:spacing w:before="240" w:afterLines="40" w:after="96"/>
        <w:jc w:val="both"/>
        <w:rPr>
          <w:rFonts w:cs="Calibri"/>
        </w:rPr>
      </w:pPr>
      <w:r>
        <w:rPr>
          <w:rFonts w:cs="Calibri"/>
        </w:rPr>
        <w:t>Sehr geehrt</w:t>
      </w:r>
      <w:r w:rsidR="00A17C91">
        <w:rPr>
          <w:rFonts w:cs="Calibri"/>
        </w:rPr>
        <w:t xml:space="preserve">er Herr </w:t>
      </w:r>
      <w:proofErr w:type="spellStart"/>
      <w:r w:rsidR="00A17C91">
        <w:rPr>
          <w:rFonts w:cs="Calibri"/>
        </w:rPr>
        <w:t>Strunden</w:t>
      </w:r>
      <w:proofErr w:type="spellEnd"/>
      <w:r>
        <w:rPr>
          <w:rFonts w:cs="Calibri"/>
        </w:rPr>
        <w:t>,</w:t>
      </w:r>
    </w:p>
    <w:p w14:paraId="6822C536" w14:textId="77777777" w:rsidR="004D5EAA" w:rsidRDefault="00052231" w:rsidP="00A17C91">
      <w:pPr>
        <w:spacing w:before="240" w:afterLines="40" w:after="96"/>
        <w:jc w:val="both"/>
        <w:rPr>
          <w:rFonts w:cs="Calibri"/>
        </w:rPr>
      </w:pPr>
      <w:r w:rsidRPr="00336313">
        <w:rPr>
          <w:rFonts w:cs="Calibri"/>
        </w:rPr>
        <w:t>das Projekt mit dem Titel „</w:t>
      </w:r>
      <w:r w:rsidR="00A17C91" w:rsidRPr="00A17C91">
        <w:rPr>
          <w:rFonts w:cs="Calibri"/>
        </w:rPr>
        <w:t>Stärkung der audiologischen und HNO-medizinischen Versorgung in Sambia</w:t>
      </w:r>
      <w:r w:rsidR="00A17C91">
        <w:rPr>
          <w:rFonts w:cs="Calibri"/>
        </w:rPr>
        <w:t>“</w:t>
      </w:r>
      <w:r w:rsidR="00AC1793" w:rsidRPr="00336313">
        <w:rPr>
          <w:rFonts w:cs="Calibri"/>
        </w:rPr>
        <w:t xml:space="preserve"> </w:t>
      </w:r>
      <w:r w:rsidRPr="00336313">
        <w:rPr>
          <w:rFonts w:cs="Calibri"/>
        </w:rPr>
        <w:t>mit einer Laufzeit bis zum 31.12.202</w:t>
      </w:r>
      <w:r w:rsidR="00A17C91">
        <w:rPr>
          <w:rFonts w:cs="Calibri"/>
        </w:rPr>
        <w:t>1</w:t>
      </w:r>
      <w:r w:rsidRPr="00336313">
        <w:rPr>
          <w:rFonts w:cs="Calibri"/>
        </w:rPr>
        <w:t xml:space="preserve"> </w:t>
      </w:r>
      <w:r w:rsidR="00336313" w:rsidRPr="00336313">
        <w:rPr>
          <w:rFonts w:cs="Calibri"/>
        </w:rPr>
        <w:t xml:space="preserve">wurde am </w:t>
      </w:r>
      <w:r w:rsidR="00A17C91">
        <w:rPr>
          <w:rFonts w:cs="Calibri"/>
        </w:rPr>
        <w:t>30.08.2018</w:t>
      </w:r>
      <w:r w:rsidR="00336313" w:rsidRPr="00336313">
        <w:rPr>
          <w:rFonts w:cs="Calibri"/>
        </w:rPr>
        <w:t xml:space="preserve"> mit der Zusendung des Weiterleitungsvertrages </w:t>
      </w:r>
      <w:r w:rsidRPr="00336313">
        <w:rPr>
          <w:rFonts w:cs="Calibri"/>
        </w:rPr>
        <w:t>bewilligt.</w:t>
      </w:r>
    </w:p>
    <w:p w14:paraId="18F485AE" w14:textId="77777777" w:rsidR="00A17C91" w:rsidRDefault="00A17C91" w:rsidP="00A17C91">
      <w:pPr>
        <w:spacing w:after="0" w:line="264" w:lineRule="auto"/>
        <w:jc w:val="both"/>
      </w:pPr>
      <w:r>
        <w:t>Ziel des Projektes ist, die HNO-medizinische Versorgung in Sambia nachhaltig zu sichern.</w:t>
      </w:r>
      <w:r w:rsidRPr="009F0475">
        <w:t xml:space="preserve"> </w:t>
      </w:r>
      <w:r w:rsidRPr="0013379B">
        <w:t>Dieses Projekt folgt einem Mehrebenen- Ansatz. Auf Makroebene zielt es darauf ab, die HNO-Medizin mit Schwerpunkt auf Ohrenheilkunde dauerhaft in der sambischen Gesundheitspolitik und dem Gesundheitssystem zu verankern. Auf der Mesoebene geht es darum, eine ausreichende Zahl an medizinischen und paramedizinischen Fachkräften aus- bzw. weiterzubilden, um HNO- und speziell ohrenmedizinische Dienste</w:t>
      </w:r>
      <w:r>
        <w:t>-</w:t>
      </w:r>
      <w:r w:rsidRPr="0013379B">
        <w:t xml:space="preserve"> erfolgreich betreiben zu können. Auf Mikroebene </w:t>
      </w:r>
      <w:r>
        <w:t xml:space="preserve">soll sich </w:t>
      </w:r>
      <w:r w:rsidRPr="0013379B">
        <w:t xml:space="preserve">die große Zahl unbehandelter Menschen </w:t>
      </w:r>
      <w:r>
        <w:t xml:space="preserve">mit HNO-Erkrankungen, </w:t>
      </w:r>
      <w:r w:rsidRPr="0013379B">
        <w:t>vor allem aus niedrigen Einkommensschichten</w:t>
      </w:r>
      <w:r>
        <w:t>,</w:t>
      </w:r>
      <w:r w:rsidRPr="0013379B">
        <w:t xml:space="preserve"> </w:t>
      </w:r>
      <w:r>
        <w:t>v</w:t>
      </w:r>
      <w:r w:rsidRPr="0013379B">
        <w:t xml:space="preserve">erringern. </w:t>
      </w:r>
      <w:r>
        <w:t>Diese werden auch durch Outreach-Aktivitäten und Screenings erreicht.</w:t>
      </w:r>
    </w:p>
    <w:p w14:paraId="77B92E9D" w14:textId="77777777" w:rsidR="00A17C91" w:rsidRDefault="00A17C91" w:rsidP="00A17C91">
      <w:pPr>
        <w:spacing w:before="240" w:afterLines="40" w:after="96"/>
        <w:jc w:val="both"/>
        <w:rPr>
          <w:rFonts w:cs="Calibri"/>
        </w:rPr>
      </w:pPr>
    </w:p>
    <w:p w14:paraId="163E250A" w14:textId="77777777" w:rsidR="00D63E2F" w:rsidRDefault="00D63E2F" w:rsidP="009D2243">
      <w:pPr>
        <w:spacing w:before="240" w:afterLines="40" w:after="96"/>
        <w:jc w:val="both"/>
        <w:rPr>
          <w:rFonts w:cs="Calibri"/>
          <w:highlight w:val="lightGray"/>
        </w:rPr>
      </w:pPr>
    </w:p>
    <w:p w14:paraId="691FA89A" w14:textId="256AAA82" w:rsidR="00C5203E" w:rsidRDefault="001342B9" w:rsidP="009D2243">
      <w:pPr>
        <w:spacing w:before="240" w:afterLines="40" w:after="96"/>
        <w:jc w:val="both"/>
        <w:rPr>
          <w:rFonts w:cs="Calibri"/>
        </w:rPr>
      </w:pPr>
      <w:r w:rsidRPr="22C733FF">
        <w:rPr>
          <w:rFonts w:cs="Calibri"/>
        </w:rPr>
        <w:lastRenderedPageBreak/>
        <w:t xml:space="preserve">Insgesamt sind bislang Einsparungen in Höhe </w:t>
      </w:r>
      <w:r w:rsidRPr="00E2375E">
        <w:rPr>
          <w:rFonts w:cs="Calibri"/>
        </w:rPr>
        <w:t xml:space="preserve">von </w:t>
      </w:r>
      <w:r w:rsidRPr="00E2375E">
        <w:rPr>
          <w:rFonts w:cs="Calibri"/>
          <w:b/>
          <w:bCs/>
        </w:rPr>
        <w:t>65.141 EUR</w:t>
      </w:r>
      <w:r w:rsidRPr="00E2375E">
        <w:rPr>
          <w:rFonts w:cs="Calibri"/>
        </w:rPr>
        <w:t xml:space="preserve"> (BMZ BL 1.1.</w:t>
      </w:r>
      <w:r w:rsidR="00213240">
        <w:rPr>
          <w:rFonts w:cs="Calibri"/>
        </w:rPr>
        <w:t>4</w:t>
      </w:r>
      <w:r w:rsidRPr="00E2375E">
        <w:rPr>
          <w:rFonts w:cs="Calibri"/>
        </w:rPr>
        <w:t>, 1.2.2 und 1.3</w:t>
      </w:r>
      <w:r w:rsidR="009C14A8">
        <w:rPr>
          <w:rFonts w:cs="Calibri"/>
        </w:rPr>
        <w:t>.</w:t>
      </w:r>
      <w:r w:rsidRPr="00E2375E">
        <w:rPr>
          <w:rFonts w:cs="Calibri"/>
        </w:rPr>
        <w:t>2) entstanden, die nun wie folgt beschrieben für programmatisch notwendige Anpassungen genutzt werden sollen.</w:t>
      </w:r>
      <w:r w:rsidR="7C4CE091" w:rsidRPr="00E2375E">
        <w:rPr>
          <w:rFonts w:cs="Calibri"/>
        </w:rPr>
        <w:t xml:space="preserve"> D</w:t>
      </w:r>
      <w:r w:rsidR="3745BE6C" w:rsidRPr="00E2375E">
        <w:rPr>
          <w:rFonts w:cs="Calibri"/>
        </w:rPr>
        <w:t>er Anpassungsbedarf ist größtenteils auf geänderte Rahmenbedingungen</w:t>
      </w:r>
      <w:r w:rsidR="00C70692">
        <w:rPr>
          <w:rFonts w:cs="Calibri"/>
        </w:rPr>
        <w:t>, wie beispielsweise Wechselkursschwankungen</w:t>
      </w:r>
      <w:r w:rsidR="00CC0E02">
        <w:rPr>
          <w:rFonts w:cs="Calibri"/>
        </w:rPr>
        <w:t xml:space="preserve"> bei der Beschaffung im Ausland</w:t>
      </w:r>
      <w:r w:rsidR="00C70692">
        <w:rPr>
          <w:rFonts w:cs="Calibri"/>
        </w:rPr>
        <w:t xml:space="preserve">, </w:t>
      </w:r>
      <w:r w:rsidR="00446238">
        <w:rPr>
          <w:rFonts w:cs="Calibri"/>
        </w:rPr>
        <w:t>durch die COVID-19</w:t>
      </w:r>
      <w:r w:rsidR="3745BE6C" w:rsidRPr="00E2375E">
        <w:rPr>
          <w:rFonts w:cs="Calibri"/>
        </w:rPr>
        <w:t xml:space="preserve"> </w:t>
      </w:r>
      <w:r w:rsidR="00446238">
        <w:rPr>
          <w:rFonts w:cs="Calibri"/>
        </w:rPr>
        <w:t>Pandemie verursachte Risiken</w:t>
      </w:r>
      <w:r w:rsidR="00360875">
        <w:rPr>
          <w:rFonts w:cs="Calibri"/>
        </w:rPr>
        <w:t xml:space="preserve"> und eine verzögerte Besetzung der Position </w:t>
      </w:r>
      <w:proofErr w:type="spellStart"/>
      <w:r w:rsidR="00360875">
        <w:rPr>
          <w:rFonts w:cs="Calibri"/>
        </w:rPr>
        <w:t>Sprachtherapeut_in</w:t>
      </w:r>
      <w:proofErr w:type="spellEnd"/>
      <w:r w:rsidR="00360875">
        <w:rPr>
          <w:rFonts w:cs="Calibri"/>
        </w:rPr>
        <w:t xml:space="preserve">, </w:t>
      </w:r>
      <w:r w:rsidR="3745BE6C" w:rsidRPr="00E2375E">
        <w:rPr>
          <w:rFonts w:cs="Calibri"/>
        </w:rPr>
        <w:t>zurückzuführen. Durch eine Anpassung der Aktivitäten soll gewährleistet werden, dass die Ziele des Projektes dennoch erreicht werden</w:t>
      </w:r>
      <w:r w:rsidR="00064C23">
        <w:rPr>
          <w:rFonts w:cs="Calibri"/>
        </w:rPr>
        <w:t xml:space="preserve"> können</w:t>
      </w:r>
      <w:r w:rsidR="3CE3D13F" w:rsidRPr="00E2375E">
        <w:rPr>
          <w:rFonts w:cs="Calibri"/>
        </w:rPr>
        <w:t>.</w:t>
      </w:r>
    </w:p>
    <w:p w14:paraId="33DCD117" w14:textId="605A21E7" w:rsidR="005B6157" w:rsidRPr="005B6157" w:rsidRDefault="005B6157" w:rsidP="009D2243">
      <w:pPr>
        <w:spacing w:before="240" w:afterLines="40" w:after="96"/>
        <w:jc w:val="both"/>
        <w:rPr>
          <w:rFonts w:cs="Calibri"/>
          <w:b/>
          <w:bCs/>
        </w:rPr>
      </w:pPr>
      <w:r w:rsidRPr="005B6157">
        <w:rPr>
          <w:rFonts w:cs="Calibri"/>
          <w:b/>
          <w:bCs/>
        </w:rPr>
        <w:t>Einsparungen:</w:t>
      </w:r>
    </w:p>
    <w:p w14:paraId="7E941015" w14:textId="58E8914C" w:rsidR="00D63E2F" w:rsidRDefault="00706EF5" w:rsidP="009D2243">
      <w:pPr>
        <w:spacing w:before="240" w:afterLines="40" w:after="96"/>
        <w:jc w:val="both"/>
        <w:rPr>
          <w:rFonts w:cs="Calibri"/>
        </w:rPr>
      </w:pPr>
      <w:r w:rsidRPr="00E2375E">
        <w:rPr>
          <w:rFonts w:cs="Calibri"/>
        </w:rPr>
        <w:t xml:space="preserve">Ursprünglich war vorgesehen, das geplante </w:t>
      </w:r>
      <w:r w:rsidR="00F86EB4" w:rsidRPr="00E2375E">
        <w:rPr>
          <w:rFonts w:cs="Calibri"/>
        </w:rPr>
        <w:t>Fräs</w:t>
      </w:r>
      <w:r w:rsidRPr="00E2375E">
        <w:rPr>
          <w:rFonts w:cs="Calibri"/>
        </w:rPr>
        <w:t xml:space="preserve">labor am Beit Cure Hospital </w:t>
      </w:r>
      <w:r w:rsidR="00C27B4E" w:rsidRPr="00E2375E">
        <w:rPr>
          <w:rFonts w:cs="Calibri"/>
        </w:rPr>
        <w:t xml:space="preserve">(BCH) </w:t>
      </w:r>
      <w:r w:rsidRPr="00E2375E">
        <w:rPr>
          <w:rFonts w:cs="Calibri"/>
        </w:rPr>
        <w:t>in Lusaka zu errichten.</w:t>
      </w:r>
      <w:r w:rsidR="00C5203E" w:rsidRPr="00E2375E">
        <w:rPr>
          <w:rFonts w:cs="Calibri"/>
        </w:rPr>
        <w:t xml:space="preserve"> </w:t>
      </w:r>
      <w:r w:rsidRPr="00E2375E">
        <w:rPr>
          <w:rFonts w:cs="Calibri"/>
        </w:rPr>
        <w:t xml:space="preserve">Wie im September 2018 durch Frau Fritz bewilligt, wurde das Labor schließlich in </w:t>
      </w:r>
      <w:r w:rsidR="49B1C4B0" w:rsidRPr="00E2375E">
        <w:rPr>
          <w:rFonts w:cs="Calibri"/>
        </w:rPr>
        <w:t>bereits</w:t>
      </w:r>
      <w:r w:rsidR="2495DE9A" w:rsidRPr="00E2375E">
        <w:rPr>
          <w:rFonts w:cs="Calibri"/>
        </w:rPr>
        <w:t xml:space="preserve"> </w:t>
      </w:r>
      <w:r w:rsidR="00AD386F" w:rsidRPr="00E2375E">
        <w:rPr>
          <w:rFonts w:cs="Calibri"/>
        </w:rPr>
        <w:t xml:space="preserve">verfügbaren </w:t>
      </w:r>
      <w:r w:rsidRPr="00E2375E">
        <w:rPr>
          <w:rFonts w:cs="Calibri"/>
        </w:rPr>
        <w:t xml:space="preserve">Räumlichkeiten des University Teaching Hospital </w:t>
      </w:r>
      <w:r w:rsidR="00C27B4E" w:rsidRPr="00E2375E">
        <w:rPr>
          <w:rFonts w:cs="Calibri"/>
        </w:rPr>
        <w:t xml:space="preserve">(UTH) </w:t>
      </w:r>
      <w:r w:rsidRPr="00E2375E">
        <w:rPr>
          <w:rFonts w:cs="Calibri"/>
        </w:rPr>
        <w:t>in Lusaka eingerichte</w:t>
      </w:r>
      <w:r w:rsidR="27329BBC" w:rsidRPr="00E2375E">
        <w:rPr>
          <w:rFonts w:cs="Calibri"/>
        </w:rPr>
        <w:t>t</w:t>
      </w:r>
      <w:r w:rsidR="5F938BD2" w:rsidRPr="00E2375E">
        <w:rPr>
          <w:rFonts w:cs="Calibri"/>
        </w:rPr>
        <w:t>, sodass kein Neubau notwendig war</w:t>
      </w:r>
      <w:r w:rsidRPr="00E2375E">
        <w:rPr>
          <w:rFonts w:cs="Calibri"/>
        </w:rPr>
        <w:t xml:space="preserve">. Hieraus resultierten Einsparungen in Höhe von </w:t>
      </w:r>
      <w:r w:rsidRPr="00E2375E">
        <w:rPr>
          <w:rFonts w:cs="Calibri"/>
          <w:b/>
          <w:bCs/>
        </w:rPr>
        <w:t xml:space="preserve">27.620 EUR </w:t>
      </w:r>
      <w:r w:rsidRPr="00E2375E">
        <w:rPr>
          <w:rFonts w:cs="Calibri"/>
        </w:rPr>
        <w:t>(BMZ BL 1.1.</w:t>
      </w:r>
      <w:r w:rsidR="00213240">
        <w:rPr>
          <w:rFonts w:cs="Calibri"/>
        </w:rPr>
        <w:t>4</w:t>
      </w:r>
      <w:r w:rsidRPr="00E2375E">
        <w:rPr>
          <w:rFonts w:cs="Calibri"/>
        </w:rPr>
        <w:t>).</w:t>
      </w:r>
      <w:r w:rsidR="00C5203E" w:rsidRPr="00E2375E">
        <w:rPr>
          <w:rFonts w:cs="Calibri"/>
        </w:rPr>
        <w:t xml:space="preserve"> </w:t>
      </w:r>
      <w:r w:rsidR="00AD386F" w:rsidRPr="00E2375E">
        <w:rPr>
          <w:rFonts w:cs="Calibri"/>
        </w:rPr>
        <w:t>Zudem</w:t>
      </w:r>
      <w:r w:rsidR="00C5203E" w:rsidRPr="00E2375E">
        <w:rPr>
          <w:rFonts w:cs="Calibri"/>
        </w:rPr>
        <w:t xml:space="preserve"> </w:t>
      </w:r>
      <w:r w:rsidR="224BC828" w:rsidRPr="00E2375E">
        <w:rPr>
          <w:rFonts w:cs="Calibri"/>
        </w:rPr>
        <w:t xml:space="preserve">wurden </w:t>
      </w:r>
      <w:r w:rsidR="00C5203E" w:rsidRPr="00E2375E">
        <w:rPr>
          <w:rFonts w:cs="Calibri"/>
        </w:rPr>
        <w:t xml:space="preserve">die Trainings der </w:t>
      </w:r>
      <w:r w:rsidR="009A5B2C" w:rsidRPr="00E2375E">
        <w:rPr>
          <w:rFonts w:cs="Calibri"/>
        </w:rPr>
        <w:t xml:space="preserve">vier </w:t>
      </w:r>
      <w:proofErr w:type="spellStart"/>
      <w:r w:rsidR="00C5203E" w:rsidRPr="00E2375E">
        <w:rPr>
          <w:rFonts w:cs="Calibri"/>
        </w:rPr>
        <w:t>Hörgeräteakust</w:t>
      </w:r>
      <w:r w:rsidR="009A5B2C" w:rsidRPr="00E2375E">
        <w:rPr>
          <w:rFonts w:cs="Calibri"/>
        </w:rPr>
        <w:t>ike</w:t>
      </w:r>
      <w:r w:rsidR="00C5203E" w:rsidRPr="00E2375E">
        <w:rPr>
          <w:rFonts w:cs="Calibri"/>
        </w:rPr>
        <w:t>r_innen</w:t>
      </w:r>
      <w:proofErr w:type="spellEnd"/>
      <w:r w:rsidR="00C5203E" w:rsidRPr="00E2375E">
        <w:rPr>
          <w:rFonts w:cs="Calibri"/>
        </w:rPr>
        <w:t xml:space="preserve"> </w:t>
      </w:r>
      <w:r w:rsidR="005B6157">
        <w:rPr>
          <w:rFonts w:cs="Calibri"/>
        </w:rPr>
        <w:t xml:space="preserve">nicht wie geplant in </w:t>
      </w:r>
      <w:r w:rsidR="009A5B2C" w:rsidRPr="00E2375E">
        <w:rPr>
          <w:rFonts w:cs="Calibri"/>
        </w:rPr>
        <w:t>Kenia</w:t>
      </w:r>
      <w:r w:rsidR="005B6157">
        <w:rPr>
          <w:rFonts w:cs="Calibri"/>
        </w:rPr>
        <w:t xml:space="preserve">, sondern am </w:t>
      </w:r>
      <w:proofErr w:type="spellStart"/>
      <w:r w:rsidR="005B6157">
        <w:rPr>
          <w:rFonts w:cs="Calibri"/>
        </w:rPr>
        <w:t>Starkey</w:t>
      </w:r>
      <w:proofErr w:type="spellEnd"/>
      <w:r w:rsidR="005B6157">
        <w:rPr>
          <w:rFonts w:cs="Calibri"/>
        </w:rPr>
        <w:t xml:space="preserve"> Hearing Institute in Lusaka</w:t>
      </w:r>
      <w:r w:rsidR="009A5B2C" w:rsidRPr="00E2375E">
        <w:rPr>
          <w:rFonts w:cs="Calibri"/>
        </w:rPr>
        <w:t xml:space="preserve"> </w:t>
      </w:r>
      <w:r w:rsidR="005B6157">
        <w:rPr>
          <w:rFonts w:cs="Calibri"/>
        </w:rPr>
        <w:t>durchgeführt.</w:t>
      </w:r>
      <w:r w:rsidR="009A5B2C" w:rsidRPr="00E2375E">
        <w:rPr>
          <w:rFonts w:cs="Calibri"/>
        </w:rPr>
        <w:t xml:space="preserve"> </w:t>
      </w:r>
      <w:r w:rsidR="00DC7257">
        <w:rPr>
          <w:rFonts w:cs="Calibri"/>
        </w:rPr>
        <w:t xml:space="preserve">Da die </w:t>
      </w:r>
      <w:r w:rsidR="00736E7C">
        <w:rPr>
          <w:rFonts w:cs="Calibri"/>
        </w:rPr>
        <w:t xml:space="preserve">anerkannte </w:t>
      </w:r>
      <w:r w:rsidR="00DC7257">
        <w:rPr>
          <w:rFonts w:cs="Calibri"/>
        </w:rPr>
        <w:t>Ausbildung inzwischen in Sambia angeboten wird,</w:t>
      </w:r>
      <w:r w:rsidR="009A5B2C" w:rsidRPr="00E2375E">
        <w:rPr>
          <w:rFonts w:cs="Calibri"/>
        </w:rPr>
        <w:t xml:space="preserve"> konnten Einsparungen in Höhe von </w:t>
      </w:r>
      <w:r w:rsidR="009A5B2C" w:rsidRPr="00E2375E">
        <w:rPr>
          <w:rFonts w:cs="Calibri"/>
          <w:b/>
          <w:bCs/>
        </w:rPr>
        <w:t>22.521 EUR</w:t>
      </w:r>
      <w:r w:rsidR="009A5B2C" w:rsidRPr="00E2375E">
        <w:rPr>
          <w:rFonts w:cs="Calibri"/>
        </w:rPr>
        <w:t xml:space="preserve"> erzielt werden (BMZ BL 1.2.2).</w:t>
      </w:r>
      <w:r w:rsidR="00AD386F" w:rsidRPr="00E2375E">
        <w:rPr>
          <w:rFonts w:cs="Calibri"/>
        </w:rPr>
        <w:t xml:space="preserve"> Da es in Sambia bislang sehr wenige sprachtherapeutische Fachkräfte gibt, konnte</w:t>
      </w:r>
      <w:r w:rsidR="00031C45" w:rsidRPr="00E2375E">
        <w:rPr>
          <w:rFonts w:cs="Calibri"/>
        </w:rPr>
        <w:t>n</w:t>
      </w:r>
      <w:r w:rsidR="00AD386F" w:rsidRPr="00E2375E">
        <w:rPr>
          <w:rFonts w:cs="Calibri"/>
        </w:rPr>
        <w:t xml:space="preserve"> erst</w:t>
      </w:r>
      <w:r w:rsidR="00124FEE" w:rsidRPr="00E2375E">
        <w:rPr>
          <w:rFonts w:cs="Calibri"/>
        </w:rPr>
        <w:t xml:space="preserve"> ab Oktober 2020</w:t>
      </w:r>
      <w:r w:rsidR="00AD386F" w:rsidRPr="00E2375E">
        <w:rPr>
          <w:rFonts w:cs="Calibri"/>
        </w:rPr>
        <w:t xml:space="preserve"> </w:t>
      </w:r>
      <w:r w:rsidR="00031C45" w:rsidRPr="00E2375E">
        <w:rPr>
          <w:rFonts w:cs="Calibri"/>
        </w:rPr>
        <w:t>zwei</w:t>
      </w:r>
      <w:r w:rsidR="00AD386F" w:rsidRPr="00E2375E">
        <w:rPr>
          <w:rFonts w:cs="Calibri"/>
        </w:rPr>
        <w:t xml:space="preserve"> qualifizierte Sprachtherapeutin</w:t>
      </w:r>
      <w:r w:rsidR="00031C45" w:rsidRPr="00E2375E">
        <w:rPr>
          <w:rFonts w:cs="Calibri"/>
        </w:rPr>
        <w:t>nen</w:t>
      </w:r>
      <w:r w:rsidR="002D59D8" w:rsidRPr="00E2375E">
        <w:rPr>
          <w:rFonts w:cs="Calibri"/>
        </w:rPr>
        <w:t xml:space="preserve"> jeweils in Teilzeit</w:t>
      </w:r>
      <w:r w:rsidR="00AD386F" w:rsidRPr="00E2375E">
        <w:rPr>
          <w:rFonts w:cs="Calibri"/>
        </w:rPr>
        <w:t xml:space="preserve"> angestellt werden, welche die Dienste am BCH sowie die geplanten Schulungen durchführen w</w:t>
      </w:r>
      <w:r w:rsidR="00031C45" w:rsidRPr="00E2375E">
        <w:rPr>
          <w:rFonts w:cs="Calibri"/>
        </w:rPr>
        <w:t>erden</w:t>
      </w:r>
      <w:r w:rsidR="00AD386F" w:rsidRPr="00E2375E">
        <w:rPr>
          <w:rFonts w:cs="Calibri"/>
        </w:rPr>
        <w:t xml:space="preserve">. Durch die verzögerte Besetzung der Personalposition wurden Einsparungen in Höhe von </w:t>
      </w:r>
      <w:r w:rsidR="00AD386F" w:rsidRPr="00E2375E">
        <w:rPr>
          <w:rFonts w:cs="Calibri"/>
          <w:b/>
          <w:bCs/>
        </w:rPr>
        <w:t>15.000 EUR</w:t>
      </w:r>
      <w:r w:rsidR="00AD386F" w:rsidRPr="00E2375E">
        <w:rPr>
          <w:rFonts w:cs="Calibri"/>
        </w:rPr>
        <w:t xml:space="preserve"> generiert</w:t>
      </w:r>
      <w:r w:rsidR="009C14A8">
        <w:rPr>
          <w:rFonts w:cs="Calibri"/>
        </w:rPr>
        <w:t xml:space="preserve"> (BMZ BL 1.3.2)</w:t>
      </w:r>
      <w:r w:rsidR="007054C3">
        <w:rPr>
          <w:rFonts w:cs="Calibri"/>
        </w:rPr>
        <w:t>.</w:t>
      </w:r>
      <w:r w:rsidR="00D37643">
        <w:rPr>
          <w:rFonts w:cs="Calibri"/>
        </w:rPr>
        <w:t xml:space="preserve"> Die Personalposition ist</w:t>
      </w:r>
      <w:r w:rsidR="00A56FB7">
        <w:rPr>
          <w:rFonts w:cs="Calibri"/>
        </w:rPr>
        <w:t xml:space="preserve"> im Projektantrag</w:t>
      </w:r>
      <w:r w:rsidR="00D37643">
        <w:rPr>
          <w:rFonts w:cs="Calibri"/>
        </w:rPr>
        <w:t xml:space="preserve"> für zwei Jahre ab Juli 2019 mit 1.000 EUR monatlich budgetiert.</w:t>
      </w:r>
    </w:p>
    <w:p w14:paraId="2DBA20B1" w14:textId="6A840CD0" w:rsidR="000A2FBA" w:rsidRPr="000A2FBA" w:rsidRDefault="000A2FBA" w:rsidP="009D2243">
      <w:pPr>
        <w:spacing w:before="240" w:afterLines="40" w:after="96"/>
        <w:jc w:val="both"/>
        <w:rPr>
          <w:rFonts w:cs="Calibri"/>
          <w:b/>
          <w:bCs/>
        </w:rPr>
      </w:pPr>
      <w:r w:rsidRPr="000A2FBA">
        <w:rPr>
          <w:rFonts w:cs="Calibri"/>
          <w:b/>
          <w:bCs/>
        </w:rPr>
        <w:t>Geplante Änderungen:</w:t>
      </w:r>
    </w:p>
    <w:p w14:paraId="1139E44D" w14:textId="309548D3" w:rsidR="00AD386F" w:rsidRPr="00B25F24" w:rsidRDefault="003929F1" w:rsidP="009D2243">
      <w:pPr>
        <w:spacing w:before="240" w:afterLines="40" w:after="96"/>
        <w:jc w:val="both"/>
        <w:rPr>
          <w:rFonts w:cs="Calibri"/>
        </w:rPr>
      </w:pPr>
      <w:r w:rsidRPr="00B25F24">
        <w:rPr>
          <w:rFonts w:cs="Calibri"/>
        </w:rPr>
        <w:t>Der</w:t>
      </w:r>
      <w:r w:rsidR="00AD386F" w:rsidRPr="00B25F24">
        <w:rPr>
          <w:rFonts w:cs="Calibri"/>
        </w:rPr>
        <w:t xml:space="preserve"> Partner </w:t>
      </w:r>
      <w:r w:rsidR="000D1673" w:rsidRPr="00B25F24">
        <w:rPr>
          <w:rFonts w:cs="Calibri"/>
        </w:rPr>
        <w:t xml:space="preserve">BCH </w:t>
      </w:r>
      <w:r w:rsidR="00DC2420" w:rsidRPr="00B25F24">
        <w:rPr>
          <w:rFonts w:cs="Calibri"/>
        </w:rPr>
        <w:t xml:space="preserve">plant die Einrichtung eines 4. Arbeitsplatzes im Fräslabor für insgesamt </w:t>
      </w:r>
      <w:r w:rsidR="00E54ED4" w:rsidRPr="00B25F24">
        <w:rPr>
          <w:rFonts w:cs="Calibri"/>
          <w:b/>
          <w:bCs/>
        </w:rPr>
        <w:t>23.268</w:t>
      </w:r>
      <w:r w:rsidR="1DB7E816" w:rsidRPr="00B25F24">
        <w:rPr>
          <w:rFonts w:cs="Calibri"/>
          <w:b/>
          <w:bCs/>
        </w:rPr>
        <w:t xml:space="preserve"> EUR</w:t>
      </w:r>
      <w:r w:rsidR="1DB7E816" w:rsidRPr="00B25F24">
        <w:rPr>
          <w:rFonts w:cs="Calibri"/>
        </w:rPr>
        <w:t xml:space="preserve"> </w:t>
      </w:r>
      <w:r w:rsidR="00B902F4" w:rsidRPr="00B25F24">
        <w:rPr>
          <w:rFonts w:cs="Calibri"/>
        </w:rPr>
        <w:t xml:space="preserve">(BMZ BL 1.1.1). Durch Wechselkursschwankungen zwischen dem Zeitpunkt der Antragstellung und dem Zeitpunkt der Beschaffung </w:t>
      </w:r>
      <w:r w:rsidR="15527014" w:rsidRPr="00B25F24">
        <w:rPr>
          <w:rFonts w:cs="Calibri"/>
        </w:rPr>
        <w:t xml:space="preserve">der </w:t>
      </w:r>
      <w:r w:rsidR="7091CCA8" w:rsidRPr="00B25F24">
        <w:rPr>
          <w:rFonts w:cs="Calibri"/>
        </w:rPr>
        <w:t xml:space="preserve">medizinischen Geräte </w:t>
      </w:r>
      <w:r w:rsidR="007054C3" w:rsidRPr="00B25F24">
        <w:rPr>
          <w:rFonts w:cs="Calibri"/>
        </w:rPr>
        <w:t xml:space="preserve">für das Fräslabor </w:t>
      </w:r>
      <w:r w:rsidR="008F586E" w:rsidRPr="00B25F24">
        <w:rPr>
          <w:rFonts w:cs="Calibri"/>
        </w:rPr>
        <w:t xml:space="preserve">im Ausland </w:t>
      </w:r>
      <w:r w:rsidR="00B902F4" w:rsidRPr="00B25F24">
        <w:rPr>
          <w:rFonts w:cs="Calibri"/>
        </w:rPr>
        <w:t xml:space="preserve">ist außerdem ein Mehrbedarf </w:t>
      </w:r>
      <w:r w:rsidR="00491C52" w:rsidRPr="00B25F24">
        <w:rPr>
          <w:rFonts w:cs="Calibri"/>
        </w:rPr>
        <w:t xml:space="preserve">(im Vergleich zu dem ursprünglich geplanten Budget) </w:t>
      </w:r>
      <w:r w:rsidR="00B902F4" w:rsidRPr="00B25F24">
        <w:rPr>
          <w:rFonts w:cs="Calibri"/>
        </w:rPr>
        <w:t>in Höhe</w:t>
      </w:r>
      <w:r w:rsidR="00947B57" w:rsidRPr="00B25F24">
        <w:rPr>
          <w:rFonts w:cs="Calibri"/>
        </w:rPr>
        <w:t xml:space="preserve"> von</w:t>
      </w:r>
      <w:r w:rsidR="00B902F4" w:rsidRPr="00B25F24">
        <w:rPr>
          <w:rFonts w:cs="Calibri"/>
        </w:rPr>
        <w:t xml:space="preserve"> </w:t>
      </w:r>
      <w:r w:rsidR="00B82DFE" w:rsidRPr="00B25F24">
        <w:rPr>
          <w:rFonts w:cs="Calibri"/>
        </w:rPr>
        <w:t>11.</w:t>
      </w:r>
      <w:r w:rsidR="009133C6" w:rsidRPr="00B25F24">
        <w:rPr>
          <w:rFonts w:cs="Calibri"/>
        </w:rPr>
        <w:t>729</w:t>
      </w:r>
      <w:r w:rsidR="00B82DFE" w:rsidRPr="00B25F24">
        <w:rPr>
          <w:rFonts w:cs="Calibri"/>
        </w:rPr>
        <w:t xml:space="preserve"> </w:t>
      </w:r>
      <w:r w:rsidR="006C6638" w:rsidRPr="00B25F24">
        <w:rPr>
          <w:rFonts w:cs="Calibri"/>
        </w:rPr>
        <w:t>EUR</w:t>
      </w:r>
      <w:r w:rsidR="006C6638" w:rsidRPr="00B25F24">
        <w:rPr>
          <w:rFonts w:cs="Calibri"/>
          <w:b/>
          <w:bCs/>
        </w:rPr>
        <w:t xml:space="preserve"> </w:t>
      </w:r>
      <w:r w:rsidR="00B902F4" w:rsidRPr="00B25F24">
        <w:rPr>
          <w:rFonts w:cs="Calibri"/>
        </w:rPr>
        <w:t xml:space="preserve">zur </w:t>
      </w:r>
      <w:r w:rsidR="0093375B" w:rsidRPr="00B25F24">
        <w:rPr>
          <w:rFonts w:cs="Calibri"/>
        </w:rPr>
        <w:t>geplanten Finanzierung der</w:t>
      </w:r>
      <w:r w:rsidR="00B902F4" w:rsidRPr="00B25F24">
        <w:rPr>
          <w:rFonts w:cs="Calibri"/>
        </w:rPr>
        <w:t xml:space="preserve"> medizinischen Geräte entstanden.</w:t>
      </w:r>
      <w:r w:rsidR="00AF27D8" w:rsidRPr="00B25F24">
        <w:rPr>
          <w:rFonts w:cs="Calibri"/>
        </w:rPr>
        <w:t xml:space="preserve"> </w:t>
      </w:r>
      <w:r w:rsidR="00947B57" w:rsidRPr="00B25F24">
        <w:rPr>
          <w:rFonts w:cs="Calibri"/>
        </w:rPr>
        <w:t xml:space="preserve">Insgesamt </w:t>
      </w:r>
      <w:r w:rsidR="001020E4" w:rsidRPr="00B25F24">
        <w:rPr>
          <w:rFonts w:cs="Calibri"/>
        </w:rPr>
        <w:t xml:space="preserve">werden für die Beschaffung der verbleibenden </w:t>
      </w:r>
      <w:r w:rsidR="00CA7329" w:rsidRPr="00B25F24">
        <w:rPr>
          <w:rFonts w:cs="Calibri"/>
        </w:rPr>
        <w:t xml:space="preserve">Geräte für das Fräslabor </w:t>
      </w:r>
      <w:r w:rsidR="00CA7329" w:rsidRPr="00B25F24">
        <w:rPr>
          <w:rFonts w:cs="Calibri"/>
          <w:b/>
          <w:bCs/>
        </w:rPr>
        <w:t>22.089 EUR</w:t>
      </w:r>
      <w:r w:rsidR="00CA7329" w:rsidRPr="00B25F24">
        <w:rPr>
          <w:rFonts w:cs="Calibri"/>
        </w:rPr>
        <w:t xml:space="preserve"> benötigt</w:t>
      </w:r>
      <w:r w:rsidR="009C403B" w:rsidRPr="00B25F24">
        <w:rPr>
          <w:rFonts w:cs="Calibri"/>
        </w:rPr>
        <w:t xml:space="preserve"> (BMZ BL 1.1.1)</w:t>
      </w:r>
      <w:r w:rsidR="00CA7329" w:rsidRPr="00B25F24">
        <w:rPr>
          <w:rFonts w:cs="Calibri"/>
        </w:rPr>
        <w:t xml:space="preserve">. </w:t>
      </w:r>
      <w:r w:rsidR="00AF27D8" w:rsidRPr="00B25F24">
        <w:rPr>
          <w:rFonts w:cs="Calibri"/>
        </w:rPr>
        <w:t xml:space="preserve">Zudem </w:t>
      </w:r>
      <w:r w:rsidR="00DA469E" w:rsidRPr="00B25F24">
        <w:rPr>
          <w:rFonts w:cs="Calibri"/>
        </w:rPr>
        <w:t xml:space="preserve">werden für die vollständige </w:t>
      </w:r>
      <w:r w:rsidR="00AF27D8" w:rsidRPr="00B25F24">
        <w:rPr>
          <w:rFonts w:cs="Calibri"/>
        </w:rPr>
        <w:t xml:space="preserve">Ausstattung der </w:t>
      </w:r>
      <w:proofErr w:type="spellStart"/>
      <w:r w:rsidR="00AF27D8" w:rsidRPr="00B25F24">
        <w:rPr>
          <w:rFonts w:cs="Calibri"/>
        </w:rPr>
        <w:t>Hörgeräteakustiker_innen</w:t>
      </w:r>
      <w:proofErr w:type="spellEnd"/>
      <w:r w:rsidR="00AF27D8" w:rsidRPr="00B25F24">
        <w:rPr>
          <w:rFonts w:cs="Calibri"/>
        </w:rPr>
        <w:t xml:space="preserve"> mit medizinischen Geräten</w:t>
      </w:r>
      <w:r w:rsidR="00DA469E" w:rsidRPr="00B25F24">
        <w:rPr>
          <w:rFonts w:cs="Calibri"/>
        </w:rPr>
        <w:t xml:space="preserve"> aufgrund von Wechselkursverlusten </w:t>
      </w:r>
      <w:r w:rsidR="00D93CF2" w:rsidRPr="00B25F24">
        <w:rPr>
          <w:rFonts w:cs="Calibri"/>
        </w:rPr>
        <w:t>insgesamt</w:t>
      </w:r>
      <w:r w:rsidR="00BC0B3B" w:rsidRPr="00B25F24">
        <w:rPr>
          <w:rFonts w:cs="Calibri"/>
          <w:b/>
          <w:bCs/>
        </w:rPr>
        <w:t xml:space="preserve"> </w:t>
      </w:r>
      <w:r w:rsidR="009133C6" w:rsidRPr="00B25F24">
        <w:rPr>
          <w:rFonts w:cs="Calibri"/>
          <w:b/>
          <w:bCs/>
        </w:rPr>
        <w:t>39.102</w:t>
      </w:r>
      <w:r w:rsidR="00AF27D8" w:rsidRPr="00B25F24">
        <w:rPr>
          <w:rFonts w:cs="Calibri"/>
          <w:b/>
          <w:bCs/>
        </w:rPr>
        <w:t xml:space="preserve"> EUR </w:t>
      </w:r>
      <w:r w:rsidR="00DA469E" w:rsidRPr="00B25F24">
        <w:rPr>
          <w:rFonts w:cs="Calibri"/>
        </w:rPr>
        <w:t>benötigt</w:t>
      </w:r>
      <w:r w:rsidR="00D93CF2" w:rsidRPr="00B25F24">
        <w:rPr>
          <w:rFonts w:cs="Calibri"/>
        </w:rPr>
        <w:t xml:space="preserve"> (BMZ BL 1.1.1)</w:t>
      </w:r>
      <w:r w:rsidR="000F14F8" w:rsidRPr="00B25F24">
        <w:rPr>
          <w:rFonts w:cs="Calibri"/>
        </w:rPr>
        <w:t xml:space="preserve">, </w:t>
      </w:r>
      <w:r w:rsidR="004E17C8" w:rsidRPr="00B25F24">
        <w:rPr>
          <w:rFonts w:cs="Calibri"/>
        </w:rPr>
        <w:t xml:space="preserve">wovon </w:t>
      </w:r>
      <w:r w:rsidR="00D93CF2" w:rsidRPr="00B25F24">
        <w:rPr>
          <w:rFonts w:cs="Calibri"/>
        </w:rPr>
        <w:t xml:space="preserve">im Vergleich zu dem Zeitpunkt der Antragstellung </w:t>
      </w:r>
      <w:r w:rsidR="00891E9B" w:rsidRPr="00B25F24">
        <w:rPr>
          <w:rFonts w:cs="Calibri"/>
        </w:rPr>
        <w:t>ein Mehr</w:t>
      </w:r>
      <w:r w:rsidR="00D93CF2" w:rsidRPr="00B25F24">
        <w:rPr>
          <w:rFonts w:cs="Calibri"/>
        </w:rPr>
        <w:t>be</w:t>
      </w:r>
      <w:r w:rsidR="00891E9B" w:rsidRPr="00B25F24">
        <w:rPr>
          <w:rFonts w:cs="Calibri"/>
        </w:rPr>
        <w:t xml:space="preserve">darf in Höhe von </w:t>
      </w:r>
      <w:r w:rsidR="004E17C8" w:rsidRPr="00B25F24">
        <w:rPr>
          <w:rFonts w:cs="Calibri"/>
        </w:rPr>
        <w:t xml:space="preserve">18.102 EUR </w:t>
      </w:r>
      <w:r w:rsidR="00D93CF2" w:rsidRPr="00B25F24">
        <w:rPr>
          <w:rFonts w:cs="Calibri"/>
        </w:rPr>
        <w:t>erforderlich</w:t>
      </w:r>
      <w:r w:rsidR="00AF27D8" w:rsidRPr="00B25F24">
        <w:rPr>
          <w:rFonts w:cs="Calibri"/>
        </w:rPr>
        <w:t xml:space="preserve"> </w:t>
      </w:r>
      <w:r w:rsidR="00545287" w:rsidRPr="00B25F24">
        <w:rPr>
          <w:rFonts w:cs="Calibri"/>
        </w:rPr>
        <w:t>ist</w:t>
      </w:r>
      <w:r w:rsidR="00AF27D8" w:rsidRPr="00B25F24">
        <w:rPr>
          <w:rFonts w:cs="Calibri"/>
        </w:rPr>
        <w:t>.</w:t>
      </w:r>
      <w:r w:rsidR="00996DCC" w:rsidRPr="00B25F24">
        <w:rPr>
          <w:rFonts w:cs="Calibri"/>
        </w:rPr>
        <w:t xml:space="preserve"> </w:t>
      </w:r>
      <w:r w:rsidR="00522704" w:rsidRPr="00B25F24">
        <w:rPr>
          <w:rFonts w:cs="Calibri"/>
        </w:rPr>
        <w:t xml:space="preserve">Das Projekt </w:t>
      </w:r>
      <w:r w:rsidR="00687BFE" w:rsidRPr="00B25F24">
        <w:rPr>
          <w:rFonts w:cs="Calibri"/>
        </w:rPr>
        <w:t xml:space="preserve">verfügt über </w:t>
      </w:r>
      <w:r w:rsidR="003A1BA7" w:rsidRPr="00B25F24">
        <w:rPr>
          <w:rFonts w:cs="Calibri"/>
          <w:b/>
          <w:bCs/>
        </w:rPr>
        <w:t>9.147</w:t>
      </w:r>
      <w:r w:rsidR="00687BFE" w:rsidRPr="00B25F24">
        <w:rPr>
          <w:rFonts w:cs="Calibri"/>
          <w:b/>
          <w:bCs/>
        </w:rPr>
        <w:t xml:space="preserve"> EUR verbleibende Mittel</w:t>
      </w:r>
      <w:r w:rsidR="00687BFE" w:rsidRPr="00B25F24">
        <w:rPr>
          <w:rFonts w:cs="Calibri"/>
        </w:rPr>
        <w:t xml:space="preserve"> für die Beschaffung des Equipments (BMZ BL 1.1.1)</w:t>
      </w:r>
      <w:r w:rsidR="00480606" w:rsidRPr="00B25F24">
        <w:rPr>
          <w:rFonts w:cs="Calibri"/>
        </w:rPr>
        <w:t>, die zur Teilfinanzierung genutzt werden können</w:t>
      </w:r>
      <w:r w:rsidR="00687BFE" w:rsidRPr="00B25F24">
        <w:rPr>
          <w:rFonts w:cs="Calibri"/>
        </w:rPr>
        <w:t>.</w:t>
      </w:r>
    </w:p>
    <w:p w14:paraId="74F81C63" w14:textId="17B7F642" w:rsidR="00D63E2F" w:rsidRDefault="00A95361" w:rsidP="22C733FF">
      <w:pPr>
        <w:spacing w:before="240" w:afterLines="40" w:after="96"/>
        <w:jc w:val="both"/>
        <w:rPr>
          <w:color w:val="000000" w:themeColor="text1"/>
        </w:rPr>
      </w:pPr>
      <w:r>
        <w:rPr>
          <w:color w:val="000000" w:themeColor="text1"/>
        </w:rPr>
        <w:t xml:space="preserve">Infolge der verzögerten Personalbesetzung durch zwei Sprachtherapeutinnen beantragt der Partner, dass die Gehaltszahlungen bis Oktober 2021 durch Projektmittel gefördert werden. Hierfür </w:t>
      </w:r>
      <w:r w:rsidRPr="004D0C20">
        <w:rPr>
          <w:color w:val="000000" w:themeColor="text1"/>
        </w:rPr>
        <w:t xml:space="preserve">sind </w:t>
      </w:r>
      <w:r w:rsidR="004D0C20" w:rsidRPr="004D0C20">
        <w:rPr>
          <w:color w:val="000000" w:themeColor="text1"/>
        </w:rPr>
        <w:t>insgesamt</w:t>
      </w:r>
      <w:r w:rsidR="004D0C20">
        <w:rPr>
          <w:b/>
          <w:bCs/>
          <w:color w:val="000000" w:themeColor="text1"/>
        </w:rPr>
        <w:t xml:space="preserve"> 3.2</w:t>
      </w:r>
      <w:r w:rsidRPr="00A95361">
        <w:rPr>
          <w:b/>
          <w:bCs/>
          <w:color w:val="000000" w:themeColor="text1"/>
        </w:rPr>
        <w:t>00 EUR</w:t>
      </w:r>
      <w:r>
        <w:rPr>
          <w:color w:val="000000" w:themeColor="text1"/>
        </w:rPr>
        <w:t xml:space="preserve"> vorgesehen</w:t>
      </w:r>
      <w:r w:rsidR="004D0C20">
        <w:rPr>
          <w:color w:val="000000" w:themeColor="text1"/>
        </w:rPr>
        <w:t xml:space="preserve"> (BMZ BL 1.3.2)</w:t>
      </w:r>
      <w:r>
        <w:rPr>
          <w:color w:val="000000" w:themeColor="text1"/>
        </w:rPr>
        <w:t>.</w:t>
      </w:r>
    </w:p>
    <w:p w14:paraId="076F0BC9" w14:textId="2B04AB25" w:rsidR="001B2CA6" w:rsidRPr="001B2CA6" w:rsidRDefault="001B2CA6" w:rsidP="22C733FF">
      <w:pPr>
        <w:spacing w:before="240" w:afterLines="40" w:after="96"/>
        <w:jc w:val="both"/>
        <w:rPr>
          <w:color w:val="000000"/>
        </w:rPr>
      </w:pPr>
      <w:r w:rsidRPr="00E2375E">
        <w:rPr>
          <w:color w:val="000000" w:themeColor="text1"/>
        </w:rPr>
        <w:t xml:space="preserve">Darüber hinaus sieht BCH die Durchführung von COVID-19-Präventionsmaßnahmen für insgesamt </w:t>
      </w:r>
      <w:r>
        <w:rPr>
          <w:b/>
          <w:bCs/>
          <w:color w:val="000000" w:themeColor="text1"/>
        </w:rPr>
        <w:t>10.25</w:t>
      </w:r>
      <w:r w:rsidR="00D001D2">
        <w:rPr>
          <w:b/>
          <w:bCs/>
          <w:color w:val="000000" w:themeColor="text1"/>
        </w:rPr>
        <w:t>6</w:t>
      </w:r>
      <w:r w:rsidRPr="00E2375E">
        <w:rPr>
          <w:b/>
          <w:bCs/>
          <w:color w:val="000000" w:themeColor="text1"/>
        </w:rPr>
        <w:t xml:space="preserve"> EUR</w:t>
      </w:r>
      <w:r w:rsidRPr="00E2375E">
        <w:rPr>
          <w:color w:val="000000" w:themeColor="text1"/>
        </w:rPr>
        <w:t xml:space="preserve"> vor. </w:t>
      </w:r>
      <w:r w:rsidRPr="00E2375E">
        <w:t xml:space="preserve">Im Falle einer Genehmigung des Antrages wird dieser Betrag im Budgetplan unter einer neu eingeführten </w:t>
      </w:r>
      <w:r w:rsidRPr="00E2375E">
        <w:rPr>
          <w:b/>
          <w:bCs/>
        </w:rPr>
        <w:t xml:space="preserve">Budgetlinie 1.2.6 – „COVID-19-Maßnahmen“ </w:t>
      </w:r>
      <w:r w:rsidRPr="00E2375E">
        <w:t xml:space="preserve">im </w:t>
      </w:r>
      <w:r w:rsidRPr="00E2375E">
        <w:rPr>
          <w:b/>
          <w:bCs/>
        </w:rPr>
        <w:t>Einzelansatz Betriebsausgaben</w:t>
      </w:r>
      <w:r w:rsidRPr="00E2375E">
        <w:t xml:space="preserve"> aufgeführt und abgerechnet.</w:t>
      </w:r>
    </w:p>
    <w:p w14:paraId="561C290D" w14:textId="32171D13" w:rsidR="004D0C20" w:rsidRPr="00A95361" w:rsidRDefault="004D0C20" w:rsidP="22C733FF">
      <w:pPr>
        <w:spacing w:before="240" w:afterLines="40" w:after="96"/>
        <w:jc w:val="both"/>
        <w:rPr>
          <w:color w:val="000000" w:themeColor="text1"/>
        </w:rPr>
      </w:pPr>
      <w:r w:rsidRPr="00B34803">
        <w:rPr>
          <w:color w:val="000000" w:themeColor="text1"/>
        </w:rPr>
        <w:lastRenderedPageBreak/>
        <w:t xml:space="preserve">Aufgrund von geänderten Rahmenbedingungen </w:t>
      </w:r>
      <w:r w:rsidR="002E4878" w:rsidRPr="00B34803">
        <w:rPr>
          <w:color w:val="000000" w:themeColor="text1"/>
        </w:rPr>
        <w:t xml:space="preserve">(siehe untenstehende Erläuterung) </w:t>
      </w:r>
      <w:r w:rsidR="00406C76" w:rsidRPr="00B34803">
        <w:rPr>
          <w:rFonts w:cs="Calibri"/>
        </w:rPr>
        <w:t>werden wir im Rahmen des Zwischennachweises 2020</w:t>
      </w:r>
      <w:r w:rsidRPr="00B34803">
        <w:rPr>
          <w:rFonts w:cs="Calibri"/>
        </w:rPr>
        <w:t xml:space="preserve"> die Anpassung der Aktivität </w:t>
      </w:r>
      <w:r w:rsidRPr="00B34803">
        <w:rPr>
          <w:color w:val="000000" w:themeColor="text1"/>
        </w:rPr>
        <w:t xml:space="preserve">„Überarbeitung Curriculum HNO“ und die Neuausrichtung auf eine verbesserte Implementierung von HNO-Themen im Rahmen des Ausbildungsprogramms von Pflegekräften </w:t>
      </w:r>
      <w:r w:rsidR="009343AB" w:rsidRPr="00B34803">
        <w:rPr>
          <w:color w:val="000000" w:themeColor="text1"/>
        </w:rPr>
        <w:t xml:space="preserve">beschreiben und </w:t>
      </w:r>
      <w:r w:rsidRPr="00B34803">
        <w:rPr>
          <w:color w:val="000000" w:themeColor="text1"/>
        </w:rPr>
        <w:t>vor</w:t>
      </w:r>
      <w:r w:rsidR="00A0375C" w:rsidRPr="00B34803">
        <w:rPr>
          <w:color w:val="000000" w:themeColor="text1"/>
        </w:rPr>
        <w:t>schlagen</w:t>
      </w:r>
      <w:r w:rsidRPr="00B34803">
        <w:rPr>
          <w:color w:val="000000" w:themeColor="text1"/>
        </w:rPr>
        <w:t>. Hierfür</w:t>
      </w:r>
      <w:r w:rsidRPr="22C733FF">
        <w:rPr>
          <w:color w:val="000000" w:themeColor="text1"/>
        </w:rPr>
        <w:t xml:space="preserve"> kalkuliert der Partner Kosten in Höhe von </w:t>
      </w:r>
      <w:r w:rsidRPr="009C459A">
        <w:rPr>
          <w:color w:val="000000" w:themeColor="text1"/>
        </w:rPr>
        <w:t>11.270 EUR.</w:t>
      </w:r>
      <w:r>
        <w:rPr>
          <w:color w:val="000000" w:themeColor="text1"/>
        </w:rPr>
        <w:t xml:space="preserve"> Diese Kosten plant BCH anhand de</w:t>
      </w:r>
      <w:r w:rsidR="00D71868">
        <w:rPr>
          <w:color w:val="000000" w:themeColor="text1"/>
        </w:rPr>
        <w:t>s</w:t>
      </w:r>
      <w:r>
        <w:rPr>
          <w:color w:val="000000" w:themeColor="text1"/>
        </w:rPr>
        <w:t xml:space="preserve"> </w:t>
      </w:r>
      <w:r w:rsidR="00D71868">
        <w:rPr>
          <w:color w:val="000000" w:themeColor="text1"/>
        </w:rPr>
        <w:t>Budgets der</w:t>
      </w:r>
      <w:r>
        <w:rPr>
          <w:color w:val="000000" w:themeColor="text1"/>
        </w:rPr>
        <w:t xml:space="preserve"> ursprünglich geplante</w:t>
      </w:r>
      <w:r w:rsidR="00D71868">
        <w:rPr>
          <w:color w:val="000000" w:themeColor="text1"/>
        </w:rPr>
        <w:t>n</w:t>
      </w:r>
      <w:r>
        <w:rPr>
          <w:color w:val="000000" w:themeColor="text1"/>
        </w:rPr>
        <w:t xml:space="preserve"> Aktivität zu decken (BMZ BL 1.2.2)</w:t>
      </w:r>
      <w:r w:rsidR="002E4878">
        <w:rPr>
          <w:color w:val="000000" w:themeColor="text1"/>
        </w:rPr>
        <w:t>.</w:t>
      </w:r>
    </w:p>
    <w:p w14:paraId="79718B33" w14:textId="66E6F673" w:rsidR="00736B37" w:rsidRPr="00B25F24" w:rsidRDefault="00BF3FB0" w:rsidP="22C733FF">
      <w:pPr>
        <w:spacing w:before="240" w:afterLines="40" w:after="96"/>
        <w:jc w:val="both"/>
        <w:rPr>
          <w:color w:val="000000"/>
        </w:rPr>
      </w:pPr>
      <w:r w:rsidRPr="00B25F24">
        <w:rPr>
          <w:color w:val="000000" w:themeColor="text1"/>
        </w:rPr>
        <w:t xml:space="preserve">Insgesamt umfassen die </w:t>
      </w:r>
      <w:r w:rsidR="00E735CD" w:rsidRPr="00B25F24">
        <w:rPr>
          <w:color w:val="000000" w:themeColor="text1"/>
        </w:rPr>
        <w:t xml:space="preserve">Kosten für die </w:t>
      </w:r>
      <w:r w:rsidR="00E133B7" w:rsidRPr="00B25F24">
        <w:rPr>
          <w:color w:val="000000" w:themeColor="text1"/>
        </w:rPr>
        <w:t xml:space="preserve">Beschaffung der verbleibenden medizinischen Geräte, der </w:t>
      </w:r>
      <w:r w:rsidRPr="00B25F24">
        <w:rPr>
          <w:color w:val="000000" w:themeColor="text1"/>
        </w:rPr>
        <w:t xml:space="preserve">geplanten Änderungen </w:t>
      </w:r>
      <w:r w:rsidR="00AF3CB7" w:rsidRPr="00B25F24">
        <w:rPr>
          <w:color w:val="000000" w:themeColor="text1"/>
        </w:rPr>
        <w:t xml:space="preserve">und zusätzlichen Maßnahmen </w:t>
      </w:r>
      <w:r w:rsidR="005D28B5" w:rsidRPr="00B25F24">
        <w:rPr>
          <w:b/>
          <w:bCs/>
          <w:color w:val="000000" w:themeColor="text1"/>
        </w:rPr>
        <w:t>97.915</w:t>
      </w:r>
      <w:r w:rsidRPr="00B25F24">
        <w:rPr>
          <w:b/>
          <w:bCs/>
          <w:color w:val="000000" w:themeColor="text1"/>
        </w:rPr>
        <w:t xml:space="preserve"> EUR</w:t>
      </w:r>
      <w:r w:rsidR="00250BDC" w:rsidRPr="00B25F24">
        <w:rPr>
          <w:color w:val="000000" w:themeColor="text1"/>
        </w:rPr>
        <w:t xml:space="preserve">, wovon </w:t>
      </w:r>
      <w:r w:rsidR="005D28B5" w:rsidRPr="00B25F24">
        <w:rPr>
          <w:color w:val="000000" w:themeColor="text1"/>
        </w:rPr>
        <w:t>9.</w:t>
      </w:r>
      <w:r w:rsidR="002C1FD1" w:rsidRPr="00B25F24">
        <w:rPr>
          <w:color w:val="000000" w:themeColor="text1"/>
        </w:rPr>
        <w:t>147</w:t>
      </w:r>
      <w:r w:rsidR="00F71BE8" w:rsidRPr="00B25F24">
        <w:rPr>
          <w:color w:val="000000" w:themeColor="text1"/>
        </w:rPr>
        <w:t xml:space="preserve"> EUR</w:t>
      </w:r>
      <w:r w:rsidR="00373406" w:rsidRPr="00B25F24">
        <w:rPr>
          <w:color w:val="000000" w:themeColor="text1"/>
        </w:rPr>
        <w:t xml:space="preserve"> anhand der verbleibenden Mittel für die Beschaffung des Equipments gedeckt werden können</w:t>
      </w:r>
      <w:r w:rsidR="00250BDC" w:rsidRPr="00B25F24">
        <w:rPr>
          <w:color w:val="000000" w:themeColor="text1"/>
        </w:rPr>
        <w:t xml:space="preserve">. </w:t>
      </w:r>
      <w:r w:rsidR="006D13A9" w:rsidRPr="00B25F24">
        <w:rPr>
          <w:color w:val="000000" w:themeColor="text1"/>
        </w:rPr>
        <w:t>Die</w:t>
      </w:r>
      <w:r w:rsidR="000D1673" w:rsidRPr="00B25F24">
        <w:rPr>
          <w:color w:val="000000" w:themeColor="text1"/>
        </w:rPr>
        <w:t xml:space="preserve"> </w:t>
      </w:r>
      <w:r w:rsidR="00CB78DD" w:rsidRPr="00B25F24">
        <w:rPr>
          <w:color w:val="000000" w:themeColor="text1"/>
        </w:rPr>
        <w:t xml:space="preserve">Projekteinsparungen </w:t>
      </w:r>
      <w:r w:rsidR="001C0300" w:rsidRPr="00B25F24">
        <w:rPr>
          <w:color w:val="000000" w:themeColor="text1"/>
        </w:rPr>
        <w:t xml:space="preserve">(65.141 EUR) </w:t>
      </w:r>
      <w:r w:rsidR="00CB78DD" w:rsidRPr="00B25F24">
        <w:rPr>
          <w:color w:val="000000" w:themeColor="text1"/>
        </w:rPr>
        <w:t>würden wir gerne zur Teilfinanzierung d</w:t>
      </w:r>
      <w:r w:rsidR="00A14094" w:rsidRPr="00B25F24">
        <w:rPr>
          <w:color w:val="000000" w:themeColor="text1"/>
        </w:rPr>
        <w:t>er genannten</w:t>
      </w:r>
      <w:r w:rsidR="00CB78DD" w:rsidRPr="00B25F24">
        <w:rPr>
          <w:color w:val="000000" w:themeColor="text1"/>
        </w:rPr>
        <w:t xml:space="preserve"> Aktivitäten nutzen. Für den verbleibenden Betrag in Höhe von </w:t>
      </w:r>
      <w:r w:rsidR="002C1FD1" w:rsidRPr="00B25F24">
        <w:rPr>
          <w:b/>
          <w:bCs/>
          <w:color w:val="000000" w:themeColor="text1"/>
        </w:rPr>
        <w:t>23.627</w:t>
      </w:r>
      <w:r w:rsidR="000D1673" w:rsidRPr="00B25F24">
        <w:rPr>
          <w:b/>
          <w:bCs/>
          <w:color w:val="000000" w:themeColor="text1"/>
        </w:rPr>
        <w:t xml:space="preserve"> </w:t>
      </w:r>
      <w:r w:rsidR="009A1ADC" w:rsidRPr="00B25F24">
        <w:rPr>
          <w:b/>
          <w:bCs/>
          <w:color w:val="000000" w:themeColor="text1"/>
        </w:rPr>
        <w:t>EUR</w:t>
      </w:r>
      <w:r w:rsidR="00CB78DD" w:rsidRPr="00B25F24">
        <w:rPr>
          <w:color w:val="000000" w:themeColor="text1"/>
        </w:rPr>
        <w:t xml:space="preserve"> beantragen wir die Finanzierung anhand der </w:t>
      </w:r>
      <w:r w:rsidR="00CB78DD" w:rsidRPr="00B25F24">
        <w:rPr>
          <w:b/>
          <w:bCs/>
          <w:color w:val="000000" w:themeColor="text1"/>
        </w:rPr>
        <w:t xml:space="preserve">Mittelreserve </w:t>
      </w:r>
      <w:r w:rsidR="00CB78DD" w:rsidRPr="00B25F24">
        <w:rPr>
          <w:color w:val="000000" w:themeColor="text1"/>
        </w:rPr>
        <w:t xml:space="preserve">des Projektes, die mit insgesamt </w:t>
      </w:r>
      <w:r w:rsidR="008847E1" w:rsidRPr="00B25F24">
        <w:rPr>
          <w:color w:val="000000" w:themeColor="text1"/>
        </w:rPr>
        <w:t xml:space="preserve">30.750 </w:t>
      </w:r>
      <w:r w:rsidR="00CB78DD" w:rsidRPr="00B25F24">
        <w:rPr>
          <w:color w:val="000000" w:themeColor="text1"/>
        </w:rPr>
        <w:t>EUR budgetiert wurde und noch vollständig zur Verfügung steht</w:t>
      </w:r>
      <w:r w:rsidR="009A1ADC" w:rsidRPr="00B25F24">
        <w:rPr>
          <w:color w:val="000000" w:themeColor="text1"/>
        </w:rPr>
        <w:t>.</w:t>
      </w:r>
    </w:p>
    <w:p w14:paraId="7E617D1E" w14:textId="3284A80E" w:rsidR="00031C45" w:rsidRDefault="003A5C59" w:rsidP="009D2243">
      <w:pPr>
        <w:spacing w:before="240" w:afterLines="40" w:after="96"/>
        <w:jc w:val="both"/>
        <w:rPr>
          <w:bCs/>
          <w:color w:val="000000"/>
        </w:rPr>
      </w:pPr>
      <w:r w:rsidRPr="00D63E2F">
        <w:rPr>
          <w:bCs/>
          <w:color w:val="000000"/>
        </w:rPr>
        <w:t xml:space="preserve">Die Umrechnung in EUR wurde mit dem </w:t>
      </w:r>
      <w:r w:rsidR="00D63E2F">
        <w:rPr>
          <w:bCs/>
          <w:color w:val="000000"/>
        </w:rPr>
        <w:t xml:space="preserve">gewichteten, </w:t>
      </w:r>
      <w:r w:rsidR="00156433" w:rsidRPr="00D63E2F">
        <w:rPr>
          <w:bCs/>
          <w:color w:val="000000"/>
        </w:rPr>
        <w:t>durchschnittlichen Wechselkurs 2020</w:t>
      </w:r>
      <w:r w:rsidRPr="00D63E2F">
        <w:rPr>
          <w:bCs/>
          <w:color w:val="000000"/>
        </w:rPr>
        <w:t xml:space="preserve"> </w:t>
      </w:r>
      <w:r w:rsidR="00D63E2F">
        <w:rPr>
          <w:bCs/>
          <w:color w:val="000000"/>
        </w:rPr>
        <w:t>vorgenommen</w:t>
      </w:r>
      <w:r w:rsidR="00D21E8B" w:rsidRPr="00D63E2F">
        <w:rPr>
          <w:bCs/>
          <w:color w:val="000000"/>
        </w:rPr>
        <w:t xml:space="preserve">, der gerundet bei </w:t>
      </w:r>
      <w:r w:rsidRPr="00D63E2F">
        <w:rPr>
          <w:bCs/>
          <w:color w:val="000000"/>
        </w:rPr>
        <w:t xml:space="preserve">1 EUR= </w:t>
      </w:r>
      <w:r w:rsidR="00D63E2F" w:rsidRPr="00D63E2F">
        <w:rPr>
          <w:bCs/>
          <w:color w:val="000000"/>
        </w:rPr>
        <w:t>16,0382 ZMW</w:t>
      </w:r>
      <w:r w:rsidRPr="00D63E2F">
        <w:rPr>
          <w:bCs/>
          <w:color w:val="000000"/>
        </w:rPr>
        <w:t xml:space="preserve"> </w:t>
      </w:r>
      <w:r w:rsidR="00D21E8B" w:rsidRPr="00D63E2F">
        <w:rPr>
          <w:bCs/>
          <w:color w:val="000000"/>
        </w:rPr>
        <w:t>l</w:t>
      </w:r>
      <w:r w:rsidR="00156433" w:rsidRPr="00D63E2F">
        <w:rPr>
          <w:bCs/>
          <w:color w:val="000000"/>
        </w:rPr>
        <w:t>iegt</w:t>
      </w:r>
      <w:r w:rsidR="00D21E8B" w:rsidRPr="00D63E2F">
        <w:rPr>
          <w:bCs/>
          <w:color w:val="000000"/>
        </w:rPr>
        <w:t>.</w:t>
      </w:r>
    </w:p>
    <w:p w14:paraId="681E356E" w14:textId="77777777" w:rsidR="00034D19" w:rsidRDefault="00034D19" w:rsidP="22C733FF">
      <w:pPr>
        <w:spacing w:before="240" w:afterLines="40" w:after="96"/>
        <w:jc w:val="both"/>
        <w:rPr>
          <w:b/>
          <w:bCs/>
          <w:color w:val="000000" w:themeColor="text1"/>
        </w:rPr>
      </w:pPr>
    </w:p>
    <w:p w14:paraId="7D09DF2E" w14:textId="00DAE209" w:rsidR="00E553B6" w:rsidRPr="00E553B6" w:rsidRDefault="00E553B6" w:rsidP="22C733FF">
      <w:pPr>
        <w:spacing w:before="240" w:afterLines="40" w:after="96"/>
        <w:jc w:val="both"/>
        <w:rPr>
          <w:b/>
          <w:bCs/>
          <w:color w:val="000000"/>
        </w:rPr>
      </w:pPr>
      <w:r w:rsidRPr="22C733FF">
        <w:rPr>
          <w:b/>
          <w:bCs/>
          <w:color w:val="000000" w:themeColor="text1"/>
        </w:rPr>
        <w:t xml:space="preserve">Ausstattung des </w:t>
      </w:r>
      <w:r w:rsidR="00F86EB4" w:rsidRPr="22C733FF">
        <w:rPr>
          <w:b/>
          <w:bCs/>
          <w:color w:val="000000" w:themeColor="text1"/>
        </w:rPr>
        <w:t>Fräs</w:t>
      </w:r>
      <w:r w:rsidRPr="22C733FF">
        <w:rPr>
          <w:b/>
          <w:bCs/>
          <w:color w:val="000000" w:themeColor="text1"/>
        </w:rPr>
        <w:t>labor</w:t>
      </w:r>
      <w:r w:rsidR="00A86541" w:rsidRPr="22C733FF">
        <w:rPr>
          <w:b/>
          <w:bCs/>
          <w:color w:val="000000" w:themeColor="text1"/>
        </w:rPr>
        <w:t xml:space="preserve">s </w:t>
      </w:r>
      <w:r w:rsidRPr="22C733FF">
        <w:rPr>
          <w:b/>
          <w:bCs/>
          <w:color w:val="000000" w:themeColor="text1"/>
        </w:rPr>
        <w:t>mit medizinischen Geräten (</w:t>
      </w:r>
      <w:r w:rsidR="00F430F3" w:rsidRPr="00F430F3">
        <w:rPr>
          <w:b/>
          <w:bCs/>
          <w:color w:val="000000" w:themeColor="text1"/>
        </w:rPr>
        <w:t>45.</w:t>
      </w:r>
      <w:r w:rsidR="00E445BD">
        <w:rPr>
          <w:b/>
          <w:bCs/>
          <w:color w:val="000000" w:themeColor="text1"/>
        </w:rPr>
        <w:t>357</w:t>
      </w:r>
      <w:r w:rsidRPr="00F430F3">
        <w:rPr>
          <w:b/>
          <w:bCs/>
          <w:color w:val="000000" w:themeColor="text1"/>
        </w:rPr>
        <w:t xml:space="preserve"> EUR,</w:t>
      </w:r>
      <w:r w:rsidRPr="22C733FF">
        <w:rPr>
          <w:b/>
          <w:bCs/>
          <w:color w:val="000000" w:themeColor="text1"/>
        </w:rPr>
        <w:t xml:space="preserve"> BMZ BL 1.1.1)</w:t>
      </w:r>
    </w:p>
    <w:p w14:paraId="7EC3EE81" w14:textId="7ABFC6E9" w:rsidR="00E322D8" w:rsidRDefault="00F86EB4" w:rsidP="00E322D8">
      <w:pPr>
        <w:pStyle w:val="Listenabsatz"/>
        <w:tabs>
          <w:tab w:val="left" w:pos="567"/>
        </w:tabs>
        <w:spacing w:line="264" w:lineRule="auto"/>
        <w:ind w:left="0"/>
        <w:contextualSpacing w:val="0"/>
        <w:jc w:val="both"/>
      </w:pPr>
      <w:r>
        <w:t xml:space="preserve">Wie im Zwischennachweis 2019 berichtet, wurden die Renovierungsarbeiten zur Einrichtung eines Fräslabors am UTH abgeschlossen. Die Mehrheit des medizinischen Equipments wurde bereits beschafft und Anfang 2020 an das Fräslabor übergeben. </w:t>
      </w:r>
      <w:r w:rsidR="0051261F">
        <w:t xml:space="preserve">Da es sich bei dem Equipment um hochspezialisierte medizinische Geräte handelt, wurde auf ausländische Anbieter zurückgegriffen (u.a. Südafrika, Vereinigtes Königreich, Deutschland). </w:t>
      </w:r>
      <w:r w:rsidR="00E322D8">
        <w:t>Die Auswahl der Geräte wurde in enger Abstimmung mit Fachexperten vorgenommen. Hierbei wurde sichergestellt, dass alle im Rahmen des Projektes beschafften Geräte höchsten Qualitätsstandards entsprechen und ein nachhaltiger Einsatz zugunsten der Projektzielgruppe erfolgt.</w:t>
      </w:r>
    </w:p>
    <w:p w14:paraId="3DA1C260" w14:textId="7F5B3181" w:rsidR="00E553B6" w:rsidRDefault="00E322D8" w:rsidP="00F86EB4">
      <w:pPr>
        <w:pStyle w:val="Listenabsatz"/>
        <w:tabs>
          <w:tab w:val="left" w:pos="567"/>
        </w:tabs>
        <w:spacing w:after="0" w:line="264" w:lineRule="auto"/>
        <w:ind w:left="0"/>
        <w:jc w:val="both"/>
        <w:rPr>
          <w:rFonts w:cs="Calibri"/>
        </w:rPr>
      </w:pPr>
      <w:r w:rsidRPr="00B25F24">
        <w:t xml:space="preserve">Für die Beschaffung der noch verbleibenden medizinischen Geräte werden aufgrund der Wechselkursschwankungen zwischen dem Zeitpunkt der Antragstellung </w:t>
      </w:r>
      <w:r w:rsidRPr="00B25F24">
        <w:rPr>
          <w:rFonts w:cs="Calibri"/>
        </w:rPr>
        <w:t xml:space="preserve">und dem Zeitpunkt der Beschaffung </w:t>
      </w:r>
      <w:r w:rsidR="00443BE9" w:rsidRPr="00B25F24">
        <w:rPr>
          <w:rFonts w:cs="Calibri"/>
        </w:rPr>
        <w:t xml:space="preserve">im Ausland </w:t>
      </w:r>
      <w:r w:rsidRPr="00B25F24">
        <w:rPr>
          <w:rFonts w:cs="Calibri"/>
        </w:rPr>
        <w:t xml:space="preserve">Mehrkosten in Höhe von </w:t>
      </w:r>
      <w:r w:rsidR="00D35A67" w:rsidRPr="00B25F24">
        <w:rPr>
          <w:rFonts w:cs="Calibri"/>
          <w:b/>
          <w:bCs/>
        </w:rPr>
        <w:t>11.</w:t>
      </w:r>
      <w:r w:rsidR="00DD087F" w:rsidRPr="00B25F24">
        <w:rPr>
          <w:rFonts w:cs="Calibri"/>
          <w:b/>
          <w:bCs/>
        </w:rPr>
        <w:t>729</w:t>
      </w:r>
      <w:r w:rsidR="00D35A67" w:rsidRPr="00B25F24">
        <w:rPr>
          <w:rFonts w:cs="Calibri"/>
          <w:b/>
          <w:bCs/>
        </w:rPr>
        <w:t xml:space="preserve"> EUR</w:t>
      </w:r>
      <w:r w:rsidR="0013061E" w:rsidRPr="00B25F24">
        <w:rPr>
          <w:rFonts w:cs="Calibri"/>
          <w:b/>
          <w:bCs/>
        </w:rPr>
        <w:t xml:space="preserve"> </w:t>
      </w:r>
      <w:r w:rsidR="0013061E" w:rsidRPr="00B25F24">
        <w:rPr>
          <w:rFonts w:cs="Calibri"/>
        </w:rPr>
        <w:t xml:space="preserve">(insgesamt </w:t>
      </w:r>
      <w:r w:rsidR="00D30BAB" w:rsidRPr="00B25F24">
        <w:rPr>
          <w:rFonts w:cs="Calibri"/>
        </w:rPr>
        <w:t xml:space="preserve">Kosten in Höhe </w:t>
      </w:r>
      <w:r w:rsidR="00DD087F" w:rsidRPr="00B25F24">
        <w:rPr>
          <w:rFonts w:cs="Calibri"/>
          <w:b/>
          <w:bCs/>
        </w:rPr>
        <w:t>22.089</w:t>
      </w:r>
      <w:r w:rsidRPr="00B25F24">
        <w:rPr>
          <w:rFonts w:cs="Calibri"/>
          <w:b/>
          <w:bCs/>
        </w:rPr>
        <w:t xml:space="preserve"> EUR</w:t>
      </w:r>
      <w:r w:rsidR="0013061E" w:rsidRPr="00B25F24">
        <w:rPr>
          <w:rFonts w:cs="Calibri"/>
        </w:rPr>
        <w:t>)</w:t>
      </w:r>
      <w:r w:rsidRPr="00B25F24">
        <w:rPr>
          <w:rFonts w:cs="Calibri"/>
        </w:rPr>
        <w:t xml:space="preserve"> entstehen, die sich wie folgt auf die einzelnen Geräte aufteilen:</w:t>
      </w:r>
    </w:p>
    <w:p w14:paraId="01AAABEE" w14:textId="77777777" w:rsidR="00E322D8" w:rsidRDefault="00E322D8" w:rsidP="00F86EB4">
      <w:pPr>
        <w:pStyle w:val="Listenabsatz"/>
        <w:tabs>
          <w:tab w:val="left" w:pos="567"/>
        </w:tabs>
        <w:spacing w:after="0" w:line="264" w:lineRule="auto"/>
        <w:ind w:left="0"/>
        <w:jc w:val="both"/>
        <w:rPr>
          <w:rFonts w:cs="Calibri"/>
        </w:rPr>
      </w:pPr>
    </w:p>
    <w:tbl>
      <w:tblPr>
        <w:tblStyle w:val="TabellemithellemGitternetz"/>
        <w:tblW w:w="11293" w:type="dxa"/>
        <w:jc w:val="center"/>
        <w:tblLayout w:type="fixed"/>
        <w:tblLook w:val="06A0" w:firstRow="1" w:lastRow="0" w:firstColumn="1" w:lastColumn="0" w:noHBand="1" w:noVBand="1"/>
      </w:tblPr>
      <w:tblGrid>
        <w:gridCol w:w="2330"/>
        <w:gridCol w:w="1146"/>
        <w:gridCol w:w="2660"/>
        <w:gridCol w:w="2660"/>
        <w:gridCol w:w="2497"/>
      </w:tblGrid>
      <w:tr w:rsidR="006A0613" w14:paraId="3E91BCD1" w14:textId="77777777" w:rsidTr="002C3F78">
        <w:trPr>
          <w:trHeight w:val="240"/>
          <w:jc w:val="center"/>
        </w:trPr>
        <w:tc>
          <w:tcPr>
            <w:tcW w:w="2330" w:type="dxa"/>
            <w:shd w:val="clear" w:color="auto" w:fill="E7E6E6" w:themeFill="background2"/>
          </w:tcPr>
          <w:p w14:paraId="6166A538" w14:textId="22C465FE" w:rsidR="006A0613" w:rsidRPr="00E03780" w:rsidRDefault="006A0613" w:rsidP="00E03780">
            <w:pPr>
              <w:pStyle w:val="Listenabsatz"/>
              <w:spacing w:after="0"/>
              <w:ind w:hanging="264"/>
              <w:rPr>
                <w:b/>
                <w:bCs/>
              </w:rPr>
            </w:pPr>
            <w:bookmarkStart w:id="0" w:name="_Hlk52440230"/>
            <w:r w:rsidRPr="00E03780">
              <w:rPr>
                <w:b/>
                <w:bCs/>
                <w:color w:val="000000" w:themeColor="text1"/>
              </w:rPr>
              <w:t>Kostenart</w:t>
            </w:r>
          </w:p>
        </w:tc>
        <w:tc>
          <w:tcPr>
            <w:tcW w:w="1146" w:type="dxa"/>
            <w:shd w:val="clear" w:color="auto" w:fill="E7E6E6" w:themeFill="background2"/>
          </w:tcPr>
          <w:p w14:paraId="3ECB7893" w14:textId="1AB3E0F2" w:rsidR="006A0613" w:rsidRPr="00E03780" w:rsidRDefault="006A0613" w:rsidP="00475B77">
            <w:pPr>
              <w:pStyle w:val="Listenabsatz"/>
              <w:spacing w:after="0"/>
              <w:ind w:left="124"/>
              <w:rPr>
                <w:b/>
                <w:bCs/>
              </w:rPr>
            </w:pPr>
            <w:r w:rsidRPr="00E03780">
              <w:rPr>
                <w:b/>
                <w:bCs/>
                <w:color w:val="000000" w:themeColor="text1"/>
              </w:rPr>
              <w:t>Anzahl</w:t>
            </w:r>
          </w:p>
        </w:tc>
        <w:tc>
          <w:tcPr>
            <w:tcW w:w="2660" w:type="dxa"/>
            <w:shd w:val="clear" w:color="auto" w:fill="E7E6E6" w:themeFill="background2"/>
          </w:tcPr>
          <w:p w14:paraId="1290046E" w14:textId="77777777" w:rsidR="006A0613" w:rsidRPr="008A35BD" w:rsidRDefault="00FD3719" w:rsidP="00475B77">
            <w:pPr>
              <w:pStyle w:val="Listenabsatz"/>
              <w:ind w:left="319"/>
              <w:rPr>
                <w:b/>
                <w:bCs/>
                <w:color w:val="000000" w:themeColor="text1"/>
              </w:rPr>
            </w:pPr>
            <w:r w:rsidRPr="008A35BD">
              <w:rPr>
                <w:b/>
                <w:bCs/>
                <w:color w:val="000000" w:themeColor="text1"/>
              </w:rPr>
              <w:t>Preis/Einheit in EUR</w:t>
            </w:r>
          </w:p>
          <w:p w14:paraId="71B5AAAD" w14:textId="499D1A7E" w:rsidR="00FD3719" w:rsidRPr="003A5F9E" w:rsidRDefault="00FD3719" w:rsidP="00475B77">
            <w:pPr>
              <w:pStyle w:val="Listenabsatz"/>
              <w:ind w:left="319"/>
              <w:rPr>
                <w:b/>
                <w:bCs/>
                <w:color w:val="000000" w:themeColor="text1"/>
                <w:highlight w:val="lightGray"/>
              </w:rPr>
            </w:pPr>
            <w:r w:rsidRPr="008A35BD">
              <w:rPr>
                <w:b/>
                <w:bCs/>
                <w:color w:val="000000" w:themeColor="text1"/>
              </w:rPr>
              <w:t>Projektentwicklung</w:t>
            </w:r>
          </w:p>
        </w:tc>
        <w:tc>
          <w:tcPr>
            <w:tcW w:w="2660" w:type="dxa"/>
            <w:shd w:val="clear" w:color="auto" w:fill="E7E6E6" w:themeFill="background2"/>
          </w:tcPr>
          <w:p w14:paraId="06646283" w14:textId="46A5D4A7" w:rsidR="002D4DB5" w:rsidRPr="00475B77" w:rsidRDefault="00475B77" w:rsidP="00475B77">
            <w:pPr>
              <w:pStyle w:val="Listenabsatz"/>
              <w:ind w:left="28"/>
              <w:jc w:val="center"/>
              <w:rPr>
                <w:b/>
                <w:bCs/>
                <w:color w:val="000000" w:themeColor="text1"/>
              </w:rPr>
            </w:pPr>
            <w:r>
              <w:rPr>
                <w:b/>
                <w:bCs/>
                <w:color w:val="000000" w:themeColor="text1"/>
              </w:rPr>
              <w:t>Aktueller Marktp</w:t>
            </w:r>
            <w:r w:rsidR="006A0613" w:rsidRPr="00E03780">
              <w:rPr>
                <w:b/>
                <w:bCs/>
                <w:color w:val="000000" w:themeColor="text1"/>
              </w:rPr>
              <w:t>reis/Einheit in EUR</w:t>
            </w:r>
          </w:p>
        </w:tc>
        <w:tc>
          <w:tcPr>
            <w:tcW w:w="2497" w:type="dxa"/>
            <w:shd w:val="clear" w:color="auto" w:fill="E7E6E6" w:themeFill="background2"/>
          </w:tcPr>
          <w:p w14:paraId="7F36AF20" w14:textId="07AC8238" w:rsidR="006A0613" w:rsidRPr="00E03780" w:rsidRDefault="0036668A" w:rsidP="0036668A">
            <w:pPr>
              <w:pStyle w:val="Listenabsatz"/>
              <w:ind w:left="148" w:firstLine="426"/>
              <w:rPr>
                <w:b/>
                <w:bCs/>
                <w:color w:val="000000" w:themeColor="text1"/>
              </w:rPr>
            </w:pPr>
            <w:r>
              <w:rPr>
                <w:b/>
                <w:bCs/>
                <w:color w:val="000000" w:themeColor="text1"/>
              </w:rPr>
              <w:t xml:space="preserve">Aktueller </w:t>
            </w:r>
            <w:r w:rsidR="006A0613" w:rsidRPr="00E03780">
              <w:rPr>
                <w:b/>
                <w:bCs/>
                <w:color w:val="000000" w:themeColor="text1"/>
              </w:rPr>
              <w:t>Gesamtpreis in EUR</w:t>
            </w:r>
          </w:p>
        </w:tc>
      </w:tr>
      <w:tr w:rsidR="006A0613" w14:paraId="180DA540" w14:textId="77777777" w:rsidTr="002C3F78">
        <w:trPr>
          <w:trHeight w:val="290"/>
          <w:jc w:val="center"/>
        </w:trPr>
        <w:tc>
          <w:tcPr>
            <w:tcW w:w="2330" w:type="dxa"/>
            <w:shd w:val="clear" w:color="auto" w:fill="auto"/>
          </w:tcPr>
          <w:p w14:paraId="11C5F519" w14:textId="3B57EC64" w:rsidR="006A0613" w:rsidRPr="00B25F24" w:rsidRDefault="006A0613" w:rsidP="00E03780">
            <w:pPr>
              <w:pStyle w:val="Listenabsatz"/>
              <w:ind w:left="315"/>
            </w:pPr>
            <w:r w:rsidRPr="00B25F24">
              <w:t>Bohrgerät (</w:t>
            </w:r>
            <w:proofErr w:type="spellStart"/>
            <w:r w:rsidRPr="00B25F24">
              <w:t>Nouvag</w:t>
            </w:r>
            <w:proofErr w:type="spellEnd"/>
            <w:r w:rsidRPr="00B25F24">
              <w:t>)</w:t>
            </w:r>
          </w:p>
        </w:tc>
        <w:tc>
          <w:tcPr>
            <w:tcW w:w="1146" w:type="dxa"/>
            <w:shd w:val="clear" w:color="auto" w:fill="auto"/>
          </w:tcPr>
          <w:p w14:paraId="47004DA1" w14:textId="52C44ABD" w:rsidR="006A0613" w:rsidRPr="00B25F24" w:rsidRDefault="006A0613" w:rsidP="00463E97">
            <w:pPr>
              <w:pStyle w:val="Listenabsatz"/>
              <w:jc w:val="right"/>
            </w:pPr>
            <w:r w:rsidRPr="00B25F24">
              <w:t>3</w:t>
            </w:r>
          </w:p>
        </w:tc>
        <w:tc>
          <w:tcPr>
            <w:tcW w:w="2660" w:type="dxa"/>
            <w:shd w:val="clear" w:color="auto" w:fill="auto"/>
          </w:tcPr>
          <w:p w14:paraId="3CBD2DAB" w14:textId="7E083F0A" w:rsidR="006A0613" w:rsidRPr="00B25F24" w:rsidRDefault="00CE5C5A" w:rsidP="00463E97">
            <w:pPr>
              <w:pStyle w:val="Listenabsatz"/>
              <w:jc w:val="right"/>
            </w:pPr>
            <w:r w:rsidRPr="00B25F24">
              <w:t>3.000</w:t>
            </w:r>
          </w:p>
        </w:tc>
        <w:tc>
          <w:tcPr>
            <w:tcW w:w="2660" w:type="dxa"/>
            <w:shd w:val="clear" w:color="auto" w:fill="auto"/>
          </w:tcPr>
          <w:p w14:paraId="127E3E8A" w14:textId="7BAAC4F4" w:rsidR="006A0613" w:rsidRPr="00B25F24" w:rsidRDefault="0089204A" w:rsidP="00463E97">
            <w:pPr>
              <w:pStyle w:val="Listenabsatz"/>
              <w:jc w:val="right"/>
            </w:pPr>
            <w:r w:rsidRPr="00B25F24">
              <w:t>6.555</w:t>
            </w:r>
          </w:p>
        </w:tc>
        <w:tc>
          <w:tcPr>
            <w:tcW w:w="2497" w:type="dxa"/>
            <w:shd w:val="clear" w:color="auto" w:fill="auto"/>
          </w:tcPr>
          <w:p w14:paraId="3C887ABE" w14:textId="79986640" w:rsidR="006A0613" w:rsidRPr="005359E6" w:rsidRDefault="0089204A" w:rsidP="00463E97">
            <w:pPr>
              <w:pStyle w:val="Listenabsatz"/>
              <w:jc w:val="right"/>
            </w:pPr>
            <w:r w:rsidRPr="005359E6">
              <w:t>19.665</w:t>
            </w:r>
          </w:p>
        </w:tc>
      </w:tr>
      <w:tr w:rsidR="006A0613" w14:paraId="2ABF7918" w14:textId="77777777" w:rsidTr="002C3F78">
        <w:trPr>
          <w:trHeight w:val="444"/>
          <w:jc w:val="center"/>
        </w:trPr>
        <w:tc>
          <w:tcPr>
            <w:tcW w:w="2330" w:type="dxa"/>
          </w:tcPr>
          <w:p w14:paraId="52A24610" w14:textId="294423CC" w:rsidR="006A0613" w:rsidRPr="00B25F24" w:rsidRDefault="006A0613" w:rsidP="00E03780">
            <w:pPr>
              <w:pStyle w:val="Listenabsatz"/>
              <w:ind w:left="315"/>
            </w:pPr>
            <w:r w:rsidRPr="00B25F24">
              <w:t>Chirurgischer Arbeitsstuhl (Ecco Pedes)</w:t>
            </w:r>
          </w:p>
        </w:tc>
        <w:tc>
          <w:tcPr>
            <w:tcW w:w="1146" w:type="dxa"/>
          </w:tcPr>
          <w:p w14:paraId="38CD1DF0" w14:textId="622F8F2A" w:rsidR="006A0613" w:rsidRPr="00B25F24" w:rsidRDefault="006A0613" w:rsidP="00463E97">
            <w:pPr>
              <w:pStyle w:val="Listenabsatz"/>
              <w:jc w:val="right"/>
            </w:pPr>
            <w:r w:rsidRPr="00B25F24">
              <w:t>3</w:t>
            </w:r>
          </w:p>
        </w:tc>
        <w:tc>
          <w:tcPr>
            <w:tcW w:w="2660" w:type="dxa"/>
          </w:tcPr>
          <w:p w14:paraId="70C01C3F" w14:textId="070B9841" w:rsidR="006A0613" w:rsidRPr="00B25F24" w:rsidRDefault="00C86516" w:rsidP="00463E97">
            <w:pPr>
              <w:pStyle w:val="Listenabsatz"/>
              <w:jc w:val="right"/>
            </w:pPr>
            <w:r w:rsidRPr="00B25F24">
              <w:t>120</w:t>
            </w:r>
          </w:p>
        </w:tc>
        <w:tc>
          <w:tcPr>
            <w:tcW w:w="2660" w:type="dxa"/>
          </w:tcPr>
          <w:p w14:paraId="5D9B6670" w14:textId="2F0E3DE6" w:rsidR="006A0613" w:rsidRPr="00B25F24" w:rsidRDefault="00470FC8" w:rsidP="00463E97">
            <w:pPr>
              <w:pStyle w:val="Listenabsatz"/>
              <w:jc w:val="right"/>
            </w:pPr>
            <w:r w:rsidRPr="00B25F24">
              <w:t>42</w:t>
            </w:r>
            <w:r w:rsidR="00B26C19" w:rsidRPr="00B25F24">
              <w:t>8</w:t>
            </w:r>
          </w:p>
        </w:tc>
        <w:tc>
          <w:tcPr>
            <w:tcW w:w="2497" w:type="dxa"/>
          </w:tcPr>
          <w:p w14:paraId="037CF730" w14:textId="5BE8A04A" w:rsidR="006A0613" w:rsidRPr="005359E6" w:rsidRDefault="0042654F" w:rsidP="00463E97">
            <w:pPr>
              <w:pStyle w:val="Listenabsatz"/>
              <w:jc w:val="right"/>
            </w:pPr>
            <w:r w:rsidRPr="005359E6">
              <w:t>1.28</w:t>
            </w:r>
            <w:r w:rsidR="004A16C2">
              <w:t>4</w:t>
            </w:r>
          </w:p>
        </w:tc>
      </w:tr>
      <w:tr w:rsidR="005B15E9" w14:paraId="5DF8C96E" w14:textId="77777777" w:rsidTr="002C3F78">
        <w:trPr>
          <w:trHeight w:val="444"/>
          <w:jc w:val="center"/>
        </w:trPr>
        <w:tc>
          <w:tcPr>
            <w:tcW w:w="2330" w:type="dxa"/>
          </w:tcPr>
          <w:p w14:paraId="4939B422" w14:textId="64E3E9CD" w:rsidR="005B15E9" w:rsidRPr="00B25F24" w:rsidRDefault="005B15E9" w:rsidP="00E03780">
            <w:pPr>
              <w:pStyle w:val="Listenabsatz"/>
              <w:ind w:left="315"/>
            </w:pPr>
            <w:r w:rsidRPr="00B25F24">
              <w:t>LCD</w:t>
            </w:r>
            <w:r w:rsidR="00F72545" w:rsidRPr="00B25F24">
              <w:t>-</w:t>
            </w:r>
            <w:r w:rsidRPr="00B25F24">
              <w:t>Monitor</w:t>
            </w:r>
          </w:p>
        </w:tc>
        <w:tc>
          <w:tcPr>
            <w:tcW w:w="1146" w:type="dxa"/>
          </w:tcPr>
          <w:p w14:paraId="45C051B2" w14:textId="75169914" w:rsidR="005B15E9" w:rsidRPr="00B25F24" w:rsidRDefault="005B15E9" w:rsidP="00463E97">
            <w:pPr>
              <w:pStyle w:val="Listenabsatz"/>
              <w:jc w:val="right"/>
            </w:pPr>
            <w:r w:rsidRPr="00B25F24">
              <w:t>1</w:t>
            </w:r>
          </w:p>
        </w:tc>
        <w:tc>
          <w:tcPr>
            <w:tcW w:w="2660" w:type="dxa"/>
          </w:tcPr>
          <w:p w14:paraId="7E0AEF3B" w14:textId="5B7DF04B" w:rsidR="005B15E9" w:rsidRPr="00B25F24" w:rsidRDefault="00F72545" w:rsidP="00463E97">
            <w:pPr>
              <w:pStyle w:val="Listenabsatz"/>
              <w:jc w:val="right"/>
            </w:pPr>
            <w:r w:rsidRPr="00B25F24">
              <w:t>1.000</w:t>
            </w:r>
          </w:p>
        </w:tc>
        <w:tc>
          <w:tcPr>
            <w:tcW w:w="2660" w:type="dxa"/>
          </w:tcPr>
          <w:p w14:paraId="048894E9" w14:textId="30306595" w:rsidR="005B15E9" w:rsidRPr="00B25F24" w:rsidRDefault="00B67298" w:rsidP="00463E97">
            <w:pPr>
              <w:pStyle w:val="Listenabsatz"/>
              <w:jc w:val="right"/>
            </w:pPr>
            <w:r w:rsidRPr="00B25F24">
              <w:t>1.140</w:t>
            </w:r>
          </w:p>
        </w:tc>
        <w:tc>
          <w:tcPr>
            <w:tcW w:w="2497" w:type="dxa"/>
          </w:tcPr>
          <w:p w14:paraId="06C56678" w14:textId="26703ED6" w:rsidR="005B15E9" w:rsidRPr="005359E6" w:rsidRDefault="00B67298" w:rsidP="00463E97">
            <w:pPr>
              <w:pStyle w:val="Listenabsatz"/>
              <w:jc w:val="right"/>
            </w:pPr>
            <w:r>
              <w:t>1.140</w:t>
            </w:r>
          </w:p>
        </w:tc>
      </w:tr>
      <w:tr w:rsidR="006A0613" w14:paraId="08238EBE" w14:textId="77777777" w:rsidTr="002C3F78">
        <w:trPr>
          <w:trHeight w:val="240"/>
          <w:jc w:val="center"/>
        </w:trPr>
        <w:tc>
          <w:tcPr>
            <w:tcW w:w="2330" w:type="dxa"/>
          </w:tcPr>
          <w:p w14:paraId="2AAC7806" w14:textId="72F0DBCB" w:rsidR="006A0613" w:rsidRPr="00B25F24" w:rsidRDefault="006A0613" w:rsidP="00E03780">
            <w:pPr>
              <w:pStyle w:val="Listenabsatz"/>
              <w:ind w:left="315"/>
              <w:rPr>
                <w:b/>
                <w:bCs/>
                <w:color w:val="000000" w:themeColor="text1"/>
              </w:rPr>
            </w:pPr>
            <w:r w:rsidRPr="00B25F24">
              <w:rPr>
                <w:b/>
                <w:bCs/>
                <w:color w:val="000000" w:themeColor="text1"/>
              </w:rPr>
              <w:t>Gesamt</w:t>
            </w:r>
            <w:r w:rsidR="0036668A" w:rsidRPr="00B25F24">
              <w:rPr>
                <w:b/>
                <w:bCs/>
                <w:color w:val="000000" w:themeColor="text1"/>
              </w:rPr>
              <w:t>preis in EUR</w:t>
            </w:r>
          </w:p>
        </w:tc>
        <w:tc>
          <w:tcPr>
            <w:tcW w:w="1146" w:type="dxa"/>
          </w:tcPr>
          <w:p w14:paraId="35855925" w14:textId="77777777" w:rsidR="006A0613" w:rsidRPr="00B25F24" w:rsidRDefault="006A0613" w:rsidP="00463E97">
            <w:pPr>
              <w:pStyle w:val="Listenabsatz"/>
              <w:jc w:val="right"/>
              <w:rPr>
                <w:b/>
                <w:bCs/>
                <w:color w:val="000000" w:themeColor="text1"/>
              </w:rPr>
            </w:pPr>
          </w:p>
        </w:tc>
        <w:tc>
          <w:tcPr>
            <w:tcW w:w="2660" w:type="dxa"/>
          </w:tcPr>
          <w:p w14:paraId="17BDE6FB" w14:textId="51686AD5" w:rsidR="006A0613" w:rsidRPr="00B25F24" w:rsidRDefault="00D57EFA" w:rsidP="00463E97">
            <w:pPr>
              <w:pStyle w:val="Listenabsatz"/>
              <w:jc w:val="right"/>
              <w:rPr>
                <w:b/>
                <w:bCs/>
                <w:color w:val="000000" w:themeColor="text1"/>
              </w:rPr>
            </w:pPr>
            <w:r w:rsidRPr="00B25F24">
              <w:rPr>
                <w:b/>
                <w:bCs/>
                <w:color w:val="000000" w:themeColor="text1"/>
              </w:rPr>
              <w:t>10</w:t>
            </w:r>
            <w:r w:rsidR="00216F0A" w:rsidRPr="00B25F24">
              <w:rPr>
                <w:b/>
                <w:bCs/>
                <w:color w:val="000000" w:themeColor="text1"/>
              </w:rPr>
              <w:t>.360</w:t>
            </w:r>
          </w:p>
        </w:tc>
        <w:tc>
          <w:tcPr>
            <w:tcW w:w="2660" w:type="dxa"/>
          </w:tcPr>
          <w:p w14:paraId="57B9A78C" w14:textId="1CE9F403" w:rsidR="006A0613" w:rsidRPr="00B25F24" w:rsidRDefault="00F21623" w:rsidP="00463E97">
            <w:pPr>
              <w:pStyle w:val="Listenabsatz"/>
              <w:jc w:val="right"/>
              <w:rPr>
                <w:b/>
                <w:bCs/>
                <w:color w:val="000000" w:themeColor="text1"/>
              </w:rPr>
            </w:pPr>
            <w:r w:rsidRPr="00B25F24">
              <w:rPr>
                <w:b/>
                <w:bCs/>
                <w:color w:val="000000" w:themeColor="text1"/>
              </w:rPr>
              <w:t>22.089</w:t>
            </w:r>
          </w:p>
        </w:tc>
        <w:tc>
          <w:tcPr>
            <w:tcW w:w="2497" w:type="dxa"/>
          </w:tcPr>
          <w:p w14:paraId="085D8E2A" w14:textId="74F559DC" w:rsidR="006A0613" w:rsidRPr="00E03780" w:rsidRDefault="008F3D31" w:rsidP="00463E97">
            <w:pPr>
              <w:pStyle w:val="Listenabsatz"/>
              <w:jc w:val="right"/>
              <w:rPr>
                <w:b/>
                <w:bCs/>
                <w:color w:val="000000" w:themeColor="text1"/>
              </w:rPr>
            </w:pPr>
            <w:r>
              <w:rPr>
                <w:b/>
                <w:bCs/>
                <w:color w:val="000000" w:themeColor="text1"/>
              </w:rPr>
              <w:t>2</w:t>
            </w:r>
            <w:r w:rsidR="00E9649D">
              <w:rPr>
                <w:b/>
                <w:bCs/>
                <w:color w:val="000000" w:themeColor="text1"/>
              </w:rPr>
              <w:t>2.089</w:t>
            </w:r>
          </w:p>
        </w:tc>
      </w:tr>
      <w:bookmarkEnd w:id="0"/>
    </w:tbl>
    <w:p w14:paraId="0F29BEF9" w14:textId="77777777" w:rsidR="00E322D8" w:rsidRDefault="00E322D8" w:rsidP="00F86EB4">
      <w:pPr>
        <w:pStyle w:val="Listenabsatz"/>
        <w:tabs>
          <w:tab w:val="left" w:pos="567"/>
        </w:tabs>
        <w:spacing w:after="0" w:line="264" w:lineRule="auto"/>
        <w:ind w:left="0"/>
        <w:jc w:val="both"/>
        <w:rPr>
          <w:bCs/>
          <w:color w:val="000000"/>
        </w:rPr>
      </w:pPr>
    </w:p>
    <w:p w14:paraId="4F901247" w14:textId="20E84205" w:rsidR="00E322D8" w:rsidRDefault="00C27B4E" w:rsidP="22C733FF">
      <w:pPr>
        <w:pStyle w:val="Listenabsatz"/>
        <w:tabs>
          <w:tab w:val="left" w:pos="567"/>
        </w:tabs>
        <w:spacing w:after="0" w:line="264" w:lineRule="auto"/>
        <w:ind w:left="0"/>
        <w:jc w:val="both"/>
        <w:rPr>
          <w:color w:val="000000" w:themeColor="text1"/>
        </w:rPr>
      </w:pPr>
      <w:r w:rsidRPr="22C733FF">
        <w:rPr>
          <w:color w:val="000000" w:themeColor="text1"/>
        </w:rPr>
        <w:lastRenderedPageBreak/>
        <w:t>Darüber hinaus plant die Partnerorganisation die Schaffung eines vierten Arbeitsplatzes im Fräslabor anhand der Nutzung der durch die Einrichtung des Labors in vorhandenen Räumlichkeiten des UTH entstandenen Einsparungen. Dies wurde bereits im September 2018 durch Frau Fritz per E-Mail bewilligt. D</w:t>
      </w:r>
      <w:r w:rsidR="00E641D4">
        <w:rPr>
          <w:color w:val="000000" w:themeColor="text1"/>
        </w:rPr>
        <w:t>urch d</w:t>
      </w:r>
      <w:r w:rsidRPr="22C733FF">
        <w:rPr>
          <w:color w:val="000000" w:themeColor="text1"/>
        </w:rPr>
        <w:t>ie Ausstattung der zusätzlichen Arbeitsstation w</w:t>
      </w:r>
      <w:r w:rsidR="00022AFC">
        <w:rPr>
          <w:color w:val="000000" w:themeColor="text1"/>
        </w:rPr>
        <w:t>erden</w:t>
      </w:r>
      <w:r w:rsidRPr="22C733FF">
        <w:rPr>
          <w:color w:val="000000" w:themeColor="text1"/>
        </w:rPr>
        <w:t xml:space="preserve"> die Kapazitäten zur Ausbildung</w:t>
      </w:r>
      <w:r w:rsidR="001E4B9B">
        <w:rPr>
          <w:color w:val="000000" w:themeColor="text1"/>
        </w:rPr>
        <w:t xml:space="preserve"> von Ohrenchirurgen sowie die </w:t>
      </w:r>
      <w:r w:rsidRPr="22C733FF">
        <w:rPr>
          <w:color w:val="000000" w:themeColor="text1"/>
        </w:rPr>
        <w:t>kontinuierliche praktische Anwendung</w:t>
      </w:r>
      <w:r w:rsidR="001E4B9B">
        <w:rPr>
          <w:color w:val="000000" w:themeColor="text1"/>
        </w:rPr>
        <w:t xml:space="preserve"> des erlernten Fachwissens</w:t>
      </w:r>
      <w:r w:rsidR="00022AFC">
        <w:rPr>
          <w:color w:val="000000" w:themeColor="text1"/>
        </w:rPr>
        <w:t xml:space="preserve"> weiter verbessert. Hierdurch können die erlernten Fähigkeiten weiter gesteigert werden.</w:t>
      </w:r>
      <w:r w:rsidR="00924740" w:rsidRPr="22C733FF">
        <w:rPr>
          <w:color w:val="000000" w:themeColor="text1"/>
        </w:rPr>
        <w:t xml:space="preserve"> Hierfür kalkuliert der Partner folgende Kosten:</w:t>
      </w:r>
    </w:p>
    <w:p w14:paraId="769726E2" w14:textId="1FBB9F7E" w:rsidR="00D64898" w:rsidRDefault="00D64898" w:rsidP="22C733FF">
      <w:pPr>
        <w:pStyle w:val="Listenabsatz"/>
        <w:tabs>
          <w:tab w:val="left" w:pos="567"/>
        </w:tabs>
        <w:spacing w:after="0" w:line="264" w:lineRule="auto"/>
        <w:ind w:left="0"/>
        <w:jc w:val="both"/>
        <w:rPr>
          <w:color w:val="000000" w:themeColor="text1"/>
        </w:rPr>
      </w:pPr>
    </w:p>
    <w:tbl>
      <w:tblPr>
        <w:tblStyle w:val="TabellemithellemGitternetz"/>
        <w:tblW w:w="11262" w:type="dxa"/>
        <w:jc w:val="center"/>
        <w:tblLayout w:type="fixed"/>
        <w:tblLook w:val="06A0" w:firstRow="1" w:lastRow="0" w:firstColumn="1" w:lastColumn="0" w:noHBand="1" w:noVBand="1"/>
      </w:tblPr>
      <w:tblGrid>
        <w:gridCol w:w="2300"/>
        <w:gridCol w:w="1355"/>
        <w:gridCol w:w="2589"/>
        <w:gridCol w:w="2589"/>
        <w:gridCol w:w="2429"/>
      </w:tblGrid>
      <w:tr w:rsidR="00E337F9" w:rsidRPr="00E03780" w14:paraId="0A8803F9" w14:textId="77777777" w:rsidTr="002C3F78">
        <w:trPr>
          <w:trHeight w:val="281"/>
          <w:jc w:val="center"/>
        </w:trPr>
        <w:tc>
          <w:tcPr>
            <w:tcW w:w="2300" w:type="dxa"/>
            <w:shd w:val="clear" w:color="auto" w:fill="E7E6E6" w:themeFill="background2"/>
          </w:tcPr>
          <w:p w14:paraId="02072D44" w14:textId="77777777" w:rsidR="00E337F9" w:rsidRPr="00B25F24" w:rsidRDefault="00E337F9" w:rsidP="005D5C94">
            <w:pPr>
              <w:pStyle w:val="Listenabsatz"/>
              <w:spacing w:after="0"/>
              <w:ind w:hanging="264"/>
              <w:rPr>
                <w:b/>
                <w:bCs/>
              </w:rPr>
            </w:pPr>
            <w:r w:rsidRPr="00B25F24">
              <w:rPr>
                <w:b/>
                <w:bCs/>
                <w:color w:val="000000" w:themeColor="text1"/>
              </w:rPr>
              <w:t>Kostenart</w:t>
            </w:r>
          </w:p>
        </w:tc>
        <w:tc>
          <w:tcPr>
            <w:tcW w:w="1355" w:type="dxa"/>
            <w:shd w:val="clear" w:color="auto" w:fill="E7E6E6" w:themeFill="background2"/>
          </w:tcPr>
          <w:p w14:paraId="68603C81" w14:textId="77777777" w:rsidR="00E337F9" w:rsidRPr="00B25F24" w:rsidRDefault="00E337F9" w:rsidP="003A69AE">
            <w:pPr>
              <w:pStyle w:val="Listenabsatz"/>
              <w:spacing w:after="0"/>
              <w:ind w:left="461" w:hanging="145"/>
              <w:rPr>
                <w:b/>
                <w:bCs/>
              </w:rPr>
            </w:pPr>
            <w:r w:rsidRPr="00B25F24">
              <w:rPr>
                <w:b/>
                <w:bCs/>
                <w:color w:val="000000" w:themeColor="text1"/>
              </w:rPr>
              <w:t>Anzahl</w:t>
            </w:r>
          </w:p>
        </w:tc>
        <w:tc>
          <w:tcPr>
            <w:tcW w:w="2589" w:type="dxa"/>
            <w:shd w:val="clear" w:color="auto" w:fill="E7E6E6" w:themeFill="background2"/>
          </w:tcPr>
          <w:p w14:paraId="1A28D4FF" w14:textId="77777777" w:rsidR="00E337F9" w:rsidRPr="00B25F24" w:rsidRDefault="00E337F9" w:rsidP="00E337F9">
            <w:pPr>
              <w:pStyle w:val="Listenabsatz"/>
              <w:ind w:left="319" w:hanging="142"/>
              <w:rPr>
                <w:b/>
                <w:bCs/>
                <w:color w:val="000000" w:themeColor="text1"/>
              </w:rPr>
            </w:pPr>
            <w:r w:rsidRPr="00B25F24">
              <w:rPr>
                <w:b/>
                <w:bCs/>
                <w:color w:val="000000" w:themeColor="text1"/>
              </w:rPr>
              <w:t>Preis/Einheit in EUR</w:t>
            </w:r>
          </w:p>
          <w:p w14:paraId="73ADF763" w14:textId="2B7FEAAB" w:rsidR="00E337F9" w:rsidRPr="00B25F24" w:rsidRDefault="00E337F9" w:rsidP="00E337F9">
            <w:pPr>
              <w:pStyle w:val="Listenabsatz"/>
              <w:ind w:left="319" w:hanging="142"/>
              <w:rPr>
                <w:b/>
                <w:bCs/>
                <w:color w:val="000000" w:themeColor="text1"/>
              </w:rPr>
            </w:pPr>
            <w:r w:rsidRPr="00B25F24">
              <w:rPr>
                <w:b/>
                <w:bCs/>
                <w:color w:val="000000" w:themeColor="text1"/>
              </w:rPr>
              <w:t>Projektentwicklung</w:t>
            </w:r>
          </w:p>
        </w:tc>
        <w:tc>
          <w:tcPr>
            <w:tcW w:w="2589" w:type="dxa"/>
            <w:shd w:val="clear" w:color="auto" w:fill="E7E6E6" w:themeFill="background2"/>
          </w:tcPr>
          <w:p w14:paraId="4EFE008C" w14:textId="4B5942A4" w:rsidR="00E337F9" w:rsidRPr="00B25F24" w:rsidRDefault="00E337F9" w:rsidP="00E337F9">
            <w:pPr>
              <w:pStyle w:val="Listenabsatz"/>
              <w:ind w:left="0" w:firstLine="737"/>
              <w:rPr>
                <w:b/>
                <w:bCs/>
                <w:color w:val="000000" w:themeColor="text1"/>
              </w:rPr>
            </w:pPr>
            <w:r w:rsidRPr="00B25F24">
              <w:rPr>
                <w:b/>
                <w:bCs/>
                <w:color w:val="000000" w:themeColor="text1"/>
              </w:rPr>
              <w:t>Aktueller Marktpreis/Einheit in EUR</w:t>
            </w:r>
          </w:p>
        </w:tc>
        <w:tc>
          <w:tcPr>
            <w:tcW w:w="2429" w:type="dxa"/>
            <w:shd w:val="clear" w:color="auto" w:fill="E7E6E6" w:themeFill="background2"/>
          </w:tcPr>
          <w:p w14:paraId="0167E9FB" w14:textId="01623C36" w:rsidR="00E337F9" w:rsidRPr="00E03780" w:rsidRDefault="00C02429" w:rsidP="00C02429">
            <w:pPr>
              <w:pStyle w:val="Listenabsatz"/>
              <w:ind w:left="148" w:firstLine="426"/>
              <w:rPr>
                <w:b/>
                <w:bCs/>
                <w:color w:val="000000" w:themeColor="text1"/>
              </w:rPr>
            </w:pPr>
            <w:r>
              <w:rPr>
                <w:b/>
                <w:bCs/>
                <w:color w:val="000000" w:themeColor="text1"/>
              </w:rPr>
              <w:t xml:space="preserve">Aktueller </w:t>
            </w:r>
            <w:r w:rsidR="00E337F9" w:rsidRPr="00E03780">
              <w:rPr>
                <w:b/>
                <w:bCs/>
                <w:color w:val="000000" w:themeColor="text1"/>
              </w:rPr>
              <w:t>Gesamtpreis in EUR</w:t>
            </w:r>
          </w:p>
        </w:tc>
      </w:tr>
      <w:tr w:rsidR="00E337F9" w14:paraId="160FF0A8" w14:textId="77777777" w:rsidTr="002C3F78">
        <w:trPr>
          <w:trHeight w:val="338"/>
          <w:jc w:val="center"/>
        </w:trPr>
        <w:tc>
          <w:tcPr>
            <w:tcW w:w="2300" w:type="dxa"/>
          </w:tcPr>
          <w:p w14:paraId="1F0D2D5E" w14:textId="77777777" w:rsidR="00E337F9" w:rsidRPr="00B25F24" w:rsidRDefault="00E337F9" w:rsidP="005D5C94">
            <w:pPr>
              <w:pStyle w:val="Listenabsatz"/>
              <w:ind w:left="315"/>
            </w:pPr>
            <w:r w:rsidRPr="00B25F24">
              <w:t>Bohrgerät (</w:t>
            </w:r>
            <w:proofErr w:type="spellStart"/>
            <w:r w:rsidRPr="00B25F24">
              <w:t>Nouvag</w:t>
            </w:r>
            <w:proofErr w:type="spellEnd"/>
            <w:r w:rsidRPr="00B25F24">
              <w:t>)</w:t>
            </w:r>
          </w:p>
        </w:tc>
        <w:tc>
          <w:tcPr>
            <w:tcW w:w="1355" w:type="dxa"/>
          </w:tcPr>
          <w:p w14:paraId="5792402F" w14:textId="4520A9BD" w:rsidR="00E337F9" w:rsidRPr="00B25F24" w:rsidRDefault="00E337F9" w:rsidP="005D5C94">
            <w:pPr>
              <w:pStyle w:val="Listenabsatz"/>
              <w:jc w:val="right"/>
            </w:pPr>
            <w:r w:rsidRPr="00B25F24">
              <w:t>1</w:t>
            </w:r>
          </w:p>
        </w:tc>
        <w:tc>
          <w:tcPr>
            <w:tcW w:w="2589" w:type="dxa"/>
          </w:tcPr>
          <w:p w14:paraId="2626A1FB" w14:textId="3B96BAB9" w:rsidR="00E337F9" w:rsidRPr="00B25F24" w:rsidRDefault="00177724" w:rsidP="005D5C94">
            <w:pPr>
              <w:pStyle w:val="Listenabsatz"/>
              <w:jc w:val="right"/>
            </w:pPr>
            <w:r w:rsidRPr="00B25F24">
              <w:t>3.000</w:t>
            </w:r>
          </w:p>
        </w:tc>
        <w:tc>
          <w:tcPr>
            <w:tcW w:w="2589" w:type="dxa"/>
          </w:tcPr>
          <w:p w14:paraId="20B522C8" w14:textId="42F58B89" w:rsidR="00E337F9" w:rsidRPr="00B25F24" w:rsidRDefault="00177724" w:rsidP="005D5C94">
            <w:pPr>
              <w:pStyle w:val="Listenabsatz"/>
              <w:jc w:val="right"/>
            </w:pPr>
            <w:r w:rsidRPr="00B25F24">
              <w:t>6.555</w:t>
            </w:r>
          </w:p>
        </w:tc>
        <w:tc>
          <w:tcPr>
            <w:tcW w:w="2429" w:type="dxa"/>
          </w:tcPr>
          <w:p w14:paraId="60040A67" w14:textId="1806A56D" w:rsidR="00E337F9" w:rsidRPr="005359E6" w:rsidRDefault="00177724" w:rsidP="005D5C94">
            <w:pPr>
              <w:pStyle w:val="Listenabsatz"/>
              <w:jc w:val="right"/>
            </w:pPr>
            <w:r w:rsidRPr="005359E6">
              <w:t>6.555</w:t>
            </w:r>
          </w:p>
        </w:tc>
      </w:tr>
      <w:tr w:rsidR="00E337F9" w14:paraId="6EC27442" w14:textId="77777777" w:rsidTr="002C3F78">
        <w:trPr>
          <w:trHeight w:val="517"/>
          <w:jc w:val="center"/>
        </w:trPr>
        <w:tc>
          <w:tcPr>
            <w:tcW w:w="2300" w:type="dxa"/>
          </w:tcPr>
          <w:p w14:paraId="7C900B55" w14:textId="21F69FC2" w:rsidR="00E337F9" w:rsidRPr="00B25F24" w:rsidRDefault="00E337F9" w:rsidP="00FD4430">
            <w:pPr>
              <w:pStyle w:val="Listenabsatz"/>
              <w:ind w:left="315"/>
            </w:pPr>
            <w:r w:rsidRPr="00B25F24">
              <w:t>Mikroskop (Kaps)</w:t>
            </w:r>
          </w:p>
        </w:tc>
        <w:tc>
          <w:tcPr>
            <w:tcW w:w="1355" w:type="dxa"/>
          </w:tcPr>
          <w:p w14:paraId="3D0FC5D3" w14:textId="10C92EF5" w:rsidR="00E337F9" w:rsidRPr="00B25F24" w:rsidRDefault="00E337F9" w:rsidP="00FD4430">
            <w:pPr>
              <w:pStyle w:val="Listenabsatz"/>
              <w:jc w:val="right"/>
            </w:pPr>
            <w:r w:rsidRPr="00B25F24">
              <w:t>1</w:t>
            </w:r>
          </w:p>
        </w:tc>
        <w:tc>
          <w:tcPr>
            <w:tcW w:w="2589" w:type="dxa"/>
          </w:tcPr>
          <w:p w14:paraId="031751A3" w14:textId="6A4F8837" w:rsidR="00E337F9" w:rsidRPr="00B25F24" w:rsidRDefault="004846EA" w:rsidP="00FD4430">
            <w:pPr>
              <w:pStyle w:val="Listenabsatz"/>
              <w:jc w:val="right"/>
            </w:pPr>
            <w:r w:rsidRPr="00B25F24">
              <w:t>4.666</w:t>
            </w:r>
          </w:p>
        </w:tc>
        <w:tc>
          <w:tcPr>
            <w:tcW w:w="2589" w:type="dxa"/>
          </w:tcPr>
          <w:p w14:paraId="2124F291" w14:textId="00181B84" w:rsidR="00E337F9" w:rsidRPr="00B25F24" w:rsidRDefault="004846EA" w:rsidP="00FD4430">
            <w:pPr>
              <w:pStyle w:val="Listenabsatz"/>
              <w:jc w:val="right"/>
            </w:pPr>
            <w:r w:rsidRPr="00B25F24">
              <w:t>13.110</w:t>
            </w:r>
          </w:p>
        </w:tc>
        <w:tc>
          <w:tcPr>
            <w:tcW w:w="2429" w:type="dxa"/>
          </w:tcPr>
          <w:p w14:paraId="217A6005" w14:textId="7C69F334" w:rsidR="00E337F9" w:rsidRPr="005359E6" w:rsidRDefault="004846EA" w:rsidP="00FD4430">
            <w:pPr>
              <w:pStyle w:val="Listenabsatz"/>
              <w:jc w:val="right"/>
            </w:pPr>
            <w:r w:rsidRPr="005359E6">
              <w:t>13.11</w:t>
            </w:r>
            <w:r w:rsidR="00CE56F3" w:rsidRPr="005359E6">
              <w:t>0</w:t>
            </w:r>
          </w:p>
        </w:tc>
      </w:tr>
      <w:tr w:rsidR="00E337F9" w14:paraId="3AC3C4AE" w14:textId="77777777" w:rsidTr="002C3F78">
        <w:trPr>
          <w:trHeight w:val="281"/>
          <w:jc w:val="center"/>
        </w:trPr>
        <w:tc>
          <w:tcPr>
            <w:tcW w:w="2300" w:type="dxa"/>
          </w:tcPr>
          <w:p w14:paraId="34F2FD04" w14:textId="3F637AD5" w:rsidR="00E337F9" w:rsidRPr="00B25F24" w:rsidRDefault="00E337F9" w:rsidP="00FD4430">
            <w:pPr>
              <w:pStyle w:val="Listenabsatz"/>
              <w:ind w:left="315"/>
            </w:pPr>
            <w:r w:rsidRPr="00B25F24">
              <w:t>Sezierinstrumente (Set)</w:t>
            </w:r>
          </w:p>
        </w:tc>
        <w:tc>
          <w:tcPr>
            <w:tcW w:w="1355" w:type="dxa"/>
          </w:tcPr>
          <w:p w14:paraId="68E151CD" w14:textId="11DF6552" w:rsidR="00E337F9" w:rsidRPr="00B25F24" w:rsidRDefault="00E337F9" w:rsidP="00FD4430">
            <w:pPr>
              <w:pStyle w:val="Listenabsatz"/>
              <w:jc w:val="right"/>
            </w:pPr>
            <w:r w:rsidRPr="00B25F24">
              <w:t>1</w:t>
            </w:r>
          </w:p>
        </w:tc>
        <w:tc>
          <w:tcPr>
            <w:tcW w:w="2589" w:type="dxa"/>
          </w:tcPr>
          <w:p w14:paraId="26FB17E0" w14:textId="789E9725" w:rsidR="00E337F9" w:rsidRPr="00B25F24" w:rsidRDefault="001E28DB" w:rsidP="00FD4430">
            <w:pPr>
              <w:pStyle w:val="Listenabsatz"/>
              <w:jc w:val="right"/>
            </w:pPr>
            <w:r w:rsidRPr="00B25F24">
              <w:t>1.500</w:t>
            </w:r>
          </w:p>
        </w:tc>
        <w:tc>
          <w:tcPr>
            <w:tcW w:w="2589" w:type="dxa"/>
          </w:tcPr>
          <w:p w14:paraId="270C0D07" w14:textId="0D496372" w:rsidR="00E337F9" w:rsidRPr="00B25F24" w:rsidRDefault="001E28DB" w:rsidP="00FD4430">
            <w:pPr>
              <w:pStyle w:val="Listenabsatz"/>
              <w:jc w:val="right"/>
            </w:pPr>
            <w:r w:rsidRPr="00B25F24">
              <w:t>3.175</w:t>
            </w:r>
          </w:p>
        </w:tc>
        <w:tc>
          <w:tcPr>
            <w:tcW w:w="2429" w:type="dxa"/>
          </w:tcPr>
          <w:p w14:paraId="145C7A12" w14:textId="0AF05317" w:rsidR="00E337F9" w:rsidRPr="005359E6" w:rsidRDefault="001E01D0" w:rsidP="00FD4430">
            <w:pPr>
              <w:pStyle w:val="Listenabsatz"/>
              <w:jc w:val="right"/>
            </w:pPr>
            <w:r w:rsidRPr="005359E6">
              <w:t>3.175</w:t>
            </w:r>
          </w:p>
        </w:tc>
      </w:tr>
      <w:tr w:rsidR="00E337F9" w14:paraId="2FDF999C" w14:textId="77777777" w:rsidTr="002C3F78">
        <w:trPr>
          <w:trHeight w:val="281"/>
          <w:jc w:val="center"/>
        </w:trPr>
        <w:tc>
          <w:tcPr>
            <w:tcW w:w="2300" w:type="dxa"/>
          </w:tcPr>
          <w:p w14:paraId="76D1C1C8" w14:textId="390F68A4" w:rsidR="00E337F9" w:rsidRPr="00B25F24" w:rsidRDefault="00E337F9" w:rsidP="00FD4430">
            <w:pPr>
              <w:pStyle w:val="Listenabsatz"/>
              <w:ind w:left="315"/>
            </w:pPr>
            <w:r w:rsidRPr="00B25F24">
              <w:t>Chirurgischer Arbeitsstuhl (Ecco Pedes)</w:t>
            </w:r>
          </w:p>
        </w:tc>
        <w:tc>
          <w:tcPr>
            <w:tcW w:w="1355" w:type="dxa"/>
          </w:tcPr>
          <w:p w14:paraId="680400BA" w14:textId="1F2E333F" w:rsidR="00E337F9" w:rsidRPr="00B25F24" w:rsidRDefault="00E337F9" w:rsidP="00FD4430">
            <w:pPr>
              <w:pStyle w:val="Listenabsatz"/>
              <w:jc w:val="right"/>
            </w:pPr>
            <w:r w:rsidRPr="00B25F24">
              <w:t>1</w:t>
            </w:r>
          </w:p>
        </w:tc>
        <w:tc>
          <w:tcPr>
            <w:tcW w:w="2589" w:type="dxa"/>
          </w:tcPr>
          <w:p w14:paraId="57510349" w14:textId="27B1BFAC" w:rsidR="00E337F9" w:rsidRPr="00B25F24" w:rsidRDefault="00B26C19" w:rsidP="00FD4430">
            <w:pPr>
              <w:pStyle w:val="Listenabsatz"/>
              <w:jc w:val="right"/>
            </w:pPr>
            <w:r w:rsidRPr="00B25F24">
              <w:t>120</w:t>
            </w:r>
          </w:p>
        </w:tc>
        <w:tc>
          <w:tcPr>
            <w:tcW w:w="2589" w:type="dxa"/>
          </w:tcPr>
          <w:p w14:paraId="7C9CCF23" w14:textId="25748F76" w:rsidR="00E337F9" w:rsidRPr="00B25F24" w:rsidRDefault="00B26C19" w:rsidP="00FD4430">
            <w:pPr>
              <w:pStyle w:val="Listenabsatz"/>
              <w:jc w:val="right"/>
            </w:pPr>
            <w:r w:rsidRPr="00B25F24">
              <w:t>428</w:t>
            </w:r>
          </w:p>
        </w:tc>
        <w:tc>
          <w:tcPr>
            <w:tcW w:w="2429" w:type="dxa"/>
          </w:tcPr>
          <w:p w14:paraId="26C35D50" w14:textId="209AC6E5" w:rsidR="00E337F9" w:rsidRPr="005359E6" w:rsidRDefault="00177724" w:rsidP="00FD4430">
            <w:pPr>
              <w:pStyle w:val="Listenabsatz"/>
              <w:jc w:val="right"/>
            </w:pPr>
            <w:r w:rsidRPr="005359E6">
              <w:t>428</w:t>
            </w:r>
          </w:p>
        </w:tc>
      </w:tr>
      <w:tr w:rsidR="00E337F9" w:rsidRPr="00E03780" w14:paraId="61EA6BE5" w14:textId="77777777" w:rsidTr="002C3F78">
        <w:trPr>
          <w:trHeight w:val="281"/>
          <w:jc w:val="center"/>
        </w:trPr>
        <w:tc>
          <w:tcPr>
            <w:tcW w:w="2300" w:type="dxa"/>
          </w:tcPr>
          <w:p w14:paraId="035D0D46" w14:textId="77607E9D" w:rsidR="00E337F9" w:rsidRPr="00B25F24" w:rsidRDefault="00E337F9" w:rsidP="00FD4430">
            <w:pPr>
              <w:pStyle w:val="Listenabsatz"/>
              <w:ind w:left="315"/>
              <w:rPr>
                <w:b/>
                <w:bCs/>
                <w:color w:val="000000" w:themeColor="text1"/>
              </w:rPr>
            </w:pPr>
            <w:r w:rsidRPr="00B25F24">
              <w:rPr>
                <w:b/>
                <w:bCs/>
                <w:color w:val="000000" w:themeColor="text1"/>
              </w:rPr>
              <w:t>Gesamt</w:t>
            </w:r>
            <w:r w:rsidR="00C02429" w:rsidRPr="00B25F24">
              <w:rPr>
                <w:b/>
                <w:bCs/>
                <w:color w:val="000000" w:themeColor="text1"/>
              </w:rPr>
              <w:t>preis in EUR</w:t>
            </w:r>
          </w:p>
        </w:tc>
        <w:tc>
          <w:tcPr>
            <w:tcW w:w="1355" w:type="dxa"/>
          </w:tcPr>
          <w:p w14:paraId="23D2E38A" w14:textId="77777777" w:rsidR="00E337F9" w:rsidRPr="00B25F24" w:rsidRDefault="00E337F9" w:rsidP="00FD4430">
            <w:pPr>
              <w:pStyle w:val="Listenabsatz"/>
              <w:jc w:val="right"/>
              <w:rPr>
                <w:b/>
                <w:bCs/>
                <w:color w:val="000000" w:themeColor="text1"/>
              </w:rPr>
            </w:pPr>
          </w:p>
        </w:tc>
        <w:tc>
          <w:tcPr>
            <w:tcW w:w="2589" w:type="dxa"/>
          </w:tcPr>
          <w:p w14:paraId="3710D20D" w14:textId="23C68930" w:rsidR="00E337F9" w:rsidRPr="00B25F24" w:rsidRDefault="005761E6" w:rsidP="00FD4430">
            <w:pPr>
              <w:pStyle w:val="Listenabsatz"/>
              <w:jc w:val="right"/>
              <w:rPr>
                <w:b/>
                <w:bCs/>
                <w:color w:val="000000" w:themeColor="text1"/>
              </w:rPr>
            </w:pPr>
            <w:r w:rsidRPr="00B25F24">
              <w:rPr>
                <w:b/>
                <w:bCs/>
                <w:color w:val="000000" w:themeColor="text1"/>
              </w:rPr>
              <w:t>9.286</w:t>
            </w:r>
          </w:p>
        </w:tc>
        <w:tc>
          <w:tcPr>
            <w:tcW w:w="2589" w:type="dxa"/>
          </w:tcPr>
          <w:p w14:paraId="6C6FE5F2" w14:textId="3AB25428" w:rsidR="00E337F9" w:rsidRPr="00B25F24" w:rsidRDefault="008B11CF" w:rsidP="00FD4430">
            <w:pPr>
              <w:pStyle w:val="Listenabsatz"/>
              <w:jc w:val="right"/>
              <w:rPr>
                <w:b/>
                <w:bCs/>
                <w:color w:val="000000" w:themeColor="text1"/>
              </w:rPr>
            </w:pPr>
            <w:r w:rsidRPr="00B25F24">
              <w:rPr>
                <w:b/>
                <w:bCs/>
                <w:color w:val="000000" w:themeColor="text1"/>
              </w:rPr>
              <w:t>23.268</w:t>
            </w:r>
          </w:p>
        </w:tc>
        <w:tc>
          <w:tcPr>
            <w:tcW w:w="2429" w:type="dxa"/>
          </w:tcPr>
          <w:p w14:paraId="1BD55354" w14:textId="6F711B0C" w:rsidR="00E337F9" w:rsidRPr="00E03780" w:rsidRDefault="00BD5C6F" w:rsidP="00FD4430">
            <w:pPr>
              <w:pStyle w:val="Listenabsatz"/>
              <w:jc w:val="right"/>
              <w:rPr>
                <w:b/>
                <w:bCs/>
                <w:color w:val="000000" w:themeColor="text1"/>
              </w:rPr>
            </w:pPr>
            <w:r>
              <w:rPr>
                <w:b/>
                <w:bCs/>
                <w:color w:val="000000" w:themeColor="text1"/>
              </w:rPr>
              <w:t>23.268</w:t>
            </w:r>
          </w:p>
        </w:tc>
      </w:tr>
    </w:tbl>
    <w:p w14:paraId="77D35117" w14:textId="77777777" w:rsidR="00034D19" w:rsidRDefault="00034D19" w:rsidP="009D2243">
      <w:pPr>
        <w:spacing w:before="240" w:afterLines="40" w:after="96"/>
        <w:jc w:val="both"/>
        <w:rPr>
          <w:b/>
          <w:color w:val="000000"/>
        </w:rPr>
      </w:pPr>
    </w:p>
    <w:p w14:paraId="78EED090" w14:textId="0347E2C5" w:rsidR="00E553B6" w:rsidRPr="00E553B6" w:rsidRDefault="00E553B6" w:rsidP="009D2243">
      <w:pPr>
        <w:spacing w:before="240" w:afterLines="40" w:after="96"/>
        <w:jc w:val="both"/>
        <w:rPr>
          <w:b/>
          <w:color w:val="000000"/>
        </w:rPr>
      </w:pPr>
      <w:r w:rsidRPr="00E553B6">
        <w:rPr>
          <w:b/>
          <w:color w:val="000000"/>
        </w:rPr>
        <w:t xml:space="preserve">Beschaffung von Ausrüstung für die </w:t>
      </w:r>
      <w:proofErr w:type="spellStart"/>
      <w:r w:rsidRPr="00E553B6">
        <w:rPr>
          <w:b/>
          <w:color w:val="000000"/>
        </w:rPr>
        <w:t>Hörgeräteakustiker_innen</w:t>
      </w:r>
      <w:proofErr w:type="spellEnd"/>
      <w:r>
        <w:rPr>
          <w:b/>
          <w:color w:val="000000"/>
        </w:rPr>
        <w:t xml:space="preserve"> (</w:t>
      </w:r>
      <w:r w:rsidR="00793608">
        <w:rPr>
          <w:b/>
          <w:color w:val="000000"/>
        </w:rPr>
        <w:t>39.102</w:t>
      </w:r>
      <w:r>
        <w:rPr>
          <w:b/>
          <w:color w:val="000000"/>
        </w:rPr>
        <w:t xml:space="preserve"> EUR, BMZ BL 1.1.1)</w:t>
      </w:r>
    </w:p>
    <w:p w14:paraId="7CC421E4" w14:textId="4B51F8C5" w:rsidR="004040DD" w:rsidRDefault="004040DD" w:rsidP="22C733FF">
      <w:pPr>
        <w:spacing w:before="240" w:afterLines="40" w:after="96"/>
        <w:jc w:val="both"/>
        <w:rPr>
          <w:color w:val="000000"/>
        </w:rPr>
      </w:pPr>
      <w:r w:rsidRPr="22C733FF">
        <w:rPr>
          <w:color w:val="000000" w:themeColor="text1"/>
        </w:rPr>
        <w:t xml:space="preserve">Im Projektantrag ist vorgesehen, dass im Rahmen des Projektes </w:t>
      </w:r>
      <w:r w:rsidR="00521A0A">
        <w:rPr>
          <w:color w:val="000000" w:themeColor="text1"/>
        </w:rPr>
        <w:t>vier</w:t>
      </w:r>
      <w:r w:rsidRPr="22C733FF">
        <w:rPr>
          <w:color w:val="000000" w:themeColor="text1"/>
        </w:rPr>
        <w:t xml:space="preserve"> </w:t>
      </w:r>
      <w:proofErr w:type="spellStart"/>
      <w:r w:rsidRPr="22C733FF">
        <w:rPr>
          <w:color w:val="000000" w:themeColor="text1"/>
        </w:rPr>
        <w:t>Hörgeräteakustiker_innen</w:t>
      </w:r>
      <w:proofErr w:type="spellEnd"/>
      <w:r w:rsidRPr="22C733FF">
        <w:rPr>
          <w:color w:val="000000" w:themeColor="text1"/>
        </w:rPr>
        <w:t xml:space="preserve"> in einem einjährigen Kurs ausgebildet werden.</w:t>
      </w:r>
      <w:r w:rsidR="00504EA7" w:rsidRPr="22C733FF">
        <w:rPr>
          <w:color w:val="000000" w:themeColor="text1"/>
        </w:rPr>
        <w:t xml:space="preserve"> Da zum Zeitpunkt der Projektplanung keine Ausbildung nach internationalen Standards </w:t>
      </w:r>
      <w:r w:rsidR="00B215C9" w:rsidRPr="22C733FF">
        <w:rPr>
          <w:color w:val="000000" w:themeColor="text1"/>
        </w:rPr>
        <w:t xml:space="preserve">in Sambia </w:t>
      </w:r>
      <w:r w:rsidR="00504EA7" w:rsidRPr="22C733FF">
        <w:rPr>
          <w:color w:val="000000" w:themeColor="text1"/>
        </w:rPr>
        <w:t xml:space="preserve">angeboten wurde, war die Ausbildung in Nairobi, Kenia geplant. </w:t>
      </w:r>
      <w:r w:rsidR="009021F5" w:rsidRPr="22C733FF">
        <w:rPr>
          <w:color w:val="000000" w:themeColor="text1"/>
        </w:rPr>
        <w:t xml:space="preserve">Im Jahr 2019 stellte sich in Gesprächen des Partners mit dem </w:t>
      </w:r>
      <w:proofErr w:type="spellStart"/>
      <w:r w:rsidR="009021F5" w:rsidRPr="22C733FF">
        <w:rPr>
          <w:color w:val="000000" w:themeColor="text1"/>
        </w:rPr>
        <w:t>Starkey</w:t>
      </w:r>
      <w:proofErr w:type="spellEnd"/>
      <w:r w:rsidR="009021F5" w:rsidRPr="22C733FF">
        <w:rPr>
          <w:color w:val="000000" w:themeColor="text1"/>
        </w:rPr>
        <w:t xml:space="preserve"> Hearing Institute </w:t>
      </w:r>
      <w:r w:rsidR="082BAED2" w:rsidRPr="22C733FF">
        <w:rPr>
          <w:color w:val="000000" w:themeColor="text1"/>
        </w:rPr>
        <w:t xml:space="preserve">in Lusaka </w:t>
      </w:r>
      <w:r w:rsidR="009021F5" w:rsidRPr="22C733FF">
        <w:rPr>
          <w:color w:val="000000" w:themeColor="text1"/>
        </w:rPr>
        <w:t xml:space="preserve">heraus, dass </w:t>
      </w:r>
      <w:r w:rsidR="00521A0A">
        <w:rPr>
          <w:color w:val="000000" w:themeColor="text1"/>
        </w:rPr>
        <w:t xml:space="preserve">das </w:t>
      </w:r>
      <w:proofErr w:type="spellStart"/>
      <w:r w:rsidR="00521A0A">
        <w:rPr>
          <w:color w:val="000000" w:themeColor="text1"/>
        </w:rPr>
        <w:t>Starkey</w:t>
      </w:r>
      <w:proofErr w:type="spellEnd"/>
      <w:r w:rsidR="00521A0A">
        <w:rPr>
          <w:color w:val="000000" w:themeColor="text1"/>
        </w:rPr>
        <w:t xml:space="preserve"> Hearing Institute </w:t>
      </w:r>
      <w:r w:rsidR="009021F5" w:rsidRPr="22C733FF">
        <w:rPr>
          <w:color w:val="000000" w:themeColor="text1"/>
        </w:rPr>
        <w:t xml:space="preserve">ein qualifiziertes Ausbildungsprogramm </w:t>
      </w:r>
      <w:r w:rsidR="00B215C9" w:rsidRPr="22C733FF">
        <w:rPr>
          <w:color w:val="000000" w:themeColor="text1"/>
        </w:rPr>
        <w:t xml:space="preserve">für </w:t>
      </w:r>
      <w:proofErr w:type="spellStart"/>
      <w:r w:rsidR="00B215C9" w:rsidRPr="22C733FF">
        <w:rPr>
          <w:color w:val="000000" w:themeColor="text1"/>
        </w:rPr>
        <w:t>Hörgerätetechniker_innen</w:t>
      </w:r>
      <w:proofErr w:type="spellEnd"/>
      <w:r w:rsidR="00B215C9" w:rsidRPr="22C733FF">
        <w:rPr>
          <w:color w:val="000000" w:themeColor="text1"/>
        </w:rPr>
        <w:t xml:space="preserve"> </w:t>
      </w:r>
      <w:r w:rsidR="00521A0A">
        <w:rPr>
          <w:color w:val="000000" w:themeColor="text1"/>
        </w:rPr>
        <w:t>anbietet</w:t>
      </w:r>
      <w:r w:rsidR="4C802D61" w:rsidRPr="22C733FF">
        <w:rPr>
          <w:color w:val="000000" w:themeColor="text1"/>
        </w:rPr>
        <w:t>.</w:t>
      </w:r>
    </w:p>
    <w:p w14:paraId="0B551228" w14:textId="61EE24B4" w:rsidR="00A31837" w:rsidRDefault="00B215C9" w:rsidP="22C733FF">
      <w:pPr>
        <w:spacing w:before="240" w:afterLines="40" w:after="96"/>
        <w:jc w:val="both"/>
        <w:rPr>
          <w:color w:val="000000"/>
        </w:rPr>
      </w:pPr>
      <w:r w:rsidRPr="22C733FF">
        <w:rPr>
          <w:color w:val="000000" w:themeColor="text1"/>
        </w:rPr>
        <w:t>Wie im Zwischennachweis berichtet, konnte im Dezember 2019 bereit</w:t>
      </w:r>
      <w:r w:rsidR="6C4FA2F5" w:rsidRPr="22C733FF">
        <w:rPr>
          <w:color w:val="000000" w:themeColor="text1"/>
        </w:rPr>
        <w:t>s</w:t>
      </w:r>
      <w:r w:rsidRPr="22C733FF">
        <w:rPr>
          <w:color w:val="000000" w:themeColor="text1"/>
        </w:rPr>
        <w:t xml:space="preserve"> ein Hörgerätetechniker am </w:t>
      </w:r>
      <w:proofErr w:type="spellStart"/>
      <w:r w:rsidRPr="22C733FF">
        <w:rPr>
          <w:color w:val="000000" w:themeColor="text1"/>
        </w:rPr>
        <w:t>Starkey</w:t>
      </w:r>
      <w:proofErr w:type="spellEnd"/>
      <w:r w:rsidRPr="22C733FF">
        <w:rPr>
          <w:color w:val="000000" w:themeColor="text1"/>
        </w:rPr>
        <w:t xml:space="preserve"> Hearing Institute seine Ausbildung erfolgreich abschließen. </w:t>
      </w:r>
      <w:r w:rsidR="004040DD" w:rsidRPr="22C733FF">
        <w:rPr>
          <w:color w:val="000000" w:themeColor="text1"/>
        </w:rPr>
        <w:t xml:space="preserve">Er ist seitdem am Livingstone Central Hospital tätig. Außerdem wird er gemeinsam mit Pflegekräften </w:t>
      </w:r>
      <w:proofErr w:type="spellStart"/>
      <w:r w:rsidR="004040DD" w:rsidRPr="22C733FF">
        <w:rPr>
          <w:color w:val="000000" w:themeColor="text1"/>
        </w:rPr>
        <w:t>Outreaches</w:t>
      </w:r>
      <w:proofErr w:type="spellEnd"/>
      <w:r w:rsidR="004040DD" w:rsidRPr="22C733FF">
        <w:rPr>
          <w:color w:val="000000" w:themeColor="text1"/>
        </w:rPr>
        <w:t xml:space="preserve"> und Schulscreenings in und um Livingstone durchführen.</w:t>
      </w:r>
      <w:r w:rsidR="00A31837" w:rsidRPr="22C733FF">
        <w:rPr>
          <w:color w:val="000000" w:themeColor="text1"/>
        </w:rPr>
        <w:t xml:space="preserve"> </w:t>
      </w:r>
    </w:p>
    <w:p w14:paraId="59A6326A" w14:textId="231CD89B" w:rsidR="009C673D" w:rsidRPr="00B215C9" w:rsidRDefault="004040DD" w:rsidP="22C733FF">
      <w:pPr>
        <w:spacing w:before="240" w:afterLines="40" w:after="96"/>
        <w:jc w:val="both"/>
        <w:rPr>
          <w:color w:val="000000"/>
        </w:rPr>
      </w:pPr>
      <w:r w:rsidRPr="22C733FF">
        <w:rPr>
          <w:color w:val="000000" w:themeColor="text1"/>
        </w:rPr>
        <w:t xml:space="preserve">Drei weitere </w:t>
      </w:r>
      <w:proofErr w:type="spellStart"/>
      <w:r w:rsidRPr="22C733FF">
        <w:rPr>
          <w:color w:val="000000" w:themeColor="text1"/>
        </w:rPr>
        <w:t>Hörgerätetechniker_innen</w:t>
      </w:r>
      <w:proofErr w:type="spellEnd"/>
      <w:r w:rsidRPr="22C733FF">
        <w:rPr>
          <w:color w:val="000000" w:themeColor="text1"/>
        </w:rPr>
        <w:t xml:space="preserve"> </w:t>
      </w:r>
      <w:r w:rsidR="006A5D43" w:rsidRPr="22C733FF">
        <w:rPr>
          <w:color w:val="000000" w:themeColor="text1"/>
        </w:rPr>
        <w:t xml:space="preserve">begannen die Ausbildung Anfang 2020 </w:t>
      </w:r>
      <w:r w:rsidR="0010419D">
        <w:rPr>
          <w:color w:val="000000" w:themeColor="text1"/>
        </w:rPr>
        <w:t xml:space="preserve">aufgrund von COVID-19 </w:t>
      </w:r>
      <w:r w:rsidR="006A5D43" w:rsidRPr="22C733FF">
        <w:rPr>
          <w:color w:val="000000" w:themeColor="text1"/>
        </w:rPr>
        <w:t xml:space="preserve">zunächst mit der Teilnahme an virtuellen Veranstaltungen. Seit </w:t>
      </w:r>
      <w:r w:rsidR="0051025C" w:rsidRPr="22C733FF">
        <w:rPr>
          <w:color w:val="000000" w:themeColor="text1"/>
        </w:rPr>
        <w:t>Juli besuchen sie Präsenzveranstaltungen des Ausbildungsinstitutes und werden die Ausbildung Ende des Jahres abschließen.</w:t>
      </w:r>
      <w:r w:rsidR="00A158ED" w:rsidRPr="22C733FF">
        <w:rPr>
          <w:color w:val="000000" w:themeColor="text1"/>
        </w:rPr>
        <w:t xml:space="preserve"> Im Anschluss werden sie an den Krankenhäusern in </w:t>
      </w:r>
      <w:proofErr w:type="spellStart"/>
      <w:r w:rsidR="00A158ED" w:rsidRPr="22C733FF">
        <w:rPr>
          <w:color w:val="000000" w:themeColor="text1"/>
        </w:rPr>
        <w:t>Choma</w:t>
      </w:r>
      <w:proofErr w:type="spellEnd"/>
      <w:r w:rsidR="00A158ED" w:rsidRPr="22C733FF">
        <w:rPr>
          <w:color w:val="000000" w:themeColor="text1"/>
        </w:rPr>
        <w:t xml:space="preserve">, </w:t>
      </w:r>
      <w:proofErr w:type="spellStart"/>
      <w:r w:rsidR="00A158ED" w:rsidRPr="22C733FF">
        <w:rPr>
          <w:color w:val="000000" w:themeColor="text1"/>
        </w:rPr>
        <w:t>Kalom</w:t>
      </w:r>
      <w:r w:rsidR="00DA4F1D">
        <w:rPr>
          <w:color w:val="000000" w:themeColor="text1"/>
        </w:rPr>
        <w:t>a</w:t>
      </w:r>
      <w:proofErr w:type="spellEnd"/>
      <w:r w:rsidR="00A158ED" w:rsidRPr="22C733FF">
        <w:rPr>
          <w:color w:val="000000" w:themeColor="text1"/>
        </w:rPr>
        <w:t xml:space="preserve"> und Livingstone beschäftigt sein.</w:t>
      </w:r>
      <w:r w:rsidR="009C673D" w:rsidRPr="22C733FF">
        <w:rPr>
          <w:color w:val="000000" w:themeColor="text1"/>
        </w:rPr>
        <w:t xml:space="preserve"> Da das Livingstone Central Hospital als Überweisungszentrum dient</w:t>
      </w:r>
      <w:r w:rsidR="00D42CA7" w:rsidRPr="22C733FF">
        <w:rPr>
          <w:color w:val="000000" w:themeColor="text1"/>
        </w:rPr>
        <w:t xml:space="preserve"> und die Behandlung einer Vielzahl </w:t>
      </w:r>
      <w:r w:rsidR="00465C40" w:rsidRPr="22C733FF">
        <w:rPr>
          <w:color w:val="000000" w:themeColor="text1"/>
        </w:rPr>
        <w:t>von</w:t>
      </w:r>
      <w:r w:rsidR="00465C40">
        <w:rPr>
          <w:color w:val="000000" w:themeColor="text1"/>
        </w:rPr>
        <w:t xml:space="preserve"> </w:t>
      </w:r>
      <w:proofErr w:type="spellStart"/>
      <w:r w:rsidR="00465C40" w:rsidRPr="22C733FF">
        <w:rPr>
          <w:color w:val="000000" w:themeColor="text1"/>
        </w:rPr>
        <w:t>Patienten</w:t>
      </w:r>
      <w:r w:rsidR="00D42CA7" w:rsidRPr="22C733FF">
        <w:rPr>
          <w:color w:val="000000" w:themeColor="text1"/>
        </w:rPr>
        <w:t>_innen</w:t>
      </w:r>
      <w:proofErr w:type="spellEnd"/>
      <w:r w:rsidR="00D42CA7" w:rsidRPr="22C733FF">
        <w:rPr>
          <w:color w:val="000000" w:themeColor="text1"/>
        </w:rPr>
        <w:t xml:space="preserve"> durchführt</w:t>
      </w:r>
      <w:r w:rsidR="009C673D" w:rsidRPr="22C733FF">
        <w:rPr>
          <w:color w:val="000000" w:themeColor="text1"/>
        </w:rPr>
        <w:t xml:space="preserve">, wird die Anstellung von zwei </w:t>
      </w:r>
      <w:proofErr w:type="spellStart"/>
      <w:r w:rsidR="009C673D" w:rsidRPr="22C733FF">
        <w:rPr>
          <w:color w:val="000000" w:themeColor="text1"/>
        </w:rPr>
        <w:t>Hörgeräteakustiker_innen</w:t>
      </w:r>
      <w:proofErr w:type="spellEnd"/>
      <w:r w:rsidR="009C673D" w:rsidRPr="22C733FF">
        <w:rPr>
          <w:color w:val="000000" w:themeColor="text1"/>
        </w:rPr>
        <w:t xml:space="preserve"> als sinnvoll erachtet.</w:t>
      </w:r>
      <w:r w:rsidR="005B057C">
        <w:rPr>
          <w:color w:val="000000" w:themeColor="text1"/>
        </w:rPr>
        <w:t xml:space="preserve"> Ursprünglich war geplant, die ausgebildeten </w:t>
      </w:r>
      <w:proofErr w:type="spellStart"/>
      <w:r w:rsidR="005B057C">
        <w:rPr>
          <w:color w:val="000000" w:themeColor="text1"/>
        </w:rPr>
        <w:t>Hör</w:t>
      </w:r>
      <w:r w:rsidR="007D3A37">
        <w:rPr>
          <w:color w:val="000000" w:themeColor="text1"/>
        </w:rPr>
        <w:t>geräte</w:t>
      </w:r>
      <w:r w:rsidR="005B057C">
        <w:rPr>
          <w:color w:val="000000" w:themeColor="text1"/>
        </w:rPr>
        <w:t>techniker_innen</w:t>
      </w:r>
      <w:proofErr w:type="spellEnd"/>
      <w:r w:rsidR="005B057C">
        <w:rPr>
          <w:color w:val="000000" w:themeColor="text1"/>
        </w:rPr>
        <w:t xml:space="preserve"> auf vier Krankenhäuser im Süden des Landes zu verteilen.</w:t>
      </w:r>
    </w:p>
    <w:p w14:paraId="57E8FAF3" w14:textId="6F26B789" w:rsidR="004040DD" w:rsidRDefault="00314D11" w:rsidP="22C733FF">
      <w:pPr>
        <w:spacing w:before="240" w:afterLines="40" w:after="96"/>
        <w:jc w:val="both"/>
        <w:rPr>
          <w:color w:val="000000" w:themeColor="text1"/>
        </w:rPr>
      </w:pPr>
      <w:r w:rsidRPr="22C733FF">
        <w:rPr>
          <w:color w:val="000000" w:themeColor="text1"/>
        </w:rPr>
        <w:lastRenderedPageBreak/>
        <w:t xml:space="preserve">Insgesamt sind durch die Ausbildung am </w:t>
      </w:r>
      <w:proofErr w:type="spellStart"/>
      <w:r w:rsidRPr="22C733FF">
        <w:rPr>
          <w:color w:val="000000" w:themeColor="text1"/>
        </w:rPr>
        <w:t>Starkey</w:t>
      </w:r>
      <w:proofErr w:type="spellEnd"/>
      <w:r w:rsidRPr="22C733FF">
        <w:rPr>
          <w:color w:val="000000" w:themeColor="text1"/>
        </w:rPr>
        <w:t xml:space="preserve"> Hearing Institute wesentlich weniger Kosten entstanden als ursprünglich für </w:t>
      </w:r>
      <w:r w:rsidR="3DDEBC3F" w:rsidRPr="22C733FF">
        <w:rPr>
          <w:color w:val="000000" w:themeColor="text1"/>
        </w:rPr>
        <w:t>Reisekosten</w:t>
      </w:r>
      <w:r w:rsidR="00023976">
        <w:rPr>
          <w:color w:val="000000" w:themeColor="text1"/>
        </w:rPr>
        <w:t xml:space="preserve"> nach Kenia, </w:t>
      </w:r>
      <w:r w:rsidRPr="22C733FF">
        <w:rPr>
          <w:color w:val="000000" w:themeColor="text1"/>
        </w:rPr>
        <w:t xml:space="preserve">Unterkunft, Verpflegung, Lehrmaterialien und Kursgebühren </w:t>
      </w:r>
      <w:r w:rsidR="13F3C815" w:rsidRPr="22C733FF">
        <w:rPr>
          <w:color w:val="000000" w:themeColor="text1"/>
        </w:rPr>
        <w:t xml:space="preserve">im Ausland </w:t>
      </w:r>
      <w:r w:rsidRPr="22C733FF">
        <w:rPr>
          <w:color w:val="000000" w:themeColor="text1"/>
        </w:rPr>
        <w:t>budgetiert waren. Hierdurch sind Einsparungen in Höhe von</w:t>
      </w:r>
      <w:r w:rsidRPr="22C733FF">
        <w:rPr>
          <w:b/>
          <w:bCs/>
          <w:color w:val="000000" w:themeColor="text1"/>
        </w:rPr>
        <w:t xml:space="preserve"> 22.52</w:t>
      </w:r>
      <w:r w:rsidR="002435CD">
        <w:rPr>
          <w:b/>
          <w:bCs/>
          <w:color w:val="000000" w:themeColor="text1"/>
        </w:rPr>
        <w:t>1</w:t>
      </w:r>
      <w:r w:rsidRPr="22C733FF">
        <w:rPr>
          <w:b/>
          <w:bCs/>
          <w:color w:val="000000" w:themeColor="text1"/>
        </w:rPr>
        <w:t xml:space="preserve"> EUR </w:t>
      </w:r>
      <w:r w:rsidRPr="00247E50">
        <w:rPr>
          <w:color w:val="000000" w:themeColor="text1"/>
        </w:rPr>
        <w:t>entstanden</w:t>
      </w:r>
      <w:r w:rsidR="008060AB" w:rsidRPr="00247E50">
        <w:rPr>
          <w:color w:val="000000" w:themeColor="text1"/>
        </w:rPr>
        <w:t xml:space="preserve"> (BMZ BL 1.2.2)</w:t>
      </w:r>
      <w:r w:rsidRPr="00247E50">
        <w:rPr>
          <w:color w:val="000000" w:themeColor="text1"/>
        </w:rPr>
        <w:t>.</w:t>
      </w:r>
    </w:p>
    <w:p w14:paraId="3B5C079E" w14:textId="48FDF885" w:rsidR="00D1317B" w:rsidRDefault="00B928D6" w:rsidP="22C733FF">
      <w:pPr>
        <w:spacing w:before="240" w:afterLines="40" w:after="96"/>
        <w:jc w:val="both"/>
        <w:rPr>
          <w:color w:val="000000" w:themeColor="text1"/>
        </w:rPr>
      </w:pPr>
      <w:r>
        <w:rPr>
          <w:color w:val="000000" w:themeColor="text1"/>
        </w:rPr>
        <w:t>Im Jahr 2019 wurde bereits eine der vier geplanten Hörkabinen konstruiert und am Livingstone Central Hospital aufgebaut.</w:t>
      </w:r>
      <w:r w:rsidR="00A442D9">
        <w:rPr>
          <w:color w:val="000000" w:themeColor="text1"/>
        </w:rPr>
        <w:t xml:space="preserve"> </w:t>
      </w:r>
      <w:r w:rsidR="001A4A24" w:rsidRPr="001A4A24">
        <w:rPr>
          <w:color w:val="000000" w:themeColor="text1"/>
        </w:rPr>
        <w:t xml:space="preserve">Mithilfe der Hörkabinen können die Hörtests in einer schalldichten Umgebung durchgeführt und so ohne Störgeräusche die besten Ergebnisse bei der Einstellung der Geräte nach Hörleistung der </w:t>
      </w:r>
      <w:proofErr w:type="spellStart"/>
      <w:r w:rsidR="001A4A24" w:rsidRPr="001A4A24">
        <w:rPr>
          <w:color w:val="000000" w:themeColor="text1"/>
        </w:rPr>
        <w:t>Patient</w:t>
      </w:r>
      <w:r w:rsidR="001A4A24">
        <w:rPr>
          <w:color w:val="000000" w:themeColor="text1"/>
        </w:rPr>
        <w:t>_</w:t>
      </w:r>
      <w:r w:rsidR="001A4A24" w:rsidRPr="001A4A24">
        <w:rPr>
          <w:color w:val="000000" w:themeColor="text1"/>
        </w:rPr>
        <w:t>innen</w:t>
      </w:r>
      <w:proofErr w:type="spellEnd"/>
      <w:r w:rsidR="001A4A24" w:rsidRPr="001A4A24">
        <w:rPr>
          <w:color w:val="000000" w:themeColor="text1"/>
        </w:rPr>
        <w:t xml:space="preserve"> erreicht werden. </w:t>
      </w:r>
      <w:r w:rsidR="00A442D9">
        <w:rPr>
          <w:color w:val="000000" w:themeColor="text1"/>
        </w:rPr>
        <w:t xml:space="preserve">Zudem wurden Geräte zur Durchführung mobiler </w:t>
      </w:r>
      <w:r w:rsidR="003350A5">
        <w:rPr>
          <w:color w:val="000000" w:themeColor="text1"/>
        </w:rPr>
        <w:t xml:space="preserve">Screenings des </w:t>
      </w:r>
      <w:r w:rsidR="00465C40">
        <w:rPr>
          <w:color w:val="000000" w:themeColor="text1"/>
        </w:rPr>
        <w:t>Hörvermögens,</w:t>
      </w:r>
      <w:r w:rsidR="003350A5">
        <w:rPr>
          <w:color w:val="000000" w:themeColor="text1"/>
        </w:rPr>
        <w:t xml:space="preserve"> </w:t>
      </w:r>
      <w:r w:rsidR="00A442D9">
        <w:rPr>
          <w:color w:val="000000" w:themeColor="text1"/>
        </w:rPr>
        <w:t xml:space="preserve">während </w:t>
      </w:r>
      <w:proofErr w:type="spellStart"/>
      <w:r w:rsidR="00A442D9">
        <w:rPr>
          <w:color w:val="000000" w:themeColor="text1"/>
        </w:rPr>
        <w:t>Outreaches</w:t>
      </w:r>
      <w:proofErr w:type="spellEnd"/>
      <w:r w:rsidR="00A442D9">
        <w:rPr>
          <w:color w:val="000000" w:themeColor="text1"/>
        </w:rPr>
        <w:t xml:space="preserve"> und Schulscreenings wie geplant beschafft.</w:t>
      </w:r>
      <w:r w:rsidR="003350A5">
        <w:rPr>
          <w:color w:val="000000" w:themeColor="text1"/>
        </w:rPr>
        <w:t xml:space="preserve"> Da die </w:t>
      </w:r>
      <w:proofErr w:type="spellStart"/>
      <w:r w:rsidR="003350A5">
        <w:rPr>
          <w:color w:val="000000" w:themeColor="text1"/>
        </w:rPr>
        <w:t>Hörgeräteakustiker_innen</w:t>
      </w:r>
      <w:proofErr w:type="spellEnd"/>
      <w:r w:rsidR="003350A5">
        <w:rPr>
          <w:color w:val="000000" w:themeColor="text1"/>
        </w:rPr>
        <w:t xml:space="preserve"> nun in drei Krankenhäusern eingesetzt werden sollen, beantragt der Partner, dass die Zahl der Hörkabinen entsprechend von </w:t>
      </w:r>
      <w:r w:rsidR="001A4A24">
        <w:rPr>
          <w:color w:val="000000" w:themeColor="text1"/>
        </w:rPr>
        <w:t>vier auf drei</w:t>
      </w:r>
      <w:r w:rsidR="003350A5">
        <w:rPr>
          <w:color w:val="000000" w:themeColor="text1"/>
        </w:rPr>
        <w:t xml:space="preserve"> reduziert wird.</w:t>
      </w:r>
    </w:p>
    <w:p w14:paraId="20560382" w14:textId="216BBC2D" w:rsidR="001952DE" w:rsidRPr="00B25F24" w:rsidRDefault="004C7219" w:rsidP="009D2243">
      <w:pPr>
        <w:spacing w:before="240" w:afterLines="40" w:after="96"/>
        <w:jc w:val="both"/>
        <w:rPr>
          <w:color w:val="000000" w:themeColor="text1"/>
        </w:rPr>
      </w:pPr>
      <w:r w:rsidRPr="00B25F24">
        <w:rPr>
          <w:color w:val="000000" w:themeColor="text1"/>
        </w:rPr>
        <w:t xml:space="preserve">Aufgrund von Wechselkursschwankungen </w:t>
      </w:r>
      <w:r w:rsidR="00C361BD" w:rsidRPr="00B25F24">
        <w:rPr>
          <w:color w:val="000000" w:themeColor="text1"/>
        </w:rPr>
        <w:t>wird</w:t>
      </w:r>
      <w:r w:rsidRPr="00B25F24">
        <w:rPr>
          <w:color w:val="000000" w:themeColor="text1"/>
        </w:rPr>
        <w:t xml:space="preserve"> für die Beschaffung des ausstehenden medizinischen Equipments zur Ausstattung der Hörkabinen</w:t>
      </w:r>
      <w:r w:rsidR="00432955" w:rsidRPr="00B25F24">
        <w:rPr>
          <w:color w:val="000000" w:themeColor="text1"/>
        </w:rPr>
        <w:t xml:space="preserve"> und der audiologischen Abteilung</w:t>
      </w:r>
      <w:r w:rsidRPr="00B25F24">
        <w:rPr>
          <w:color w:val="000000" w:themeColor="text1"/>
        </w:rPr>
        <w:t xml:space="preserve"> ein Mehrbedarf in Höhe von </w:t>
      </w:r>
      <w:r w:rsidR="006E7A31" w:rsidRPr="00B25F24">
        <w:rPr>
          <w:color w:val="000000" w:themeColor="text1"/>
        </w:rPr>
        <w:t>8.</w:t>
      </w:r>
      <w:r w:rsidR="007F6BFC" w:rsidRPr="00B25F24">
        <w:rPr>
          <w:color w:val="000000" w:themeColor="text1"/>
        </w:rPr>
        <w:t>9</w:t>
      </w:r>
      <w:r w:rsidR="006E7A31" w:rsidRPr="00B25F24">
        <w:rPr>
          <w:color w:val="000000" w:themeColor="text1"/>
        </w:rPr>
        <w:t>82</w:t>
      </w:r>
      <w:r w:rsidRPr="00B25F24">
        <w:rPr>
          <w:color w:val="000000" w:themeColor="text1"/>
        </w:rPr>
        <w:t xml:space="preserve"> EUR entst</w:t>
      </w:r>
      <w:r w:rsidR="00C361BD" w:rsidRPr="00B25F24">
        <w:rPr>
          <w:color w:val="000000" w:themeColor="text1"/>
        </w:rPr>
        <w:t>ehe</w:t>
      </w:r>
      <w:r w:rsidRPr="00B25F24">
        <w:rPr>
          <w:color w:val="000000" w:themeColor="text1"/>
        </w:rPr>
        <w:t xml:space="preserve">n. </w:t>
      </w:r>
      <w:r w:rsidR="00A23D39" w:rsidRPr="00B25F24">
        <w:rPr>
          <w:color w:val="000000" w:themeColor="text1"/>
        </w:rPr>
        <w:t>Ursprünglich war</w:t>
      </w:r>
      <w:r w:rsidR="00496EBE" w:rsidRPr="00B25F24">
        <w:rPr>
          <w:color w:val="000000" w:themeColor="text1"/>
        </w:rPr>
        <w:t xml:space="preserve">en außerdem vier </w:t>
      </w:r>
      <w:r w:rsidR="00BD3AD0" w:rsidRPr="00B25F24">
        <w:rPr>
          <w:color w:val="000000" w:themeColor="text1"/>
        </w:rPr>
        <w:t>Set</w:t>
      </w:r>
      <w:r w:rsidR="00496EBE" w:rsidRPr="00B25F24">
        <w:rPr>
          <w:color w:val="000000" w:themeColor="text1"/>
        </w:rPr>
        <w:t>s</w:t>
      </w:r>
      <w:r w:rsidR="00BD3AD0" w:rsidRPr="00B25F24">
        <w:rPr>
          <w:color w:val="000000" w:themeColor="text1"/>
        </w:rPr>
        <w:t xml:space="preserve"> von Otoplastiken für Hörgeräte</w:t>
      </w:r>
      <w:r w:rsidR="00496EBE" w:rsidRPr="00B25F24">
        <w:rPr>
          <w:color w:val="000000" w:themeColor="text1"/>
        </w:rPr>
        <w:t xml:space="preserve"> budgetiert. Die</w:t>
      </w:r>
      <w:r w:rsidR="00FF5BBF" w:rsidRPr="00B25F24">
        <w:rPr>
          <w:color w:val="000000" w:themeColor="text1"/>
        </w:rPr>
        <w:t>se</w:t>
      </w:r>
      <w:r w:rsidR="00496EBE" w:rsidRPr="00B25F24">
        <w:rPr>
          <w:color w:val="000000" w:themeColor="text1"/>
        </w:rPr>
        <w:t xml:space="preserve"> würde BCH </w:t>
      </w:r>
      <w:r w:rsidR="004C1A0B" w:rsidRPr="00B25F24">
        <w:rPr>
          <w:color w:val="000000" w:themeColor="text1"/>
        </w:rPr>
        <w:t>gerne der Liste entnehmen, da sie</w:t>
      </w:r>
      <w:r w:rsidR="008C0673" w:rsidRPr="00B25F24">
        <w:rPr>
          <w:color w:val="000000" w:themeColor="text1"/>
        </w:rPr>
        <w:t xml:space="preserve"> anhand</w:t>
      </w:r>
      <w:r w:rsidR="00812EA3" w:rsidRPr="00B25F24">
        <w:rPr>
          <w:color w:val="000000" w:themeColor="text1"/>
        </w:rPr>
        <w:t xml:space="preserve"> der anderen Geräte durch die </w:t>
      </w:r>
      <w:proofErr w:type="spellStart"/>
      <w:r w:rsidR="00812EA3" w:rsidRPr="00B25F24">
        <w:rPr>
          <w:color w:val="000000" w:themeColor="text1"/>
        </w:rPr>
        <w:t>Hörgeräteaktustiker_innen</w:t>
      </w:r>
      <w:proofErr w:type="spellEnd"/>
      <w:r w:rsidR="00812EA3" w:rsidRPr="00B25F24">
        <w:rPr>
          <w:color w:val="000000" w:themeColor="text1"/>
        </w:rPr>
        <w:t xml:space="preserve"> selbst hergestellt werden können</w:t>
      </w:r>
      <w:r w:rsidR="004C1A0B" w:rsidRPr="00B25F24">
        <w:rPr>
          <w:color w:val="000000" w:themeColor="text1"/>
        </w:rPr>
        <w:t>. Stattdessen beantragt der Partner die Beschaffung</w:t>
      </w:r>
      <w:r w:rsidR="00370869" w:rsidRPr="00B25F24">
        <w:rPr>
          <w:color w:val="000000" w:themeColor="text1"/>
        </w:rPr>
        <w:t xml:space="preserve"> eines </w:t>
      </w:r>
      <w:r w:rsidR="00ED205C" w:rsidRPr="00B25F24">
        <w:rPr>
          <w:color w:val="000000" w:themeColor="text1"/>
        </w:rPr>
        <w:t xml:space="preserve">Handgeräts </w:t>
      </w:r>
      <w:r w:rsidR="00370869" w:rsidRPr="00B25F24">
        <w:rPr>
          <w:color w:val="000000" w:themeColor="text1"/>
        </w:rPr>
        <w:t xml:space="preserve">zur Messung </w:t>
      </w:r>
      <w:proofErr w:type="spellStart"/>
      <w:r w:rsidR="00370869" w:rsidRPr="00B25F24">
        <w:rPr>
          <w:color w:val="000000" w:themeColor="text1"/>
        </w:rPr>
        <w:t>otoakustischer</w:t>
      </w:r>
      <w:proofErr w:type="spellEnd"/>
      <w:r w:rsidR="00370869" w:rsidRPr="00B25F24">
        <w:rPr>
          <w:color w:val="000000" w:themeColor="text1"/>
        </w:rPr>
        <w:t xml:space="preserve"> Emissionen (</w:t>
      </w:r>
      <w:proofErr w:type="spellStart"/>
      <w:r w:rsidR="00370869" w:rsidRPr="00B25F24">
        <w:rPr>
          <w:color w:val="000000" w:themeColor="text1"/>
        </w:rPr>
        <w:t>Otoport</w:t>
      </w:r>
      <w:proofErr w:type="spellEnd"/>
      <w:r w:rsidR="00370869" w:rsidRPr="00B25F24">
        <w:rPr>
          <w:color w:val="000000" w:themeColor="text1"/>
        </w:rPr>
        <w:t xml:space="preserve"> Lite TEOAE</w:t>
      </w:r>
      <w:r w:rsidR="00893386" w:rsidRPr="00B25F24">
        <w:rPr>
          <w:color w:val="000000" w:themeColor="text1"/>
        </w:rPr>
        <w:t xml:space="preserve">), </w:t>
      </w:r>
      <w:r w:rsidR="000C34C0" w:rsidRPr="00B25F24">
        <w:rPr>
          <w:color w:val="000000" w:themeColor="text1"/>
        </w:rPr>
        <w:t xml:space="preserve">das für die Prüfung der </w:t>
      </w:r>
      <w:r w:rsidR="007B4622" w:rsidRPr="00B25F24">
        <w:rPr>
          <w:color w:val="000000" w:themeColor="text1"/>
        </w:rPr>
        <w:t xml:space="preserve">Funktionsfähigkeit </w:t>
      </w:r>
      <w:r w:rsidR="000C34C0" w:rsidRPr="00B25F24">
        <w:rPr>
          <w:color w:val="000000" w:themeColor="text1"/>
        </w:rPr>
        <w:t>des Schallorgans</w:t>
      </w:r>
      <w:r w:rsidR="00300FF9" w:rsidRPr="00B25F24">
        <w:rPr>
          <w:color w:val="000000" w:themeColor="text1"/>
        </w:rPr>
        <w:t xml:space="preserve"> hinsichtlich der Weiterleitung des Signals des Hörnervs an das Gehirn erforderlich ist und die</w:t>
      </w:r>
      <w:r w:rsidR="009B0098" w:rsidRPr="00B25F24">
        <w:rPr>
          <w:color w:val="000000" w:themeColor="text1"/>
        </w:rPr>
        <w:t xml:space="preserve"> Qualität der Untersuchungen wesentlich steigern kann.</w:t>
      </w:r>
    </w:p>
    <w:p w14:paraId="22772FFD" w14:textId="5055FC79" w:rsidR="00E460B7" w:rsidRPr="00432955" w:rsidRDefault="002F2295" w:rsidP="009D2243">
      <w:pPr>
        <w:spacing w:before="240" w:afterLines="40" w:after="96"/>
        <w:jc w:val="both"/>
        <w:rPr>
          <w:color w:val="000000" w:themeColor="text1"/>
        </w:rPr>
      </w:pPr>
      <w:r w:rsidRPr="00B25F24">
        <w:rPr>
          <w:color w:val="000000" w:themeColor="text1"/>
        </w:rPr>
        <w:t xml:space="preserve">Insgesamt entstehen </w:t>
      </w:r>
      <w:r w:rsidR="001952DE" w:rsidRPr="00B25F24">
        <w:rPr>
          <w:color w:val="000000" w:themeColor="text1"/>
        </w:rPr>
        <w:t>dadurch</w:t>
      </w:r>
      <w:r w:rsidRPr="00B25F24">
        <w:rPr>
          <w:color w:val="000000" w:themeColor="text1"/>
        </w:rPr>
        <w:t xml:space="preserve"> </w:t>
      </w:r>
      <w:r w:rsidR="001952DE" w:rsidRPr="00B25F24">
        <w:rPr>
          <w:color w:val="000000" w:themeColor="text1"/>
        </w:rPr>
        <w:t xml:space="preserve">im Vergleich zu dem Zeitpunkt der Antragstellung </w:t>
      </w:r>
      <w:r w:rsidR="00083360" w:rsidRPr="00B25F24">
        <w:rPr>
          <w:color w:val="000000" w:themeColor="text1"/>
        </w:rPr>
        <w:t xml:space="preserve">zusätzliche Kosten in Höhe von </w:t>
      </w:r>
      <w:r w:rsidR="00083360" w:rsidRPr="00B25F24">
        <w:rPr>
          <w:b/>
          <w:bCs/>
          <w:color w:val="000000" w:themeColor="text1"/>
        </w:rPr>
        <w:t>18.102 EUR</w:t>
      </w:r>
      <w:r w:rsidR="00083360" w:rsidRPr="00B25F24">
        <w:rPr>
          <w:color w:val="000000" w:themeColor="text1"/>
        </w:rPr>
        <w:t xml:space="preserve"> (Kosten in Höhe von </w:t>
      </w:r>
      <w:r w:rsidR="00083360" w:rsidRPr="00B25F24">
        <w:rPr>
          <w:b/>
          <w:bCs/>
          <w:color w:val="000000" w:themeColor="text1"/>
        </w:rPr>
        <w:t>39.102 EUR</w:t>
      </w:r>
      <w:r w:rsidR="001952DE" w:rsidRPr="00B25F24">
        <w:rPr>
          <w:b/>
          <w:bCs/>
          <w:color w:val="000000" w:themeColor="text1"/>
        </w:rPr>
        <w:t xml:space="preserve"> </w:t>
      </w:r>
      <w:r w:rsidR="001952DE" w:rsidRPr="00B25F24">
        <w:rPr>
          <w:color w:val="000000" w:themeColor="text1"/>
        </w:rPr>
        <w:t>insgesamt</w:t>
      </w:r>
      <w:r w:rsidR="00083360" w:rsidRPr="00B25F24">
        <w:rPr>
          <w:color w:val="000000" w:themeColor="text1"/>
        </w:rPr>
        <w:t>).</w:t>
      </w:r>
      <w:r w:rsidR="00812EA3" w:rsidRPr="00B25F24">
        <w:rPr>
          <w:color w:val="000000" w:themeColor="text1"/>
        </w:rPr>
        <w:t xml:space="preserve"> </w:t>
      </w:r>
      <w:r w:rsidR="004C7219" w:rsidRPr="00B25F24">
        <w:rPr>
          <w:color w:val="000000" w:themeColor="text1"/>
        </w:rPr>
        <w:t xml:space="preserve">Die Kosten </w:t>
      </w:r>
      <w:r w:rsidR="002E7D9D" w:rsidRPr="00B25F24">
        <w:rPr>
          <w:color w:val="000000" w:themeColor="text1"/>
        </w:rPr>
        <w:t xml:space="preserve">hierfür </w:t>
      </w:r>
      <w:r w:rsidR="004C7219" w:rsidRPr="00B25F24">
        <w:rPr>
          <w:color w:val="000000" w:themeColor="text1"/>
        </w:rPr>
        <w:t>verteilen sich wie folgt</w:t>
      </w:r>
      <w:r w:rsidR="00432955" w:rsidRPr="00B25F24">
        <w:rPr>
          <w:color w:val="000000" w:themeColor="text1"/>
        </w:rPr>
        <w:t>:</w:t>
      </w:r>
    </w:p>
    <w:tbl>
      <w:tblPr>
        <w:tblStyle w:val="TabellemithellemGitternetz"/>
        <w:tblW w:w="11301" w:type="dxa"/>
        <w:jc w:val="center"/>
        <w:tblLayout w:type="fixed"/>
        <w:tblLook w:val="06A0" w:firstRow="1" w:lastRow="0" w:firstColumn="1" w:lastColumn="0" w:noHBand="1" w:noVBand="1"/>
      </w:tblPr>
      <w:tblGrid>
        <w:gridCol w:w="2316"/>
        <w:gridCol w:w="1065"/>
        <w:gridCol w:w="2695"/>
        <w:gridCol w:w="2695"/>
        <w:gridCol w:w="2530"/>
      </w:tblGrid>
      <w:tr w:rsidR="00CB6EB5" w:rsidRPr="00E03780" w14:paraId="5DC63B97" w14:textId="77777777" w:rsidTr="002C3F78">
        <w:trPr>
          <w:trHeight w:val="281"/>
          <w:jc w:val="center"/>
        </w:trPr>
        <w:tc>
          <w:tcPr>
            <w:tcW w:w="2316" w:type="dxa"/>
            <w:shd w:val="clear" w:color="auto" w:fill="E7E6E6" w:themeFill="background2"/>
          </w:tcPr>
          <w:p w14:paraId="31C1764B" w14:textId="77777777" w:rsidR="00CB6EB5" w:rsidRPr="00B25F24" w:rsidRDefault="00CB6EB5" w:rsidP="002C6444">
            <w:pPr>
              <w:pStyle w:val="Listenabsatz"/>
              <w:spacing w:after="0"/>
              <w:ind w:left="731" w:hanging="284"/>
              <w:rPr>
                <w:b/>
                <w:bCs/>
              </w:rPr>
            </w:pPr>
            <w:bookmarkStart w:id="1" w:name="_Hlk52892667"/>
            <w:r w:rsidRPr="00B25F24">
              <w:rPr>
                <w:b/>
                <w:bCs/>
                <w:color w:val="000000" w:themeColor="text1"/>
              </w:rPr>
              <w:t>Kostenart</w:t>
            </w:r>
          </w:p>
        </w:tc>
        <w:tc>
          <w:tcPr>
            <w:tcW w:w="1065" w:type="dxa"/>
            <w:shd w:val="clear" w:color="auto" w:fill="E7E6E6" w:themeFill="background2"/>
          </w:tcPr>
          <w:p w14:paraId="65E3F77B" w14:textId="77777777" w:rsidR="00CB6EB5" w:rsidRPr="00B25F24" w:rsidRDefault="00CB6EB5" w:rsidP="002C6444">
            <w:pPr>
              <w:pStyle w:val="Listenabsatz"/>
              <w:spacing w:after="0"/>
              <w:ind w:hanging="687"/>
              <w:rPr>
                <w:b/>
                <w:bCs/>
              </w:rPr>
            </w:pPr>
            <w:r w:rsidRPr="00B25F24">
              <w:rPr>
                <w:b/>
                <w:bCs/>
                <w:color w:val="000000" w:themeColor="text1"/>
              </w:rPr>
              <w:t>Anzahl</w:t>
            </w:r>
          </w:p>
        </w:tc>
        <w:tc>
          <w:tcPr>
            <w:tcW w:w="2695" w:type="dxa"/>
            <w:shd w:val="clear" w:color="auto" w:fill="E7E6E6" w:themeFill="background2"/>
          </w:tcPr>
          <w:p w14:paraId="036DA3C9" w14:textId="77777777" w:rsidR="00CB6EB5" w:rsidRPr="00B25F24" w:rsidRDefault="00CB6EB5" w:rsidP="00453816">
            <w:pPr>
              <w:pStyle w:val="Listenabsatz"/>
              <w:ind w:left="319"/>
              <w:rPr>
                <w:b/>
                <w:bCs/>
                <w:color w:val="000000" w:themeColor="text1"/>
              </w:rPr>
            </w:pPr>
            <w:r w:rsidRPr="00B25F24">
              <w:rPr>
                <w:b/>
                <w:bCs/>
                <w:color w:val="000000" w:themeColor="text1"/>
              </w:rPr>
              <w:t>Preis/Einheit in EUR</w:t>
            </w:r>
          </w:p>
          <w:p w14:paraId="39FE2048" w14:textId="20310A66" w:rsidR="00CB6EB5" w:rsidRPr="00B25F24" w:rsidRDefault="00CB6EB5" w:rsidP="00453816">
            <w:pPr>
              <w:pStyle w:val="Listenabsatz"/>
              <w:ind w:left="319"/>
              <w:rPr>
                <w:b/>
                <w:bCs/>
                <w:color w:val="000000" w:themeColor="text1"/>
              </w:rPr>
            </w:pPr>
            <w:r w:rsidRPr="00B25F24">
              <w:rPr>
                <w:b/>
                <w:bCs/>
                <w:color w:val="000000" w:themeColor="text1"/>
              </w:rPr>
              <w:t>Projektentwicklung</w:t>
            </w:r>
          </w:p>
        </w:tc>
        <w:tc>
          <w:tcPr>
            <w:tcW w:w="2695" w:type="dxa"/>
            <w:shd w:val="clear" w:color="auto" w:fill="E7E6E6" w:themeFill="background2"/>
          </w:tcPr>
          <w:p w14:paraId="759A1A86" w14:textId="35F4E105" w:rsidR="00CB6EB5" w:rsidRPr="00B25F24" w:rsidRDefault="00453816" w:rsidP="00453816">
            <w:pPr>
              <w:pStyle w:val="Listenabsatz"/>
              <w:ind w:left="0" w:firstLine="879"/>
              <w:rPr>
                <w:b/>
                <w:bCs/>
                <w:color w:val="000000" w:themeColor="text1"/>
              </w:rPr>
            </w:pPr>
            <w:r w:rsidRPr="00B25F24">
              <w:rPr>
                <w:b/>
                <w:bCs/>
                <w:color w:val="000000" w:themeColor="text1"/>
              </w:rPr>
              <w:t>Aktueller Marktpreis/Einheit in EUR</w:t>
            </w:r>
          </w:p>
        </w:tc>
        <w:tc>
          <w:tcPr>
            <w:tcW w:w="2530" w:type="dxa"/>
            <w:shd w:val="clear" w:color="auto" w:fill="E7E6E6" w:themeFill="background2"/>
          </w:tcPr>
          <w:p w14:paraId="33F875A6" w14:textId="262FE849" w:rsidR="00CB6EB5" w:rsidRPr="00B25F24" w:rsidRDefault="00EA6CBD" w:rsidP="00EA6CBD">
            <w:pPr>
              <w:pStyle w:val="Listenabsatz"/>
              <w:ind w:left="148" w:firstLine="567"/>
              <w:rPr>
                <w:b/>
                <w:bCs/>
                <w:color w:val="000000" w:themeColor="text1"/>
              </w:rPr>
            </w:pPr>
            <w:r w:rsidRPr="00B25F24">
              <w:rPr>
                <w:b/>
                <w:bCs/>
                <w:color w:val="000000" w:themeColor="text1"/>
              </w:rPr>
              <w:t xml:space="preserve">Aktueller </w:t>
            </w:r>
            <w:r w:rsidR="00CB6EB5" w:rsidRPr="00B25F24">
              <w:rPr>
                <w:b/>
                <w:bCs/>
                <w:color w:val="000000" w:themeColor="text1"/>
              </w:rPr>
              <w:t>Gesamtpreis in EUR</w:t>
            </w:r>
          </w:p>
        </w:tc>
      </w:tr>
      <w:tr w:rsidR="00CB6EB5" w14:paraId="0BDB73B3" w14:textId="77777777" w:rsidTr="002C3F78">
        <w:trPr>
          <w:trHeight w:val="338"/>
          <w:jc w:val="center"/>
        </w:trPr>
        <w:tc>
          <w:tcPr>
            <w:tcW w:w="2316" w:type="dxa"/>
          </w:tcPr>
          <w:p w14:paraId="18E90B57" w14:textId="5CE7999A" w:rsidR="00CB6EB5" w:rsidRPr="00B25F24" w:rsidRDefault="00CB6EB5" w:rsidP="007A4E53">
            <w:pPr>
              <w:pStyle w:val="Listenabsatz"/>
              <w:ind w:left="315"/>
              <w:rPr>
                <w:color w:val="000000" w:themeColor="text1"/>
              </w:rPr>
            </w:pPr>
            <w:r w:rsidRPr="00B25F24">
              <w:rPr>
                <w:bCs/>
                <w:color w:val="000000"/>
              </w:rPr>
              <w:t xml:space="preserve">Tragbares </w:t>
            </w:r>
            <w:proofErr w:type="spellStart"/>
            <w:r w:rsidRPr="00B25F24">
              <w:rPr>
                <w:bCs/>
                <w:color w:val="000000"/>
              </w:rPr>
              <w:t>Typanometer</w:t>
            </w:r>
            <w:proofErr w:type="spellEnd"/>
          </w:p>
        </w:tc>
        <w:tc>
          <w:tcPr>
            <w:tcW w:w="1065" w:type="dxa"/>
          </w:tcPr>
          <w:p w14:paraId="3F64C945" w14:textId="618866CF" w:rsidR="00CB6EB5" w:rsidRPr="00B25F24" w:rsidRDefault="00CB6EB5" w:rsidP="007A4E53">
            <w:pPr>
              <w:pStyle w:val="Listenabsatz"/>
              <w:jc w:val="right"/>
              <w:rPr>
                <w:color w:val="000000" w:themeColor="text1"/>
              </w:rPr>
            </w:pPr>
            <w:r w:rsidRPr="00B25F24">
              <w:rPr>
                <w:bCs/>
                <w:color w:val="000000"/>
              </w:rPr>
              <w:t>2</w:t>
            </w:r>
          </w:p>
        </w:tc>
        <w:tc>
          <w:tcPr>
            <w:tcW w:w="2695" w:type="dxa"/>
          </w:tcPr>
          <w:p w14:paraId="5FB245F5" w14:textId="2E5D671B" w:rsidR="00CB6EB5" w:rsidRPr="00B25F24" w:rsidRDefault="00745979" w:rsidP="007A4E53">
            <w:pPr>
              <w:pStyle w:val="Listenabsatz"/>
              <w:jc w:val="right"/>
              <w:rPr>
                <w:bCs/>
                <w:color w:val="000000"/>
              </w:rPr>
            </w:pPr>
            <w:r w:rsidRPr="00B25F24">
              <w:rPr>
                <w:bCs/>
                <w:color w:val="000000"/>
              </w:rPr>
              <w:t>2.000</w:t>
            </w:r>
          </w:p>
        </w:tc>
        <w:tc>
          <w:tcPr>
            <w:tcW w:w="2695" w:type="dxa"/>
          </w:tcPr>
          <w:p w14:paraId="188A2C8B" w14:textId="59607FDC" w:rsidR="00CB6EB5" w:rsidRPr="00B25F24" w:rsidRDefault="00821E10" w:rsidP="007A4E53">
            <w:pPr>
              <w:pStyle w:val="Listenabsatz"/>
              <w:jc w:val="right"/>
              <w:rPr>
                <w:color w:val="000000" w:themeColor="text1"/>
              </w:rPr>
            </w:pPr>
            <w:r w:rsidRPr="00B25F24">
              <w:rPr>
                <w:bCs/>
                <w:color w:val="000000"/>
              </w:rPr>
              <w:t>2.508</w:t>
            </w:r>
          </w:p>
        </w:tc>
        <w:tc>
          <w:tcPr>
            <w:tcW w:w="2530" w:type="dxa"/>
          </w:tcPr>
          <w:p w14:paraId="07DB871F" w14:textId="76B42AB8" w:rsidR="00CB6EB5" w:rsidRPr="00B25F24" w:rsidRDefault="00821E10" w:rsidP="007A4E53">
            <w:pPr>
              <w:pStyle w:val="Listenabsatz"/>
              <w:jc w:val="right"/>
              <w:rPr>
                <w:color w:val="000000" w:themeColor="text1"/>
              </w:rPr>
            </w:pPr>
            <w:r w:rsidRPr="00B25F24">
              <w:rPr>
                <w:bCs/>
                <w:color w:val="000000"/>
              </w:rPr>
              <w:t>5.016</w:t>
            </w:r>
          </w:p>
        </w:tc>
      </w:tr>
      <w:tr w:rsidR="00CB6EB5" w14:paraId="289FD740" w14:textId="77777777" w:rsidTr="002C3F78">
        <w:trPr>
          <w:trHeight w:val="517"/>
          <w:jc w:val="center"/>
        </w:trPr>
        <w:tc>
          <w:tcPr>
            <w:tcW w:w="2316" w:type="dxa"/>
          </w:tcPr>
          <w:p w14:paraId="75DA3BE1" w14:textId="3616DD21" w:rsidR="00CB6EB5" w:rsidRPr="00B25F24" w:rsidRDefault="00CB6EB5" w:rsidP="007A4E53">
            <w:pPr>
              <w:pStyle w:val="Listenabsatz"/>
              <w:ind w:left="315"/>
              <w:rPr>
                <w:bCs/>
                <w:color w:val="000000"/>
                <w:lang w:val="en-GB"/>
              </w:rPr>
            </w:pPr>
            <w:proofErr w:type="spellStart"/>
            <w:r w:rsidRPr="00B25F24">
              <w:rPr>
                <w:bCs/>
                <w:color w:val="000000"/>
                <w:lang w:val="en-GB"/>
              </w:rPr>
              <w:t>Diagnostisches</w:t>
            </w:r>
            <w:proofErr w:type="spellEnd"/>
            <w:r w:rsidRPr="00B25F24">
              <w:rPr>
                <w:bCs/>
                <w:color w:val="000000"/>
                <w:lang w:val="en-GB"/>
              </w:rPr>
              <w:t xml:space="preserve"> Audiometer</w:t>
            </w:r>
          </w:p>
        </w:tc>
        <w:tc>
          <w:tcPr>
            <w:tcW w:w="1065" w:type="dxa"/>
          </w:tcPr>
          <w:p w14:paraId="50380FA3" w14:textId="40E0B2B9" w:rsidR="00CB6EB5" w:rsidRPr="00B25F24" w:rsidRDefault="00CB6EB5" w:rsidP="007A4E53">
            <w:pPr>
              <w:pStyle w:val="Listenabsatz"/>
              <w:jc w:val="right"/>
              <w:rPr>
                <w:bCs/>
                <w:color w:val="000000"/>
              </w:rPr>
            </w:pPr>
            <w:r w:rsidRPr="00B25F24">
              <w:rPr>
                <w:bCs/>
                <w:color w:val="000000"/>
              </w:rPr>
              <w:t>2</w:t>
            </w:r>
          </w:p>
        </w:tc>
        <w:tc>
          <w:tcPr>
            <w:tcW w:w="2695" w:type="dxa"/>
          </w:tcPr>
          <w:p w14:paraId="3F986E9C" w14:textId="181D9C8B" w:rsidR="00CB6EB5" w:rsidRPr="00B25F24" w:rsidRDefault="003716CF" w:rsidP="007A4E53">
            <w:pPr>
              <w:pStyle w:val="Listenabsatz"/>
              <w:jc w:val="right"/>
              <w:rPr>
                <w:bCs/>
                <w:color w:val="000000"/>
              </w:rPr>
            </w:pPr>
            <w:r w:rsidRPr="00B25F24">
              <w:rPr>
                <w:bCs/>
                <w:color w:val="000000"/>
              </w:rPr>
              <w:t>3.500</w:t>
            </w:r>
          </w:p>
        </w:tc>
        <w:tc>
          <w:tcPr>
            <w:tcW w:w="2695" w:type="dxa"/>
          </w:tcPr>
          <w:p w14:paraId="11BCC572" w14:textId="04AB18E3" w:rsidR="00CB6EB5" w:rsidRPr="00B25F24" w:rsidRDefault="00745979" w:rsidP="007A4E53">
            <w:pPr>
              <w:pStyle w:val="Listenabsatz"/>
              <w:jc w:val="right"/>
              <w:rPr>
                <w:bCs/>
                <w:color w:val="000000"/>
              </w:rPr>
            </w:pPr>
            <w:r w:rsidRPr="00B25F24">
              <w:rPr>
                <w:bCs/>
                <w:color w:val="000000"/>
              </w:rPr>
              <w:t>5.643</w:t>
            </w:r>
          </w:p>
        </w:tc>
        <w:tc>
          <w:tcPr>
            <w:tcW w:w="2530" w:type="dxa"/>
          </w:tcPr>
          <w:p w14:paraId="11EF691A" w14:textId="78806776" w:rsidR="00CB6EB5" w:rsidRPr="00B25F24" w:rsidRDefault="00745979" w:rsidP="007A4E53">
            <w:pPr>
              <w:pStyle w:val="Listenabsatz"/>
              <w:jc w:val="right"/>
              <w:rPr>
                <w:bCs/>
                <w:color w:val="000000"/>
              </w:rPr>
            </w:pPr>
            <w:r w:rsidRPr="00B25F24">
              <w:rPr>
                <w:bCs/>
                <w:color w:val="000000"/>
              </w:rPr>
              <w:t>11.286</w:t>
            </w:r>
          </w:p>
        </w:tc>
      </w:tr>
      <w:tr w:rsidR="00CB6EB5" w14:paraId="7B70C2D0" w14:textId="77777777" w:rsidTr="002C3F78">
        <w:trPr>
          <w:trHeight w:val="281"/>
          <w:jc w:val="center"/>
        </w:trPr>
        <w:tc>
          <w:tcPr>
            <w:tcW w:w="2316" w:type="dxa"/>
          </w:tcPr>
          <w:p w14:paraId="5F9D40E6" w14:textId="644AE6A7" w:rsidR="00CB6EB5" w:rsidRPr="00B25F24" w:rsidRDefault="00CB6EB5" w:rsidP="007A4E53">
            <w:pPr>
              <w:pStyle w:val="Listenabsatz"/>
              <w:ind w:left="315"/>
              <w:rPr>
                <w:color w:val="000000" w:themeColor="text1"/>
              </w:rPr>
            </w:pPr>
            <w:r w:rsidRPr="00B25F24">
              <w:rPr>
                <w:bCs/>
                <w:color w:val="000000"/>
              </w:rPr>
              <w:t>Hörkabinen</w:t>
            </w:r>
          </w:p>
        </w:tc>
        <w:tc>
          <w:tcPr>
            <w:tcW w:w="1065" w:type="dxa"/>
          </w:tcPr>
          <w:p w14:paraId="2ECF8E79" w14:textId="4BF585BE" w:rsidR="00CB6EB5" w:rsidRPr="00B25F24" w:rsidRDefault="00CB6EB5" w:rsidP="007A4E53">
            <w:pPr>
              <w:pStyle w:val="Listenabsatz"/>
              <w:jc w:val="right"/>
              <w:rPr>
                <w:color w:val="000000" w:themeColor="text1"/>
              </w:rPr>
            </w:pPr>
            <w:r w:rsidRPr="00B25F24">
              <w:rPr>
                <w:bCs/>
                <w:color w:val="000000"/>
              </w:rPr>
              <w:t>2</w:t>
            </w:r>
          </w:p>
        </w:tc>
        <w:tc>
          <w:tcPr>
            <w:tcW w:w="2695" w:type="dxa"/>
          </w:tcPr>
          <w:p w14:paraId="628C86FD" w14:textId="711B787F" w:rsidR="00CB6EB5" w:rsidRPr="00B25F24" w:rsidRDefault="00943784" w:rsidP="007A4E53">
            <w:pPr>
              <w:pStyle w:val="Listenabsatz"/>
              <w:jc w:val="right"/>
              <w:rPr>
                <w:bCs/>
                <w:color w:val="000000"/>
              </w:rPr>
            </w:pPr>
            <w:r w:rsidRPr="00B25F24">
              <w:rPr>
                <w:bCs/>
                <w:color w:val="000000"/>
              </w:rPr>
              <w:t>5.000</w:t>
            </w:r>
          </w:p>
        </w:tc>
        <w:tc>
          <w:tcPr>
            <w:tcW w:w="2695" w:type="dxa"/>
          </w:tcPr>
          <w:p w14:paraId="6B998668" w14:textId="6470C9C4" w:rsidR="00CB6EB5" w:rsidRPr="00B25F24" w:rsidRDefault="00D51DE2" w:rsidP="007A4E53">
            <w:pPr>
              <w:pStyle w:val="Listenabsatz"/>
              <w:jc w:val="right"/>
              <w:rPr>
                <w:color w:val="000000" w:themeColor="text1"/>
              </w:rPr>
            </w:pPr>
            <w:r w:rsidRPr="00B25F24">
              <w:rPr>
                <w:bCs/>
                <w:color w:val="000000"/>
              </w:rPr>
              <w:t>6.840</w:t>
            </w:r>
          </w:p>
        </w:tc>
        <w:tc>
          <w:tcPr>
            <w:tcW w:w="2530" w:type="dxa"/>
          </w:tcPr>
          <w:p w14:paraId="7BC6246F" w14:textId="7BE22381" w:rsidR="00CB6EB5" w:rsidRPr="00B25F24" w:rsidRDefault="00D51DE2" w:rsidP="007A4E53">
            <w:pPr>
              <w:pStyle w:val="Listenabsatz"/>
              <w:jc w:val="right"/>
              <w:rPr>
                <w:color w:val="000000" w:themeColor="text1"/>
              </w:rPr>
            </w:pPr>
            <w:r w:rsidRPr="00B25F24">
              <w:rPr>
                <w:bCs/>
                <w:color w:val="000000"/>
              </w:rPr>
              <w:t>13.6</w:t>
            </w:r>
            <w:r w:rsidR="00723469" w:rsidRPr="00B25F24">
              <w:rPr>
                <w:bCs/>
                <w:color w:val="000000"/>
              </w:rPr>
              <w:t>80</w:t>
            </w:r>
          </w:p>
        </w:tc>
      </w:tr>
      <w:tr w:rsidR="007D46A8" w14:paraId="3EB64B9E" w14:textId="77777777" w:rsidTr="002C3F78">
        <w:trPr>
          <w:trHeight w:val="281"/>
          <w:jc w:val="center"/>
        </w:trPr>
        <w:tc>
          <w:tcPr>
            <w:tcW w:w="2316" w:type="dxa"/>
          </w:tcPr>
          <w:p w14:paraId="23E7AAC1" w14:textId="5C11BE5B" w:rsidR="007D46A8" w:rsidRPr="00B25F24" w:rsidRDefault="00ED205C" w:rsidP="007A4E53">
            <w:pPr>
              <w:pStyle w:val="Listenabsatz"/>
              <w:ind w:left="315"/>
              <w:rPr>
                <w:bCs/>
                <w:color w:val="000000"/>
              </w:rPr>
            </w:pPr>
            <w:r w:rsidRPr="00B25F24">
              <w:rPr>
                <w:bCs/>
                <w:color w:val="000000"/>
              </w:rPr>
              <w:t>Handgeräte Hörscreening (</w:t>
            </w:r>
            <w:proofErr w:type="spellStart"/>
            <w:r w:rsidR="007D46A8" w:rsidRPr="00B25F24">
              <w:rPr>
                <w:bCs/>
                <w:color w:val="000000"/>
              </w:rPr>
              <w:t>Otoport</w:t>
            </w:r>
            <w:proofErr w:type="spellEnd"/>
            <w:r w:rsidR="007D46A8" w:rsidRPr="00B25F24">
              <w:rPr>
                <w:bCs/>
                <w:color w:val="000000"/>
              </w:rPr>
              <w:t xml:space="preserve"> Lite TEOAE</w:t>
            </w:r>
            <w:r w:rsidRPr="00B25F24">
              <w:rPr>
                <w:bCs/>
                <w:color w:val="000000"/>
              </w:rPr>
              <w:t>)</w:t>
            </w:r>
          </w:p>
        </w:tc>
        <w:tc>
          <w:tcPr>
            <w:tcW w:w="1065" w:type="dxa"/>
          </w:tcPr>
          <w:p w14:paraId="098E7B4B" w14:textId="706B74FF" w:rsidR="007D46A8" w:rsidRPr="00B25F24" w:rsidRDefault="007D46A8" w:rsidP="007A4E53">
            <w:pPr>
              <w:pStyle w:val="Listenabsatz"/>
              <w:jc w:val="right"/>
              <w:rPr>
                <w:bCs/>
                <w:color w:val="000000"/>
              </w:rPr>
            </w:pPr>
            <w:r w:rsidRPr="00B25F24">
              <w:rPr>
                <w:bCs/>
                <w:color w:val="000000"/>
              </w:rPr>
              <w:t>2</w:t>
            </w:r>
          </w:p>
        </w:tc>
        <w:tc>
          <w:tcPr>
            <w:tcW w:w="2695" w:type="dxa"/>
          </w:tcPr>
          <w:p w14:paraId="3A1CA32B" w14:textId="09DB473F" w:rsidR="007D46A8" w:rsidRPr="00B25F24" w:rsidRDefault="00257738" w:rsidP="007A4E53">
            <w:pPr>
              <w:pStyle w:val="Listenabsatz"/>
              <w:jc w:val="right"/>
              <w:rPr>
                <w:bCs/>
                <w:color w:val="000000"/>
              </w:rPr>
            </w:pPr>
            <w:r w:rsidRPr="00B25F24">
              <w:rPr>
                <w:bCs/>
                <w:color w:val="000000"/>
              </w:rPr>
              <w:t>0.00</w:t>
            </w:r>
          </w:p>
        </w:tc>
        <w:tc>
          <w:tcPr>
            <w:tcW w:w="2695" w:type="dxa"/>
          </w:tcPr>
          <w:p w14:paraId="77AC87ED" w14:textId="77968976" w:rsidR="007D46A8" w:rsidRPr="00B25F24" w:rsidRDefault="00D23F53" w:rsidP="007A4E53">
            <w:pPr>
              <w:pStyle w:val="Listenabsatz"/>
              <w:jc w:val="right"/>
              <w:rPr>
                <w:bCs/>
                <w:color w:val="000000"/>
              </w:rPr>
            </w:pPr>
            <w:r w:rsidRPr="00B25F24">
              <w:rPr>
                <w:bCs/>
                <w:color w:val="000000"/>
              </w:rPr>
              <w:t>4.560</w:t>
            </w:r>
          </w:p>
        </w:tc>
        <w:tc>
          <w:tcPr>
            <w:tcW w:w="2530" w:type="dxa"/>
          </w:tcPr>
          <w:p w14:paraId="30E79119" w14:textId="5BEEA284" w:rsidR="007D46A8" w:rsidRPr="00B25F24" w:rsidRDefault="00D23F53" w:rsidP="007A4E53">
            <w:pPr>
              <w:pStyle w:val="Listenabsatz"/>
              <w:jc w:val="right"/>
              <w:rPr>
                <w:bCs/>
                <w:color w:val="000000"/>
              </w:rPr>
            </w:pPr>
            <w:r w:rsidRPr="00B25F24">
              <w:rPr>
                <w:bCs/>
                <w:color w:val="000000"/>
              </w:rPr>
              <w:t>9.120</w:t>
            </w:r>
          </w:p>
        </w:tc>
      </w:tr>
      <w:tr w:rsidR="00CB6EB5" w:rsidRPr="00E03780" w14:paraId="2CF7D7F5" w14:textId="77777777" w:rsidTr="002C3F78">
        <w:trPr>
          <w:trHeight w:val="281"/>
          <w:jc w:val="center"/>
        </w:trPr>
        <w:tc>
          <w:tcPr>
            <w:tcW w:w="2316" w:type="dxa"/>
          </w:tcPr>
          <w:p w14:paraId="2FEE9595" w14:textId="6AD4F12D" w:rsidR="00CB6EB5" w:rsidRPr="00B25F24" w:rsidRDefault="00CB6EB5" w:rsidP="005D5C94">
            <w:pPr>
              <w:pStyle w:val="Listenabsatz"/>
              <w:ind w:left="315"/>
              <w:rPr>
                <w:b/>
                <w:bCs/>
                <w:color w:val="000000" w:themeColor="text1"/>
              </w:rPr>
            </w:pPr>
            <w:r w:rsidRPr="00B25F24">
              <w:rPr>
                <w:b/>
                <w:bCs/>
                <w:color w:val="000000" w:themeColor="text1"/>
              </w:rPr>
              <w:t>Gesamt</w:t>
            </w:r>
            <w:r w:rsidR="00EA6CBD" w:rsidRPr="00B25F24">
              <w:rPr>
                <w:b/>
                <w:bCs/>
                <w:color w:val="000000" w:themeColor="text1"/>
              </w:rPr>
              <w:t>preis in EUR</w:t>
            </w:r>
          </w:p>
        </w:tc>
        <w:tc>
          <w:tcPr>
            <w:tcW w:w="1065" w:type="dxa"/>
          </w:tcPr>
          <w:p w14:paraId="6EED3DE2" w14:textId="77777777" w:rsidR="00CB6EB5" w:rsidRPr="00B25F24" w:rsidRDefault="00CB6EB5" w:rsidP="005D5C94">
            <w:pPr>
              <w:pStyle w:val="Listenabsatz"/>
              <w:jc w:val="right"/>
              <w:rPr>
                <w:b/>
                <w:bCs/>
                <w:color w:val="000000" w:themeColor="text1"/>
              </w:rPr>
            </w:pPr>
          </w:p>
        </w:tc>
        <w:tc>
          <w:tcPr>
            <w:tcW w:w="2695" w:type="dxa"/>
          </w:tcPr>
          <w:p w14:paraId="4D4586BD" w14:textId="137DC31B" w:rsidR="00CB6EB5" w:rsidRPr="00B25F24" w:rsidRDefault="00AD0FCC" w:rsidP="005D5C94">
            <w:pPr>
              <w:pStyle w:val="Listenabsatz"/>
              <w:jc w:val="right"/>
              <w:rPr>
                <w:b/>
                <w:bCs/>
                <w:color w:val="000000" w:themeColor="text1"/>
              </w:rPr>
            </w:pPr>
            <w:r w:rsidRPr="00B25F24">
              <w:rPr>
                <w:b/>
                <w:bCs/>
                <w:color w:val="000000" w:themeColor="text1"/>
              </w:rPr>
              <w:t>21.000</w:t>
            </w:r>
          </w:p>
        </w:tc>
        <w:tc>
          <w:tcPr>
            <w:tcW w:w="2695" w:type="dxa"/>
          </w:tcPr>
          <w:p w14:paraId="1E6BEF41" w14:textId="0BB556D6" w:rsidR="00CB6EB5" w:rsidRPr="00B25F24" w:rsidRDefault="001A5031" w:rsidP="005D5C94">
            <w:pPr>
              <w:pStyle w:val="Listenabsatz"/>
              <w:jc w:val="right"/>
              <w:rPr>
                <w:b/>
                <w:bCs/>
                <w:color w:val="000000" w:themeColor="text1"/>
              </w:rPr>
            </w:pPr>
            <w:r w:rsidRPr="00B25F24">
              <w:rPr>
                <w:b/>
                <w:bCs/>
                <w:color w:val="000000" w:themeColor="text1"/>
              </w:rPr>
              <w:t>39.102</w:t>
            </w:r>
          </w:p>
        </w:tc>
        <w:tc>
          <w:tcPr>
            <w:tcW w:w="2530" w:type="dxa"/>
          </w:tcPr>
          <w:p w14:paraId="2DC656AC" w14:textId="25F91126" w:rsidR="00CB6EB5" w:rsidRPr="00B25F24" w:rsidRDefault="001A5031" w:rsidP="005D5C94">
            <w:pPr>
              <w:pStyle w:val="Listenabsatz"/>
              <w:jc w:val="right"/>
              <w:rPr>
                <w:b/>
                <w:bCs/>
                <w:color w:val="000000" w:themeColor="text1"/>
              </w:rPr>
            </w:pPr>
            <w:r w:rsidRPr="00B25F24">
              <w:rPr>
                <w:b/>
                <w:bCs/>
                <w:color w:val="000000" w:themeColor="text1"/>
              </w:rPr>
              <w:t>39.102</w:t>
            </w:r>
          </w:p>
        </w:tc>
      </w:tr>
      <w:bookmarkEnd w:id="1"/>
    </w:tbl>
    <w:p w14:paraId="698619DF" w14:textId="7D1E83ED" w:rsidR="00034D19" w:rsidRDefault="00034D19" w:rsidP="22C733FF">
      <w:pPr>
        <w:spacing w:before="240" w:afterLines="40" w:after="96"/>
        <w:jc w:val="both"/>
        <w:rPr>
          <w:b/>
          <w:bCs/>
          <w:color w:val="000000" w:themeColor="text1"/>
        </w:rPr>
      </w:pPr>
    </w:p>
    <w:p w14:paraId="16B81DED" w14:textId="3060C645" w:rsidR="00966057" w:rsidRDefault="00966057" w:rsidP="22C733FF">
      <w:pPr>
        <w:spacing w:before="240" w:afterLines="40" w:after="96"/>
        <w:jc w:val="both"/>
        <w:rPr>
          <w:b/>
          <w:bCs/>
          <w:color w:val="000000" w:themeColor="text1"/>
        </w:rPr>
      </w:pPr>
    </w:p>
    <w:p w14:paraId="7654A5E1" w14:textId="77777777" w:rsidR="00966057" w:rsidRDefault="00966057" w:rsidP="22C733FF">
      <w:pPr>
        <w:spacing w:before="240" w:afterLines="40" w:after="96"/>
        <w:jc w:val="both"/>
        <w:rPr>
          <w:b/>
          <w:bCs/>
          <w:color w:val="000000" w:themeColor="text1"/>
        </w:rPr>
      </w:pPr>
    </w:p>
    <w:p w14:paraId="387A70AC" w14:textId="4FEB1AE6" w:rsidR="00E553B6" w:rsidRDefault="00754704" w:rsidP="22C733FF">
      <w:pPr>
        <w:spacing w:before="240" w:afterLines="40" w:after="96"/>
        <w:jc w:val="both"/>
        <w:rPr>
          <w:b/>
          <w:bCs/>
          <w:color w:val="000000"/>
        </w:rPr>
      </w:pPr>
      <w:r w:rsidRPr="22C733FF">
        <w:rPr>
          <w:b/>
          <w:bCs/>
          <w:color w:val="000000" w:themeColor="text1"/>
        </w:rPr>
        <w:lastRenderedPageBreak/>
        <w:t xml:space="preserve">Anpassung der Aktivität: </w:t>
      </w:r>
      <w:r w:rsidR="00E553B6" w:rsidRPr="22C733FF">
        <w:rPr>
          <w:b/>
          <w:bCs/>
          <w:color w:val="000000" w:themeColor="text1"/>
        </w:rPr>
        <w:t>Implementierung des Ausbildungscurriculums</w:t>
      </w:r>
    </w:p>
    <w:p w14:paraId="4C41416A" w14:textId="1D78D86B" w:rsidR="00D23AB7" w:rsidRDefault="00D23AB7" w:rsidP="22C733FF">
      <w:pPr>
        <w:spacing w:before="240" w:afterLines="40" w:after="96"/>
        <w:jc w:val="both"/>
        <w:rPr>
          <w:color w:val="000000"/>
        </w:rPr>
      </w:pPr>
      <w:r w:rsidRPr="22C733FF">
        <w:rPr>
          <w:color w:val="000000" w:themeColor="text1"/>
        </w:rPr>
        <w:t xml:space="preserve">Ursprünglich war vorgesehen, dass BCH in beratender Funktion mit dem </w:t>
      </w:r>
      <w:r w:rsidR="005E2619" w:rsidRPr="22C733FF">
        <w:rPr>
          <w:color w:val="000000" w:themeColor="text1"/>
        </w:rPr>
        <w:t>Pflegerat (</w:t>
      </w:r>
      <w:r w:rsidRPr="22C733FF">
        <w:rPr>
          <w:color w:val="000000" w:themeColor="text1"/>
        </w:rPr>
        <w:t>General Nursing Council</w:t>
      </w:r>
      <w:r w:rsidR="005E2619" w:rsidRPr="22C733FF">
        <w:rPr>
          <w:color w:val="000000" w:themeColor="text1"/>
        </w:rPr>
        <w:t>),</w:t>
      </w:r>
      <w:r w:rsidRPr="22C733FF">
        <w:rPr>
          <w:color w:val="000000" w:themeColor="text1"/>
        </w:rPr>
        <w:t xml:space="preserve"> dem Curriculum Development </w:t>
      </w:r>
      <w:proofErr w:type="spellStart"/>
      <w:r w:rsidRPr="22C733FF">
        <w:rPr>
          <w:color w:val="000000" w:themeColor="text1"/>
        </w:rPr>
        <w:t>Centre</w:t>
      </w:r>
      <w:proofErr w:type="spellEnd"/>
      <w:r w:rsidRPr="22C733FF">
        <w:rPr>
          <w:color w:val="000000" w:themeColor="text1"/>
        </w:rPr>
        <w:t xml:space="preserve"> und dem Gesundheitsministerium zusammenarbeitet, um zu einer durchgängigen Berücksichtigung von HNO-Themen in der medizinischen Grundversorgung in Sambia beizutragen. In diesem Zusammenhang war vor allem die Überarbeitung des Ausbildungscurriculums vorgesehen</w:t>
      </w:r>
      <w:r w:rsidR="00783CCC" w:rsidRPr="22C733FF">
        <w:rPr>
          <w:color w:val="000000" w:themeColor="text1"/>
        </w:rPr>
        <w:t>.</w:t>
      </w:r>
    </w:p>
    <w:p w14:paraId="01DF5B53" w14:textId="6AA3322E" w:rsidR="004B2FE9" w:rsidRDefault="00783CCC" w:rsidP="009D2243">
      <w:pPr>
        <w:spacing w:before="240" w:afterLines="40" w:after="96"/>
        <w:jc w:val="both"/>
        <w:rPr>
          <w:color w:val="000000" w:themeColor="text1"/>
        </w:rPr>
      </w:pPr>
      <w:r w:rsidRPr="22C733FF">
        <w:rPr>
          <w:color w:val="000000" w:themeColor="text1"/>
        </w:rPr>
        <w:t>Im Jahr 2019 erfolgten Abstimmungen zwischen BCH und dem beratenden HNO-Chirurgen, der nationalen HNO-Koordinatorin, de</w:t>
      </w:r>
      <w:r w:rsidR="00225CE2">
        <w:rPr>
          <w:color w:val="000000" w:themeColor="text1"/>
        </w:rPr>
        <w:t>m</w:t>
      </w:r>
      <w:r w:rsidRPr="22C733FF">
        <w:rPr>
          <w:color w:val="000000" w:themeColor="text1"/>
        </w:rPr>
        <w:t xml:space="preserve"> amtierenden Direktor des Pflegerates</w:t>
      </w:r>
      <w:r w:rsidR="005E2619" w:rsidRPr="22C733FF">
        <w:rPr>
          <w:color w:val="000000" w:themeColor="text1"/>
        </w:rPr>
        <w:t xml:space="preserve"> </w:t>
      </w:r>
      <w:r w:rsidRPr="22C733FF">
        <w:rPr>
          <w:color w:val="000000" w:themeColor="text1"/>
        </w:rPr>
        <w:t>sowie de</w:t>
      </w:r>
      <w:r w:rsidR="00225CE2">
        <w:rPr>
          <w:color w:val="000000" w:themeColor="text1"/>
        </w:rPr>
        <w:t>m</w:t>
      </w:r>
      <w:r w:rsidRPr="22C733FF">
        <w:rPr>
          <w:color w:val="000000" w:themeColor="text1"/>
        </w:rPr>
        <w:t xml:space="preserve"> Leiter für Lehrplanentwicklung. </w:t>
      </w:r>
      <w:r w:rsidR="00265C7C" w:rsidRPr="22C733FF">
        <w:rPr>
          <w:color w:val="000000" w:themeColor="text1"/>
        </w:rPr>
        <w:t xml:space="preserve">Hierbei wurde festgestellt, dass die aktuelle Version des Ausbildungscurriculums die Lehre von HNO-Themen bereits ausreichend vorsieht. </w:t>
      </w:r>
      <w:r w:rsidR="00D16B9B" w:rsidRPr="22C733FF">
        <w:rPr>
          <w:color w:val="000000" w:themeColor="text1"/>
        </w:rPr>
        <w:t>Gemäß Erfahrungen des Pflegerates werden diese Inhalte jedoch kaum unterrichtet, da es den Lehrkräften an Fachwissen und Unterrichtsmaterialien mangelt.</w:t>
      </w:r>
      <w:r w:rsidR="00B7118D" w:rsidRPr="22C733FF">
        <w:rPr>
          <w:color w:val="000000" w:themeColor="text1"/>
        </w:rPr>
        <w:t xml:space="preserve"> Daher plant der Partner, die Fachkräfte entsprechend auf d</w:t>
      </w:r>
      <w:r w:rsidR="00B92F82" w:rsidRPr="22C733FF">
        <w:rPr>
          <w:color w:val="000000" w:themeColor="text1"/>
        </w:rPr>
        <w:t>ie Unterrichtung der Themen vorzubereiten</w:t>
      </w:r>
      <w:r w:rsidR="2F2FBD0D" w:rsidRPr="22C733FF">
        <w:rPr>
          <w:color w:val="000000" w:themeColor="text1"/>
        </w:rPr>
        <w:t xml:space="preserve"> sowie</w:t>
      </w:r>
      <w:r w:rsidR="00E17D85">
        <w:rPr>
          <w:color w:val="000000" w:themeColor="text1"/>
        </w:rPr>
        <w:t xml:space="preserve"> </w:t>
      </w:r>
      <w:r w:rsidR="00B92F82" w:rsidRPr="22C733FF">
        <w:rPr>
          <w:color w:val="000000" w:themeColor="text1"/>
        </w:rPr>
        <w:t>Materialien und Praktikumsstellen im Bereich HNO zur Verfügung zu stellen.</w:t>
      </w:r>
      <w:r w:rsidR="004C0FA9">
        <w:rPr>
          <w:color w:val="000000" w:themeColor="text1"/>
        </w:rPr>
        <w:t xml:space="preserve"> Di</w:t>
      </w:r>
      <w:r w:rsidR="00A85722">
        <w:rPr>
          <w:color w:val="000000" w:themeColor="text1"/>
        </w:rPr>
        <w:t>e anfallenden</w:t>
      </w:r>
      <w:r w:rsidR="004C0FA9">
        <w:rPr>
          <w:color w:val="000000" w:themeColor="text1"/>
        </w:rPr>
        <w:t xml:space="preserve"> Kosten sollen anhand des </w:t>
      </w:r>
      <w:r w:rsidR="000E6BB0">
        <w:rPr>
          <w:color w:val="000000" w:themeColor="text1"/>
        </w:rPr>
        <w:t xml:space="preserve">für die ursprünglich geplante Aktivität „Überarbeitung Curriculum HNO“ </w:t>
      </w:r>
      <w:r w:rsidR="00063FEB">
        <w:rPr>
          <w:color w:val="000000" w:themeColor="text1"/>
        </w:rPr>
        <w:t>veranschlagten Budgets (11.270 EUR) unter BMZ BL 1.2.2 finanziert werden.</w:t>
      </w:r>
    </w:p>
    <w:p w14:paraId="3A4D7443" w14:textId="08A1EA7D" w:rsidR="00051AF0" w:rsidRPr="00C01BB0" w:rsidRDefault="00EF5229" w:rsidP="009D2243">
      <w:pPr>
        <w:spacing w:before="240" w:afterLines="40" w:after="96"/>
        <w:jc w:val="both"/>
        <w:rPr>
          <w:color w:val="000000"/>
        </w:rPr>
      </w:pPr>
      <w:r w:rsidRPr="00F956DC">
        <w:rPr>
          <w:color w:val="000000" w:themeColor="text1"/>
        </w:rPr>
        <w:t>Die</w:t>
      </w:r>
      <w:r w:rsidR="00493824" w:rsidRPr="00F956DC">
        <w:rPr>
          <w:color w:val="000000" w:themeColor="text1"/>
        </w:rPr>
        <w:t xml:space="preserve"> geänderte Ausgangslange</w:t>
      </w:r>
      <w:r w:rsidR="009929B2" w:rsidRPr="00F956DC">
        <w:rPr>
          <w:color w:val="000000" w:themeColor="text1"/>
        </w:rPr>
        <w:t xml:space="preserve"> </w:t>
      </w:r>
      <w:r w:rsidRPr="00F956DC">
        <w:rPr>
          <w:color w:val="000000" w:themeColor="text1"/>
        </w:rPr>
        <w:t xml:space="preserve">wird </w:t>
      </w:r>
      <w:r w:rsidR="00F578F4" w:rsidRPr="00F956DC">
        <w:rPr>
          <w:color w:val="000000" w:themeColor="text1"/>
        </w:rPr>
        <w:t xml:space="preserve">im nächsten Zwischennachweis und im Verwendungsnachweis des Projektes beschrieben. </w:t>
      </w:r>
      <w:r w:rsidR="003A2EB2" w:rsidRPr="00F956DC">
        <w:rPr>
          <w:color w:val="000000" w:themeColor="text1"/>
        </w:rPr>
        <w:t xml:space="preserve">Die für die Implementierung des Ausbildungscurriculums vorgesehenen Aktivitäten werden ebenso </w:t>
      </w:r>
      <w:r w:rsidR="00F956DC">
        <w:rPr>
          <w:color w:val="000000" w:themeColor="text1"/>
        </w:rPr>
        <w:t xml:space="preserve">detailliert </w:t>
      </w:r>
      <w:r w:rsidR="003A2EB2" w:rsidRPr="00F956DC">
        <w:rPr>
          <w:color w:val="000000" w:themeColor="text1"/>
        </w:rPr>
        <w:t>dargelegt werden.</w:t>
      </w:r>
      <w:r w:rsidR="00F578F4" w:rsidRPr="00F956DC">
        <w:rPr>
          <w:color w:val="000000" w:themeColor="text1"/>
        </w:rPr>
        <w:t xml:space="preserve"> </w:t>
      </w:r>
    </w:p>
    <w:p w14:paraId="5D22F739" w14:textId="77777777" w:rsidR="00034D19" w:rsidRDefault="00034D19" w:rsidP="22C733FF">
      <w:pPr>
        <w:spacing w:before="240" w:afterLines="40" w:after="96"/>
        <w:jc w:val="both"/>
        <w:rPr>
          <w:b/>
          <w:bCs/>
          <w:color w:val="000000" w:themeColor="text1"/>
        </w:rPr>
      </w:pPr>
    </w:p>
    <w:p w14:paraId="05FE2DEF" w14:textId="589B6949" w:rsidR="00E553B6" w:rsidRPr="00754704" w:rsidRDefault="00031C45" w:rsidP="22C733FF">
      <w:pPr>
        <w:spacing w:before="240" w:afterLines="40" w:after="96"/>
        <w:jc w:val="both"/>
        <w:rPr>
          <w:b/>
          <w:bCs/>
          <w:color w:val="000000"/>
        </w:rPr>
      </w:pPr>
      <w:r w:rsidRPr="22C733FF">
        <w:rPr>
          <w:b/>
          <w:bCs/>
          <w:color w:val="000000" w:themeColor="text1"/>
        </w:rPr>
        <w:t xml:space="preserve">Besetzung der Position </w:t>
      </w:r>
      <w:proofErr w:type="spellStart"/>
      <w:r w:rsidR="00D14F4D" w:rsidRPr="22C733FF">
        <w:rPr>
          <w:b/>
          <w:bCs/>
          <w:color w:val="000000" w:themeColor="text1"/>
        </w:rPr>
        <w:t>Sprachtherap</w:t>
      </w:r>
      <w:r w:rsidR="00272058" w:rsidRPr="22C733FF">
        <w:rPr>
          <w:b/>
          <w:bCs/>
          <w:color w:val="000000" w:themeColor="text1"/>
        </w:rPr>
        <w:t>eut_in</w:t>
      </w:r>
      <w:proofErr w:type="spellEnd"/>
      <w:r w:rsidR="6DC962AD" w:rsidRPr="22C733FF">
        <w:rPr>
          <w:b/>
          <w:bCs/>
          <w:color w:val="000000" w:themeColor="text1"/>
        </w:rPr>
        <w:t xml:space="preserve"> (</w:t>
      </w:r>
      <w:r w:rsidR="00B4697C">
        <w:rPr>
          <w:b/>
          <w:bCs/>
          <w:color w:val="000000" w:themeColor="text1"/>
        </w:rPr>
        <w:t>3.2</w:t>
      </w:r>
      <w:r w:rsidR="00A50927">
        <w:rPr>
          <w:b/>
          <w:bCs/>
          <w:color w:val="000000" w:themeColor="text1"/>
        </w:rPr>
        <w:t xml:space="preserve">00 EUR; </w:t>
      </w:r>
      <w:r w:rsidR="6DC962AD" w:rsidRPr="22C733FF">
        <w:rPr>
          <w:b/>
          <w:bCs/>
          <w:color w:val="000000" w:themeColor="text1"/>
        </w:rPr>
        <w:t>BMZ BL 1.3.2)</w:t>
      </w:r>
    </w:p>
    <w:p w14:paraId="0334E9E4" w14:textId="0D349C6C" w:rsidR="003B7E63" w:rsidRDefault="00D14F4D" w:rsidP="00D21E0A">
      <w:pPr>
        <w:spacing w:before="240" w:afterLines="40" w:after="96"/>
        <w:jc w:val="both"/>
      </w:pPr>
      <w:r>
        <w:rPr>
          <w:bCs/>
          <w:color w:val="000000"/>
        </w:rPr>
        <w:t xml:space="preserve">Im Zwischennachweis 2019 wurde bereits berichtet, dass </w:t>
      </w:r>
      <w:r w:rsidR="00272058">
        <w:rPr>
          <w:bCs/>
          <w:color w:val="000000"/>
        </w:rPr>
        <w:t xml:space="preserve">sich </w:t>
      </w:r>
      <w:r>
        <w:rPr>
          <w:bCs/>
          <w:color w:val="000000"/>
        </w:rPr>
        <w:t>die</w:t>
      </w:r>
      <w:r w:rsidR="00272058">
        <w:rPr>
          <w:bCs/>
          <w:color w:val="000000"/>
        </w:rPr>
        <w:t xml:space="preserve"> Besetzung der Position </w:t>
      </w:r>
      <w:proofErr w:type="spellStart"/>
      <w:r w:rsidR="00272058">
        <w:rPr>
          <w:bCs/>
          <w:color w:val="000000"/>
        </w:rPr>
        <w:t>Sprachtherapeut_in</w:t>
      </w:r>
      <w:proofErr w:type="spellEnd"/>
      <w:r w:rsidR="00272058">
        <w:rPr>
          <w:bCs/>
          <w:color w:val="000000"/>
        </w:rPr>
        <w:t xml:space="preserve"> verzögerte. Dies war darauf zurückzuführen, </w:t>
      </w:r>
      <w:r>
        <w:t xml:space="preserve">dass es in Sambia bislang sehr wenige sprachtherapeutische Fachkräfte gibt. </w:t>
      </w:r>
      <w:r w:rsidR="001359FE">
        <w:t>Entgegen der Darstellung im Zwischennachweis</w:t>
      </w:r>
      <w:r w:rsidR="00797EA8">
        <w:t xml:space="preserve"> 2019</w:t>
      </w:r>
      <w:r w:rsidR="003B7E63">
        <w:t>, konnte die für Anfang 2020 geplante Anstellung einer qualifizierten Sprachtherapeutin leider nicht erfolgen.</w:t>
      </w:r>
    </w:p>
    <w:p w14:paraId="1FFD8EEC" w14:textId="3FAD7897" w:rsidR="00272058" w:rsidRDefault="00163B53" w:rsidP="00D21E0A">
      <w:pPr>
        <w:spacing w:before="240" w:afterLines="40" w:after="96"/>
        <w:jc w:val="both"/>
      </w:pPr>
      <w:r>
        <w:t>Bei einer erneuten Ausschreibung der Stelle Mitte 2020 wurden schließlich zwei qualifizierte Fachkräfte identifiziert. Da beide derzeit noch in Teilzeit vertraglich an andere Arbeitgeber gebunden sind, plant BCH die Einstellung der beiden Sprachtherapeutinnen in Teilzeit. Hierdurch soll gewährleistet werden, dass trotz der verzögerten</w:t>
      </w:r>
      <w:r w:rsidR="00A44E17">
        <w:t xml:space="preserve"> Besetzung die geplanten Schulungen</w:t>
      </w:r>
      <w:r w:rsidR="00F377B4">
        <w:t xml:space="preserve"> von </w:t>
      </w:r>
      <w:proofErr w:type="spellStart"/>
      <w:r w:rsidR="00F377B4">
        <w:t>Sprachtherapieassistent_innen</w:t>
      </w:r>
      <w:proofErr w:type="spellEnd"/>
      <w:r w:rsidR="00A44E17">
        <w:t xml:space="preserve"> durchgeführt werden und die sprachtherapeutischen Dienste am BCH angeboten werden können, deren Angebot stark nachgefragt wird.</w:t>
      </w:r>
    </w:p>
    <w:p w14:paraId="60B44601" w14:textId="6D10530D" w:rsidR="00754704" w:rsidRPr="007451A2" w:rsidRDefault="00662BBB" w:rsidP="009D2243">
      <w:pPr>
        <w:spacing w:before="240" w:afterLines="40" w:after="96"/>
        <w:jc w:val="both"/>
      </w:pPr>
      <w:r>
        <w:t xml:space="preserve">Die beiden Sprachtherapeutinnen werden ihre Tätigkeit am BCH im Oktober 2020 beginnen. </w:t>
      </w:r>
      <w:r w:rsidR="00397B99">
        <w:t>Infolge der verzögerten Besetzung der Position beantragen wir eine Verlängerung der anteiligen Gehaltszahlungen anhand von Projektfördermitteln um vier Monate</w:t>
      </w:r>
      <w:r w:rsidR="005D3350">
        <w:t xml:space="preserve"> bis Oktober 2021</w:t>
      </w:r>
      <w:r w:rsidR="00397B99">
        <w:t xml:space="preserve">. </w:t>
      </w:r>
      <w:r w:rsidR="00A50927">
        <w:t>Hierfür werden pro Sprachtherapeutin zusätzlich 1.600 EUR benötigt</w:t>
      </w:r>
      <w:r w:rsidR="00797EA8">
        <w:t xml:space="preserve"> (400 EUR monatlich)</w:t>
      </w:r>
      <w:r w:rsidR="00A50927">
        <w:t xml:space="preserve">. </w:t>
      </w:r>
      <w:r w:rsidR="00397B99" w:rsidRPr="00102AA5">
        <w:t xml:space="preserve">Unsere Partnerorganisation wird die Gehaltszahlungen ab November 2021 </w:t>
      </w:r>
      <w:r w:rsidR="00456177" w:rsidRPr="00102AA5">
        <w:t>zu 100% selbst tragen</w:t>
      </w:r>
      <w:r w:rsidR="00B312AA">
        <w:t xml:space="preserve"> und so dafür sorgen, dass die Zielregion langfristig einen Zugang zu sprachtherapeutischen Diensten hat</w:t>
      </w:r>
      <w:r w:rsidR="00456177">
        <w:t>.</w:t>
      </w:r>
    </w:p>
    <w:p w14:paraId="558C2970" w14:textId="77777777" w:rsidR="00966057" w:rsidRDefault="00966057" w:rsidP="009D2243">
      <w:pPr>
        <w:spacing w:before="240" w:afterLines="40" w:after="96"/>
        <w:jc w:val="both"/>
        <w:rPr>
          <w:b/>
          <w:color w:val="000000"/>
        </w:rPr>
      </w:pPr>
    </w:p>
    <w:p w14:paraId="3648A942" w14:textId="7AD39C91" w:rsidR="00716273" w:rsidRPr="00A64664" w:rsidRDefault="00716273" w:rsidP="009D2243">
      <w:pPr>
        <w:spacing w:before="240" w:afterLines="40" w:after="96"/>
        <w:jc w:val="both"/>
        <w:rPr>
          <w:b/>
          <w:color w:val="000000"/>
        </w:rPr>
      </w:pPr>
      <w:r w:rsidRPr="00A64664">
        <w:rPr>
          <w:b/>
          <w:color w:val="000000"/>
        </w:rPr>
        <w:lastRenderedPageBreak/>
        <w:t xml:space="preserve">Durchführung von </w:t>
      </w:r>
      <w:r w:rsidR="00754704" w:rsidRPr="00A64664">
        <w:rPr>
          <w:b/>
          <w:color w:val="000000"/>
        </w:rPr>
        <w:t>COVID-19 Präventionsmaßnahmen (</w:t>
      </w:r>
      <w:r w:rsidR="00166AD3">
        <w:rPr>
          <w:b/>
          <w:color w:val="000000"/>
        </w:rPr>
        <w:t>10.25</w:t>
      </w:r>
      <w:r w:rsidR="00D001D2">
        <w:rPr>
          <w:b/>
          <w:color w:val="000000"/>
        </w:rPr>
        <w:t>6</w:t>
      </w:r>
      <w:r w:rsidR="00D1317B" w:rsidRPr="00A64664">
        <w:rPr>
          <w:b/>
          <w:color w:val="000000"/>
        </w:rPr>
        <w:t xml:space="preserve"> </w:t>
      </w:r>
      <w:r w:rsidR="00754704" w:rsidRPr="00A64664">
        <w:rPr>
          <w:b/>
          <w:color w:val="000000"/>
        </w:rPr>
        <w:t>EUR, BMZ BL 1.2.6)</w:t>
      </w:r>
    </w:p>
    <w:p w14:paraId="05E66FE2" w14:textId="4FD82BF6" w:rsidR="00716273" w:rsidRDefault="00716273" w:rsidP="00A12DE4">
      <w:pPr>
        <w:numPr>
          <w:ilvl w:val="0"/>
          <w:numId w:val="3"/>
        </w:numPr>
        <w:spacing w:before="240" w:after="8"/>
        <w:ind w:left="567" w:hanging="567"/>
        <w:jc w:val="both"/>
        <w:rPr>
          <w:b/>
          <w:bCs/>
        </w:rPr>
      </w:pPr>
      <w:r w:rsidRPr="00903834">
        <w:rPr>
          <w:b/>
          <w:bCs/>
        </w:rPr>
        <w:t>Wie beeinflusst COVID-19 die aktuelle Situation im Projektgebiet?</w:t>
      </w:r>
    </w:p>
    <w:p w14:paraId="331B54A2" w14:textId="4389F95D" w:rsidR="00A64664" w:rsidRDefault="00D21E0A" w:rsidP="00D21E0A">
      <w:pPr>
        <w:pStyle w:val="paragraph"/>
        <w:spacing w:before="240" w:beforeAutospacing="0" w:after="8" w:afterAutospacing="0" w:line="276" w:lineRule="auto"/>
        <w:jc w:val="both"/>
        <w:textAlignment w:val="baseline"/>
        <w:rPr>
          <w:rFonts w:ascii="Calibri" w:eastAsia="Calibri" w:hAnsi="Calibri"/>
          <w:sz w:val="22"/>
          <w:szCs w:val="22"/>
          <w:lang w:eastAsia="en-US"/>
        </w:rPr>
      </w:pPr>
      <w:r w:rsidRPr="00B312AA">
        <w:rPr>
          <w:rFonts w:ascii="Calibri" w:eastAsia="Calibri" w:hAnsi="Calibri"/>
          <w:sz w:val="22"/>
          <w:szCs w:val="22"/>
          <w:lang w:eastAsia="en-US"/>
        </w:rPr>
        <w:t>In den vergangenen Monaten (</w:t>
      </w:r>
      <w:r w:rsidR="00B312AA">
        <w:rPr>
          <w:rFonts w:ascii="Calibri" w:eastAsia="Calibri" w:hAnsi="Calibri"/>
          <w:sz w:val="22"/>
          <w:szCs w:val="22"/>
          <w:lang w:eastAsia="en-US"/>
        </w:rPr>
        <w:t xml:space="preserve">insbesondere im Zeitraum </w:t>
      </w:r>
      <w:r w:rsidRPr="00B312AA">
        <w:rPr>
          <w:rFonts w:ascii="Calibri" w:eastAsia="Calibri" w:hAnsi="Calibri"/>
          <w:sz w:val="22"/>
          <w:szCs w:val="22"/>
          <w:lang w:eastAsia="en-US"/>
        </w:rPr>
        <w:t>Juni</w:t>
      </w:r>
      <w:r w:rsidR="00B312AA">
        <w:rPr>
          <w:rFonts w:ascii="Calibri" w:eastAsia="Calibri" w:hAnsi="Calibri"/>
          <w:sz w:val="22"/>
          <w:szCs w:val="22"/>
          <w:lang w:eastAsia="en-US"/>
        </w:rPr>
        <w:t xml:space="preserve"> bis </w:t>
      </w:r>
      <w:r w:rsidRPr="00B312AA">
        <w:rPr>
          <w:rFonts w:ascii="Calibri" w:eastAsia="Calibri" w:hAnsi="Calibri"/>
          <w:sz w:val="22"/>
          <w:szCs w:val="22"/>
          <w:lang w:eastAsia="en-US"/>
        </w:rPr>
        <w:t>August 2020) erlebte Sambia einen stetigen Anstieg der Zahl der COVID-19-Infektionen. Zum 13. September verzeichnete das Land insgesamt 13.446 bestätigte Fälle sowie 312 Todesfälle.</w:t>
      </w:r>
      <w:r w:rsidRPr="00B312AA">
        <w:rPr>
          <w:rFonts w:ascii="Calibri" w:eastAsia="Calibri" w:hAnsi="Calibri"/>
          <w:sz w:val="22"/>
          <w:szCs w:val="22"/>
          <w:lang w:eastAsia="en-US"/>
        </w:rPr>
        <w:footnoteReference w:id="1"/>
      </w:r>
      <w:r w:rsidRPr="00B312AA">
        <w:rPr>
          <w:rFonts w:ascii="Calibri" w:eastAsia="Calibri" w:hAnsi="Calibri"/>
          <w:sz w:val="22"/>
          <w:szCs w:val="22"/>
          <w:lang w:eastAsia="en-US"/>
        </w:rPr>
        <w:t xml:space="preserve"> Zur Eindämmung der weiteren Ausbreitung des Virus hat die Regierung entsprechende Vorschriften erlassen, u.a. das verpflichtende Tragen von Mund-Nasen-Masken </w:t>
      </w:r>
      <w:r w:rsidR="00B312AA">
        <w:rPr>
          <w:rFonts w:ascii="Calibri" w:eastAsia="Calibri" w:hAnsi="Calibri"/>
          <w:sz w:val="22"/>
          <w:szCs w:val="22"/>
          <w:lang w:eastAsia="en-US"/>
        </w:rPr>
        <w:t>im öffentlichen Raum</w:t>
      </w:r>
      <w:r w:rsidRPr="00B312AA">
        <w:rPr>
          <w:rFonts w:ascii="Calibri" w:eastAsia="Calibri" w:hAnsi="Calibri"/>
          <w:sz w:val="22"/>
          <w:szCs w:val="22"/>
          <w:lang w:eastAsia="en-US"/>
        </w:rPr>
        <w:t xml:space="preserve"> sowie die Begrenzung der maximalen Personenzahl bei Versammlungen auf 50 Personen. </w:t>
      </w:r>
      <w:r w:rsidR="00B312AA">
        <w:rPr>
          <w:rFonts w:ascii="Calibri" w:eastAsia="Calibri" w:hAnsi="Calibri"/>
          <w:sz w:val="22"/>
          <w:szCs w:val="22"/>
          <w:lang w:eastAsia="en-US"/>
        </w:rPr>
        <w:t>Infolge der</w:t>
      </w:r>
      <w:r w:rsidRPr="00B312AA">
        <w:rPr>
          <w:rFonts w:ascii="Calibri" w:eastAsia="Calibri" w:hAnsi="Calibri"/>
          <w:sz w:val="22"/>
          <w:szCs w:val="22"/>
          <w:lang w:eastAsia="en-US"/>
        </w:rPr>
        <w:t xml:space="preserve"> Verpflichtung zum Tragen von Mund-Nasen-Masken hat </w:t>
      </w:r>
      <w:r w:rsidR="00B312AA">
        <w:rPr>
          <w:rFonts w:ascii="Calibri" w:eastAsia="Calibri" w:hAnsi="Calibri"/>
          <w:sz w:val="22"/>
          <w:szCs w:val="22"/>
          <w:lang w:eastAsia="en-US"/>
        </w:rPr>
        <w:t xml:space="preserve">sich </w:t>
      </w:r>
      <w:r w:rsidRPr="00B312AA">
        <w:rPr>
          <w:rFonts w:ascii="Calibri" w:eastAsia="Calibri" w:hAnsi="Calibri"/>
          <w:sz w:val="22"/>
          <w:szCs w:val="22"/>
          <w:lang w:eastAsia="en-US"/>
        </w:rPr>
        <w:t xml:space="preserve">die Nachfrage </w:t>
      </w:r>
      <w:r w:rsidR="00B312AA">
        <w:rPr>
          <w:rFonts w:ascii="Calibri" w:eastAsia="Calibri" w:hAnsi="Calibri"/>
          <w:sz w:val="22"/>
          <w:szCs w:val="22"/>
          <w:lang w:eastAsia="en-US"/>
        </w:rPr>
        <w:t xml:space="preserve">nach Masken </w:t>
      </w:r>
      <w:r w:rsidRPr="00B312AA">
        <w:rPr>
          <w:rFonts w:ascii="Calibri" w:eastAsia="Calibri" w:hAnsi="Calibri"/>
          <w:sz w:val="22"/>
          <w:szCs w:val="22"/>
          <w:lang w:eastAsia="en-US"/>
        </w:rPr>
        <w:t xml:space="preserve">stark erhöht, wodurch die Preise für persönliche Schutzausrüstung entsprechend in die Höhe geschnellt sind. Gerade für die vulnerabelsten Menschen im Land, insbesondere auch Menschen mit Behinderungen, wird der persönliche Schutz </w:t>
      </w:r>
      <w:r w:rsidR="00B312AA">
        <w:rPr>
          <w:rFonts w:ascii="Calibri" w:eastAsia="Calibri" w:hAnsi="Calibri"/>
          <w:sz w:val="22"/>
          <w:szCs w:val="22"/>
          <w:lang w:eastAsia="en-US"/>
        </w:rPr>
        <w:t xml:space="preserve">hierdurch </w:t>
      </w:r>
      <w:r w:rsidRPr="00B312AA">
        <w:rPr>
          <w:rFonts w:ascii="Calibri" w:eastAsia="Calibri" w:hAnsi="Calibri"/>
          <w:sz w:val="22"/>
          <w:szCs w:val="22"/>
          <w:lang w:eastAsia="en-US"/>
        </w:rPr>
        <w:t xml:space="preserve">unerschwinglich. Zudem hatte die </w:t>
      </w:r>
      <w:r w:rsidR="005C0C2F">
        <w:rPr>
          <w:rFonts w:ascii="Calibri" w:eastAsia="Calibri" w:hAnsi="Calibri"/>
          <w:sz w:val="22"/>
          <w:szCs w:val="22"/>
          <w:lang w:eastAsia="en-US"/>
        </w:rPr>
        <w:t xml:space="preserve">sambische </w:t>
      </w:r>
      <w:r w:rsidRPr="00B312AA">
        <w:rPr>
          <w:rFonts w:ascii="Calibri" w:eastAsia="Calibri" w:hAnsi="Calibri"/>
          <w:sz w:val="22"/>
          <w:szCs w:val="22"/>
          <w:lang w:eastAsia="en-US"/>
        </w:rPr>
        <w:t xml:space="preserve">Regierung zunächst auch die Bewegungsfreiheit zwischen den einzelnen Provinzen eingeschränkt. Diese Einschränkungen wurden durch das Gesundheitsministerium mittlerweile wieder gelockert. Zur Eindämmung der Pandemie bleiben jedoch einzelne Wirtschaftszweige bis auf Weiteres geschlossen. Für andere Bereiche wurde angeordnet, dass nicht unbedingt erforderliche Arbeitskräfte </w:t>
      </w:r>
      <w:r w:rsidR="005C0C2F">
        <w:rPr>
          <w:rFonts w:ascii="Calibri" w:eastAsia="Calibri" w:hAnsi="Calibri"/>
          <w:sz w:val="22"/>
          <w:szCs w:val="22"/>
          <w:lang w:eastAsia="en-US"/>
        </w:rPr>
        <w:t>von zu Hause</w:t>
      </w:r>
      <w:r w:rsidRPr="00B312AA">
        <w:rPr>
          <w:rFonts w:ascii="Calibri" w:eastAsia="Calibri" w:hAnsi="Calibri"/>
          <w:sz w:val="22"/>
          <w:szCs w:val="22"/>
          <w:lang w:eastAsia="en-US"/>
        </w:rPr>
        <w:t xml:space="preserve"> arbeiten, während die erforderlichen Arbeitskräfte über ein Rotationssystem eingesetzt werden, um zu großen Menschenansammlungen an den Arbeitsplätzen vorzubeugen.</w:t>
      </w:r>
    </w:p>
    <w:p w14:paraId="2F2C13FC" w14:textId="5EC9BDBD" w:rsidR="002332A6" w:rsidRDefault="002332A6" w:rsidP="00D21E0A">
      <w:pPr>
        <w:pStyle w:val="paragraph"/>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t>Die von der Region erlassenen Einschränkungen haben auch für die sambische Bevölkerung</w:t>
      </w:r>
      <w:r w:rsidRPr="002332A6">
        <w:rPr>
          <w:rFonts w:ascii="Calibri" w:eastAsia="Calibri" w:hAnsi="Calibri"/>
          <w:sz w:val="22"/>
          <w:szCs w:val="22"/>
          <w:lang w:eastAsia="en-US"/>
        </w:rPr>
        <w:t xml:space="preserve"> wirtschaftliche Folgen als Konsequenz, wovon vulnerable Bevölkerungsgruppen, wie Menschen mit Behinderungen, besonders betroffen sind. Aufgrund von oftmals prekären Lebensumständen sind Menschen mit Behinderungen ohnehin einem hohen Infektionsrisiko ausgesetzt. Vorerkrankungen können zu einem schwerwiegenderen Krankheitsverlauf führen. Da Menschen mit Behinderungen zum Teil auf die Unterstützung anderer Personen angewiesen sind, ist es für sie schwieriger, Abstand zu wahren und sich selbst vor einer Infektion zu schützen. Darüber hinaus wird ihnen der Zugang zu Hygienevorrichtungen und Gesundheitsdiensten oftmals durch mangelnde Barrierefreiheit oder große </w:t>
      </w:r>
      <w:r w:rsidR="00865D76">
        <w:rPr>
          <w:rFonts w:ascii="Calibri" w:eastAsia="Calibri" w:hAnsi="Calibri"/>
          <w:sz w:val="22"/>
          <w:szCs w:val="22"/>
          <w:lang w:eastAsia="en-US"/>
        </w:rPr>
        <w:t xml:space="preserve">räumliche </w:t>
      </w:r>
      <w:r w:rsidRPr="002332A6">
        <w:rPr>
          <w:rFonts w:ascii="Calibri" w:eastAsia="Calibri" w:hAnsi="Calibri"/>
          <w:sz w:val="22"/>
          <w:szCs w:val="22"/>
          <w:lang w:eastAsia="en-US"/>
        </w:rPr>
        <w:t>Distanzen erschwert.</w:t>
      </w:r>
    </w:p>
    <w:p w14:paraId="7085298F" w14:textId="0A3243B8" w:rsidR="00E83C70" w:rsidRPr="00B312AA" w:rsidRDefault="00CC3B83" w:rsidP="00D21E0A">
      <w:pPr>
        <w:pStyle w:val="paragraph"/>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t>Die</w:t>
      </w:r>
      <w:r w:rsidR="00E83C70" w:rsidRPr="00E83C70">
        <w:rPr>
          <w:rFonts w:ascii="Calibri" w:eastAsia="Calibri" w:hAnsi="Calibri"/>
          <w:sz w:val="22"/>
          <w:szCs w:val="22"/>
          <w:lang w:eastAsia="en-US"/>
        </w:rPr>
        <w:t xml:space="preserve"> Einschränkungen haben </w:t>
      </w:r>
      <w:r>
        <w:rPr>
          <w:rFonts w:ascii="Calibri" w:eastAsia="Calibri" w:hAnsi="Calibri"/>
          <w:sz w:val="22"/>
          <w:szCs w:val="22"/>
          <w:lang w:eastAsia="en-US"/>
        </w:rPr>
        <w:t xml:space="preserve">außerdem </w:t>
      </w:r>
      <w:r w:rsidR="00E83C70" w:rsidRPr="00E83C70">
        <w:rPr>
          <w:rFonts w:ascii="Calibri" w:eastAsia="Calibri" w:hAnsi="Calibri"/>
          <w:sz w:val="22"/>
          <w:szCs w:val="22"/>
          <w:lang w:eastAsia="en-US"/>
        </w:rPr>
        <w:t>zu einer Pausierung verschiedener Projektaktivitäten in diesem Zeitraum geführt. Zu den ausgesetzten Aktivitäten zählen die Durchführung von Schulungen, Workshops</w:t>
      </w:r>
      <w:r>
        <w:rPr>
          <w:rFonts w:ascii="Calibri" w:eastAsia="Calibri" w:hAnsi="Calibri"/>
          <w:sz w:val="22"/>
          <w:szCs w:val="22"/>
          <w:lang w:eastAsia="en-US"/>
        </w:rPr>
        <w:t xml:space="preserve">, </w:t>
      </w:r>
      <w:proofErr w:type="spellStart"/>
      <w:r>
        <w:rPr>
          <w:rFonts w:ascii="Calibri" w:eastAsia="Calibri" w:hAnsi="Calibri"/>
          <w:sz w:val="22"/>
          <w:szCs w:val="22"/>
          <w:lang w:eastAsia="en-US"/>
        </w:rPr>
        <w:t>Outreaches</w:t>
      </w:r>
      <w:proofErr w:type="spellEnd"/>
      <w:r>
        <w:rPr>
          <w:rFonts w:ascii="Calibri" w:eastAsia="Calibri" w:hAnsi="Calibri"/>
          <w:sz w:val="22"/>
          <w:szCs w:val="22"/>
          <w:lang w:eastAsia="en-US"/>
        </w:rPr>
        <w:t xml:space="preserve"> und Schulscreenings. </w:t>
      </w:r>
    </w:p>
    <w:p w14:paraId="7A597211" w14:textId="3A8AA3A4" w:rsidR="00716273" w:rsidRDefault="00716273" w:rsidP="00903834">
      <w:pPr>
        <w:numPr>
          <w:ilvl w:val="0"/>
          <w:numId w:val="3"/>
        </w:numPr>
        <w:spacing w:before="240" w:afterLines="40" w:after="96"/>
        <w:ind w:left="567" w:hanging="567"/>
        <w:jc w:val="both"/>
        <w:rPr>
          <w:b/>
          <w:bCs/>
        </w:rPr>
      </w:pPr>
      <w:r w:rsidRPr="00903834">
        <w:rPr>
          <w:b/>
          <w:bCs/>
        </w:rPr>
        <w:t>Inwieweit gefährdet COVID-19 die gewünschte Wirkung und die Erreichung der Projektziele (</w:t>
      </w:r>
      <w:proofErr w:type="spellStart"/>
      <w:r w:rsidRPr="00903834">
        <w:rPr>
          <w:b/>
          <w:bCs/>
        </w:rPr>
        <w:t>Oberziel</w:t>
      </w:r>
      <w:proofErr w:type="spellEnd"/>
      <w:r w:rsidRPr="00903834">
        <w:rPr>
          <w:b/>
          <w:bCs/>
        </w:rPr>
        <w:t>, ggf. Teilziele)?</w:t>
      </w:r>
    </w:p>
    <w:p w14:paraId="75BD98D7" w14:textId="77777777" w:rsidR="00445A8D" w:rsidRDefault="00D21E0A" w:rsidP="0044714C">
      <w:pPr>
        <w:pStyle w:val="paragraph"/>
        <w:spacing w:before="240" w:beforeAutospacing="0" w:after="8" w:afterAutospacing="0" w:line="276" w:lineRule="auto"/>
        <w:jc w:val="both"/>
        <w:textAlignment w:val="baseline"/>
        <w:rPr>
          <w:rFonts w:ascii="Calibri" w:eastAsia="Calibri" w:hAnsi="Calibri"/>
          <w:sz w:val="22"/>
          <w:szCs w:val="22"/>
          <w:lang w:eastAsia="en-US"/>
        </w:rPr>
      </w:pPr>
      <w:r w:rsidRPr="00953A91">
        <w:rPr>
          <w:rFonts w:ascii="Calibri" w:eastAsia="Calibri" w:hAnsi="Calibri"/>
          <w:sz w:val="22"/>
          <w:szCs w:val="22"/>
          <w:lang w:eastAsia="en-US"/>
        </w:rPr>
        <w:t>Das übergeordnete Ziel des Projekt</w:t>
      </w:r>
      <w:r w:rsidR="00953A91">
        <w:rPr>
          <w:rFonts w:ascii="Calibri" w:eastAsia="Calibri" w:hAnsi="Calibri"/>
          <w:sz w:val="22"/>
          <w:szCs w:val="22"/>
          <w:lang w:eastAsia="en-US"/>
        </w:rPr>
        <w:t>e</w:t>
      </w:r>
      <w:r w:rsidRPr="00953A91">
        <w:rPr>
          <w:rFonts w:ascii="Calibri" w:eastAsia="Calibri" w:hAnsi="Calibri"/>
          <w:sz w:val="22"/>
          <w:szCs w:val="22"/>
          <w:lang w:eastAsia="en-US"/>
        </w:rPr>
        <w:t xml:space="preserve">s lautet: "Die HNO-medizinische Versorgung in Sambia ist nachhaltig gesichert". </w:t>
      </w:r>
      <w:r w:rsidR="0044714C" w:rsidRPr="0044714C">
        <w:rPr>
          <w:rFonts w:ascii="Calibri" w:eastAsia="Calibri" w:hAnsi="Calibri"/>
          <w:sz w:val="22"/>
          <w:szCs w:val="22"/>
          <w:lang w:eastAsia="en-US"/>
        </w:rPr>
        <w:t>Bislang haben die Auswirkungen der Coronakrise zu zahlreichen Verzögerungen in der Projektimplementierung geführt.</w:t>
      </w:r>
      <w:r w:rsidR="0044714C">
        <w:rPr>
          <w:rFonts w:ascii="Calibri" w:eastAsia="Calibri" w:hAnsi="Calibri"/>
          <w:sz w:val="22"/>
          <w:szCs w:val="22"/>
          <w:lang w:eastAsia="en-US"/>
        </w:rPr>
        <w:t xml:space="preserve"> </w:t>
      </w:r>
      <w:r w:rsidR="00445A8D">
        <w:rPr>
          <w:rFonts w:ascii="Calibri" w:eastAsia="Calibri" w:hAnsi="Calibri"/>
          <w:sz w:val="22"/>
          <w:szCs w:val="22"/>
          <w:lang w:eastAsia="en-US"/>
        </w:rPr>
        <w:t>Hiervon waren insbesondere Aktivitäten, die zu den Unterzielen 2 und 4 beitragen, betroffen.</w:t>
      </w:r>
    </w:p>
    <w:p w14:paraId="77B0F582" w14:textId="379F4F9A" w:rsidR="0044714C" w:rsidRDefault="0044714C" w:rsidP="0044714C">
      <w:pPr>
        <w:pStyle w:val="paragraph"/>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t>Während die meisten Trainings und Workshops aufgrund der Einschränkungen nicht wie geplant s</w:t>
      </w:r>
      <w:r w:rsidR="002A6C56">
        <w:rPr>
          <w:rFonts w:ascii="Calibri" w:eastAsia="Calibri" w:hAnsi="Calibri"/>
          <w:sz w:val="22"/>
          <w:szCs w:val="22"/>
          <w:lang w:eastAsia="en-US"/>
        </w:rPr>
        <w:t>t</w:t>
      </w:r>
      <w:r>
        <w:rPr>
          <w:rFonts w:ascii="Calibri" w:eastAsia="Calibri" w:hAnsi="Calibri"/>
          <w:sz w:val="22"/>
          <w:szCs w:val="22"/>
          <w:lang w:eastAsia="en-US"/>
        </w:rPr>
        <w:t xml:space="preserve">attfinden konnten, wurde die Ausbildung der </w:t>
      </w:r>
      <w:proofErr w:type="spellStart"/>
      <w:r>
        <w:rPr>
          <w:rFonts w:ascii="Calibri" w:eastAsia="Calibri" w:hAnsi="Calibri"/>
          <w:sz w:val="22"/>
          <w:szCs w:val="22"/>
          <w:lang w:eastAsia="en-US"/>
        </w:rPr>
        <w:t>Hörgeräteakustiker_innen</w:t>
      </w:r>
      <w:proofErr w:type="spellEnd"/>
      <w:r>
        <w:rPr>
          <w:rFonts w:ascii="Calibri" w:eastAsia="Calibri" w:hAnsi="Calibri"/>
          <w:sz w:val="22"/>
          <w:szCs w:val="22"/>
          <w:lang w:eastAsia="en-US"/>
        </w:rPr>
        <w:t xml:space="preserve"> im Rahmen einer virtuellen </w:t>
      </w:r>
      <w:r>
        <w:rPr>
          <w:rFonts w:ascii="Calibri" w:eastAsia="Calibri" w:hAnsi="Calibri"/>
          <w:sz w:val="22"/>
          <w:szCs w:val="22"/>
          <w:lang w:eastAsia="en-US"/>
        </w:rPr>
        <w:lastRenderedPageBreak/>
        <w:t>Einführungsveranstaltung begonnen. Außerdem wurden die Durchführung der Mid-Term Evaluierung und der HNO-Prävalenzstudie, die Beschaffung des verbleibenden Equipments sowie die Konstruktionsarbeiten für die Hörkabinen vorbereitet.</w:t>
      </w:r>
    </w:p>
    <w:p w14:paraId="3050063E" w14:textId="616510D1" w:rsidR="002529D5" w:rsidRDefault="00D21E0A" w:rsidP="00EB70F7">
      <w:pPr>
        <w:pStyle w:val="paragraph"/>
        <w:spacing w:before="240" w:beforeAutospacing="0" w:after="8" w:afterAutospacing="0" w:line="276" w:lineRule="auto"/>
        <w:jc w:val="both"/>
        <w:textAlignment w:val="baseline"/>
        <w:rPr>
          <w:rFonts w:ascii="Calibri" w:eastAsia="Calibri" w:hAnsi="Calibri"/>
          <w:sz w:val="22"/>
          <w:szCs w:val="22"/>
          <w:lang w:eastAsia="en-US"/>
        </w:rPr>
      </w:pPr>
      <w:r w:rsidRPr="00953A91">
        <w:rPr>
          <w:rFonts w:ascii="Calibri" w:eastAsia="Calibri" w:hAnsi="Calibri"/>
          <w:sz w:val="22"/>
          <w:szCs w:val="22"/>
          <w:lang w:eastAsia="en-US"/>
        </w:rPr>
        <w:t xml:space="preserve">Aufgrund der Einschränkungen der Bewegungsfreiheit </w:t>
      </w:r>
      <w:r w:rsidR="00953A91">
        <w:rPr>
          <w:rFonts w:ascii="Calibri" w:eastAsia="Calibri" w:hAnsi="Calibri"/>
          <w:sz w:val="22"/>
          <w:szCs w:val="22"/>
          <w:lang w:eastAsia="en-US"/>
        </w:rPr>
        <w:t>haben sich die Folgen der</w:t>
      </w:r>
      <w:r w:rsidRPr="00953A91">
        <w:rPr>
          <w:rFonts w:ascii="Calibri" w:eastAsia="Calibri" w:hAnsi="Calibri"/>
          <w:sz w:val="22"/>
          <w:szCs w:val="22"/>
          <w:lang w:eastAsia="en-US"/>
        </w:rPr>
        <w:t xml:space="preserve"> COVID-19-Pandemie zunächst auf die Ausbildung des Gesundheitspersonals ausgewirkt, da die ausgewählten Gesundheitsfachkräfte teil</w:t>
      </w:r>
      <w:r w:rsidR="00434B26">
        <w:rPr>
          <w:rFonts w:ascii="Calibri" w:eastAsia="Calibri" w:hAnsi="Calibri"/>
          <w:sz w:val="22"/>
          <w:szCs w:val="22"/>
          <w:lang w:eastAsia="en-US"/>
        </w:rPr>
        <w:t>weise</w:t>
      </w:r>
      <w:r w:rsidRPr="00953A91">
        <w:rPr>
          <w:rFonts w:ascii="Calibri" w:eastAsia="Calibri" w:hAnsi="Calibri"/>
          <w:sz w:val="22"/>
          <w:szCs w:val="22"/>
          <w:lang w:eastAsia="en-US"/>
        </w:rPr>
        <w:t xml:space="preserve"> nicht zu den </w:t>
      </w:r>
      <w:r w:rsidR="00E942DC">
        <w:rPr>
          <w:rFonts w:ascii="Calibri" w:eastAsia="Calibri" w:hAnsi="Calibri"/>
          <w:sz w:val="22"/>
          <w:szCs w:val="22"/>
          <w:lang w:eastAsia="en-US"/>
        </w:rPr>
        <w:t>W</w:t>
      </w:r>
      <w:r w:rsidRPr="00953A91">
        <w:rPr>
          <w:rFonts w:ascii="Calibri" w:eastAsia="Calibri" w:hAnsi="Calibri"/>
          <w:sz w:val="22"/>
          <w:szCs w:val="22"/>
          <w:lang w:eastAsia="en-US"/>
        </w:rPr>
        <w:t>orkshops in Lusaka anreisen konnten</w:t>
      </w:r>
      <w:r w:rsidR="00126984">
        <w:rPr>
          <w:rFonts w:ascii="Calibri" w:eastAsia="Calibri" w:hAnsi="Calibri"/>
          <w:sz w:val="22"/>
          <w:szCs w:val="22"/>
          <w:lang w:eastAsia="en-US"/>
        </w:rPr>
        <w:t xml:space="preserve"> (Unterziel 2)</w:t>
      </w:r>
      <w:r w:rsidRPr="00953A91">
        <w:rPr>
          <w:rFonts w:ascii="Calibri" w:eastAsia="Calibri" w:hAnsi="Calibri"/>
          <w:sz w:val="22"/>
          <w:szCs w:val="22"/>
          <w:lang w:eastAsia="en-US"/>
        </w:rPr>
        <w:t xml:space="preserve">. Nachdem diese Einschränkungen inzwischen gelockert wurden, kann das Projekt die Schulungen wieder aufnehmen und so </w:t>
      </w:r>
      <w:r w:rsidR="00B67A1D">
        <w:rPr>
          <w:rFonts w:ascii="Calibri" w:eastAsia="Calibri" w:hAnsi="Calibri"/>
          <w:sz w:val="22"/>
          <w:szCs w:val="22"/>
          <w:lang w:eastAsia="en-US"/>
        </w:rPr>
        <w:t>die</w:t>
      </w:r>
      <w:r w:rsidRPr="00953A91">
        <w:rPr>
          <w:rFonts w:ascii="Calibri" w:eastAsia="Calibri" w:hAnsi="Calibri"/>
          <w:sz w:val="22"/>
          <w:szCs w:val="22"/>
          <w:lang w:eastAsia="en-US"/>
        </w:rPr>
        <w:t xml:space="preserve"> verschobenen</w:t>
      </w:r>
      <w:r w:rsidR="003E62F5">
        <w:rPr>
          <w:rFonts w:ascii="Calibri" w:eastAsia="Calibri" w:hAnsi="Calibri"/>
          <w:sz w:val="22"/>
          <w:szCs w:val="22"/>
          <w:lang w:eastAsia="en-US"/>
        </w:rPr>
        <w:t xml:space="preserve"> </w:t>
      </w:r>
      <w:r w:rsidR="00953A91">
        <w:rPr>
          <w:rFonts w:ascii="Calibri" w:eastAsia="Calibri" w:hAnsi="Calibri"/>
          <w:sz w:val="22"/>
          <w:szCs w:val="22"/>
          <w:lang w:eastAsia="en-US"/>
        </w:rPr>
        <w:t>Trainings</w:t>
      </w:r>
      <w:r w:rsidRPr="00953A91">
        <w:rPr>
          <w:rFonts w:ascii="Calibri" w:eastAsia="Calibri" w:hAnsi="Calibri"/>
          <w:sz w:val="22"/>
          <w:szCs w:val="22"/>
          <w:lang w:eastAsia="en-US"/>
        </w:rPr>
        <w:t xml:space="preserve"> unter </w:t>
      </w:r>
      <w:r w:rsidR="00B67A1D">
        <w:rPr>
          <w:rFonts w:ascii="Calibri" w:eastAsia="Calibri" w:hAnsi="Calibri"/>
          <w:sz w:val="22"/>
          <w:szCs w:val="22"/>
          <w:lang w:eastAsia="en-US"/>
        </w:rPr>
        <w:t xml:space="preserve">Vorbehalt und </w:t>
      </w:r>
      <w:r w:rsidRPr="00953A91">
        <w:rPr>
          <w:rFonts w:ascii="Calibri" w:eastAsia="Calibri" w:hAnsi="Calibri"/>
          <w:sz w:val="22"/>
          <w:szCs w:val="22"/>
          <w:lang w:eastAsia="en-US"/>
        </w:rPr>
        <w:t xml:space="preserve">Berücksichtigung der </w:t>
      </w:r>
      <w:r w:rsidR="00953A91">
        <w:rPr>
          <w:rFonts w:ascii="Calibri" w:eastAsia="Calibri" w:hAnsi="Calibri"/>
          <w:sz w:val="22"/>
          <w:szCs w:val="22"/>
          <w:lang w:eastAsia="en-US"/>
        </w:rPr>
        <w:t>Abstands- und Hygienevorschriften</w:t>
      </w:r>
      <w:r w:rsidRPr="00953A91">
        <w:rPr>
          <w:rFonts w:ascii="Calibri" w:eastAsia="Calibri" w:hAnsi="Calibri"/>
          <w:sz w:val="22"/>
          <w:szCs w:val="22"/>
          <w:lang w:eastAsia="en-US"/>
        </w:rPr>
        <w:t xml:space="preserve"> im vierten Quartal nachholen. Im Sinne des Do-</w:t>
      </w:r>
      <w:proofErr w:type="spellStart"/>
      <w:r w:rsidRPr="00953A91">
        <w:rPr>
          <w:rFonts w:ascii="Calibri" w:eastAsia="Calibri" w:hAnsi="Calibri"/>
          <w:sz w:val="22"/>
          <w:szCs w:val="22"/>
          <w:lang w:eastAsia="en-US"/>
        </w:rPr>
        <w:t>No</w:t>
      </w:r>
      <w:proofErr w:type="spellEnd"/>
      <w:r w:rsidRPr="00953A91">
        <w:rPr>
          <w:rFonts w:ascii="Calibri" w:eastAsia="Calibri" w:hAnsi="Calibri"/>
          <w:sz w:val="22"/>
          <w:szCs w:val="22"/>
          <w:lang w:eastAsia="en-US"/>
        </w:rPr>
        <w:t xml:space="preserve">-Harm-Ansatzes werden die </w:t>
      </w:r>
      <w:proofErr w:type="spellStart"/>
      <w:r w:rsidRPr="00953A91">
        <w:rPr>
          <w:rFonts w:ascii="Calibri" w:eastAsia="Calibri" w:hAnsi="Calibri"/>
          <w:sz w:val="22"/>
          <w:szCs w:val="22"/>
          <w:lang w:eastAsia="en-US"/>
        </w:rPr>
        <w:t>Teilnehm</w:t>
      </w:r>
      <w:r w:rsidR="003E62F5">
        <w:rPr>
          <w:rFonts w:ascii="Calibri" w:eastAsia="Calibri" w:hAnsi="Calibri"/>
          <w:sz w:val="22"/>
          <w:szCs w:val="22"/>
          <w:lang w:eastAsia="en-US"/>
        </w:rPr>
        <w:t>er_innen</w:t>
      </w:r>
      <w:proofErr w:type="spellEnd"/>
      <w:r w:rsidRPr="00953A91">
        <w:rPr>
          <w:rFonts w:ascii="Calibri" w:eastAsia="Calibri" w:hAnsi="Calibri"/>
          <w:sz w:val="22"/>
          <w:szCs w:val="22"/>
          <w:lang w:eastAsia="en-US"/>
        </w:rPr>
        <w:t xml:space="preserve"> für die Durchführung der Schulungen mit der notwendigen persönlichen Schutzausrüstung</w:t>
      </w:r>
      <w:r w:rsidR="003E62F5">
        <w:rPr>
          <w:rFonts w:ascii="Calibri" w:eastAsia="Calibri" w:hAnsi="Calibri"/>
          <w:sz w:val="22"/>
          <w:szCs w:val="22"/>
          <w:lang w:eastAsia="en-US"/>
        </w:rPr>
        <w:t xml:space="preserve">, </w:t>
      </w:r>
      <w:r w:rsidRPr="00953A91">
        <w:rPr>
          <w:rFonts w:ascii="Calibri" w:eastAsia="Calibri" w:hAnsi="Calibri"/>
          <w:sz w:val="22"/>
          <w:szCs w:val="22"/>
          <w:lang w:eastAsia="en-US"/>
        </w:rPr>
        <w:t>wie Handdesinfektionsmittel und Mund-Nasen-Masken ausgestattet; darüber hinaus wird auf die strikte Einhaltung des Mindestabstands geachtet.</w:t>
      </w:r>
    </w:p>
    <w:p w14:paraId="2182B68D" w14:textId="5E8F624A" w:rsidR="002A6C56" w:rsidRDefault="00B67A1D" w:rsidP="00EB70F7">
      <w:pPr>
        <w:pStyle w:val="paragraph"/>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t>Au</w:t>
      </w:r>
      <w:r w:rsidR="00D21E0A" w:rsidRPr="00953A91">
        <w:rPr>
          <w:rFonts w:ascii="Calibri" w:eastAsia="Calibri" w:hAnsi="Calibri"/>
          <w:sz w:val="22"/>
          <w:szCs w:val="22"/>
          <w:lang w:eastAsia="en-US"/>
        </w:rPr>
        <w:t>fgrund der Reisebeschränkungen war es dem Projektteam</w:t>
      </w:r>
      <w:r>
        <w:rPr>
          <w:rFonts w:ascii="Calibri" w:eastAsia="Calibri" w:hAnsi="Calibri"/>
          <w:sz w:val="22"/>
          <w:szCs w:val="22"/>
          <w:lang w:eastAsia="en-US"/>
        </w:rPr>
        <w:t xml:space="preserve"> ebenfalls</w:t>
      </w:r>
      <w:r w:rsidR="00D21E0A" w:rsidRPr="00953A91">
        <w:rPr>
          <w:rFonts w:ascii="Calibri" w:eastAsia="Calibri" w:hAnsi="Calibri"/>
          <w:sz w:val="22"/>
          <w:szCs w:val="22"/>
          <w:lang w:eastAsia="en-US"/>
        </w:rPr>
        <w:t xml:space="preserve"> nicht möglich, die für den Zeitraum vorgesehenen </w:t>
      </w:r>
      <w:proofErr w:type="spellStart"/>
      <w:r w:rsidR="00D21E0A" w:rsidRPr="00953A91">
        <w:rPr>
          <w:rFonts w:ascii="Calibri" w:eastAsia="Calibri" w:hAnsi="Calibri"/>
          <w:sz w:val="22"/>
          <w:szCs w:val="22"/>
          <w:lang w:eastAsia="en-US"/>
        </w:rPr>
        <w:t>Monitoringreisen</w:t>
      </w:r>
      <w:proofErr w:type="spellEnd"/>
      <w:r w:rsidR="00D21E0A" w:rsidRPr="00953A91">
        <w:rPr>
          <w:rFonts w:ascii="Calibri" w:eastAsia="Calibri" w:hAnsi="Calibri"/>
          <w:sz w:val="22"/>
          <w:szCs w:val="22"/>
          <w:lang w:eastAsia="en-US"/>
        </w:rPr>
        <w:t xml:space="preserve"> </w:t>
      </w:r>
      <w:r w:rsidRPr="00B67A1D">
        <w:rPr>
          <w:rFonts w:ascii="Calibri" w:eastAsia="Calibri" w:hAnsi="Calibri"/>
          <w:sz w:val="22"/>
          <w:szCs w:val="22"/>
          <w:lang w:eastAsia="en-US"/>
        </w:rPr>
        <w:t>und</w:t>
      </w:r>
      <w:r w:rsidR="00D21E0A" w:rsidRPr="00B67A1D">
        <w:rPr>
          <w:rFonts w:ascii="Calibri" w:eastAsia="Calibri" w:hAnsi="Calibri"/>
          <w:sz w:val="22"/>
          <w:szCs w:val="22"/>
          <w:lang w:eastAsia="en-US"/>
        </w:rPr>
        <w:t xml:space="preserve"> die Übergabe </w:t>
      </w:r>
      <w:r w:rsidRPr="00B67A1D">
        <w:rPr>
          <w:rFonts w:ascii="Calibri" w:eastAsia="Calibri" w:hAnsi="Calibri"/>
          <w:sz w:val="22"/>
          <w:szCs w:val="22"/>
          <w:lang w:eastAsia="en-US"/>
        </w:rPr>
        <w:t>medizinischer Ausrüstung d</w:t>
      </w:r>
      <w:r w:rsidR="00D21E0A" w:rsidRPr="00B67A1D">
        <w:rPr>
          <w:rFonts w:ascii="Calibri" w:eastAsia="Calibri" w:hAnsi="Calibri"/>
          <w:sz w:val="22"/>
          <w:szCs w:val="22"/>
          <w:lang w:eastAsia="en-US"/>
        </w:rPr>
        <w:t>urchzuführen.</w:t>
      </w:r>
      <w:r w:rsidR="00D21E0A" w:rsidRPr="00953A91">
        <w:rPr>
          <w:rFonts w:ascii="Calibri" w:eastAsia="Calibri" w:hAnsi="Calibri"/>
          <w:sz w:val="22"/>
          <w:szCs w:val="22"/>
          <w:lang w:eastAsia="en-US"/>
        </w:rPr>
        <w:t xml:space="preserve"> Im Zuge der genannten Einschränkungen sowie aufgrund der pandemiebedingten landesweiten Schulschließungen konnten auch die für den Zeitraum März bis August 2020 geplanten </w:t>
      </w:r>
      <w:proofErr w:type="spellStart"/>
      <w:r w:rsidR="00D21E0A" w:rsidRPr="00953A91">
        <w:rPr>
          <w:rFonts w:ascii="Calibri" w:eastAsia="Calibri" w:hAnsi="Calibri"/>
          <w:sz w:val="22"/>
          <w:szCs w:val="22"/>
          <w:lang w:eastAsia="en-US"/>
        </w:rPr>
        <w:t>Outreaches</w:t>
      </w:r>
      <w:proofErr w:type="spellEnd"/>
      <w:r w:rsidR="00D21E0A" w:rsidRPr="00953A91">
        <w:rPr>
          <w:rFonts w:ascii="Calibri" w:eastAsia="Calibri" w:hAnsi="Calibri"/>
          <w:sz w:val="22"/>
          <w:szCs w:val="22"/>
          <w:lang w:eastAsia="en-US"/>
        </w:rPr>
        <w:t xml:space="preserve"> </w:t>
      </w:r>
      <w:r w:rsidR="001F7D39">
        <w:rPr>
          <w:rFonts w:ascii="Calibri" w:eastAsia="Calibri" w:hAnsi="Calibri"/>
          <w:sz w:val="22"/>
          <w:szCs w:val="22"/>
          <w:lang w:eastAsia="en-US"/>
        </w:rPr>
        <w:t xml:space="preserve">und Schulscreenings </w:t>
      </w:r>
      <w:r w:rsidR="00D21E0A" w:rsidRPr="00953A91">
        <w:rPr>
          <w:rFonts w:ascii="Calibri" w:eastAsia="Calibri" w:hAnsi="Calibri"/>
          <w:sz w:val="22"/>
          <w:szCs w:val="22"/>
          <w:lang w:eastAsia="en-US"/>
        </w:rPr>
        <w:t>zur Erbringung von HNO-Dienstleistungen nicht wie vorgesehen stattfinden</w:t>
      </w:r>
      <w:r w:rsidR="00126984">
        <w:rPr>
          <w:rFonts w:ascii="Calibri" w:eastAsia="Calibri" w:hAnsi="Calibri"/>
          <w:sz w:val="22"/>
          <w:szCs w:val="22"/>
          <w:lang w:eastAsia="en-US"/>
        </w:rPr>
        <w:t xml:space="preserve"> (Unterziel 4)</w:t>
      </w:r>
      <w:r w:rsidR="00D21E0A" w:rsidRPr="00953A91">
        <w:rPr>
          <w:rFonts w:ascii="Calibri" w:eastAsia="Calibri" w:hAnsi="Calibri"/>
          <w:sz w:val="22"/>
          <w:szCs w:val="22"/>
          <w:lang w:eastAsia="en-US"/>
        </w:rPr>
        <w:t xml:space="preserve">. </w:t>
      </w:r>
      <w:r w:rsidR="00094E96">
        <w:rPr>
          <w:rFonts w:ascii="Calibri" w:eastAsia="Calibri" w:hAnsi="Calibri"/>
          <w:sz w:val="22"/>
          <w:szCs w:val="22"/>
          <w:lang w:eastAsia="en-US"/>
        </w:rPr>
        <w:t xml:space="preserve">Die </w:t>
      </w:r>
      <w:r w:rsidR="00465C40">
        <w:rPr>
          <w:rFonts w:ascii="Calibri" w:eastAsia="Calibri" w:hAnsi="Calibri"/>
          <w:sz w:val="22"/>
          <w:szCs w:val="22"/>
          <w:lang w:eastAsia="en-US"/>
        </w:rPr>
        <w:t>Zahl,</w:t>
      </w:r>
      <w:r w:rsidR="00094E96">
        <w:rPr>
          <w:rFonts w:ascii="Calibri" w:eastAsia="Calibri" w:hAnsi="Calibri"/>
          <w:sz w:val="22"/>
          <w:szCs w:val="22"/>
          <w:lang w:eastAsia="en-US"/>
        </w:rPr>
        <w:t xml:space="preserve"> der in Schulscreenings erreichten Kinder weicht derzeit mit 9.774 Schulkindern um 30% von der bis Mitte 2020 vorgesehen Zahl von 13.950 Kindern ab. </w:t>
      </w:r>
      <w:r w:rsidR="00D21E0A" w:rsidRPr="00953A91">
        <w:rPr>
          <w:rFonts w:ascii="Calibri" w:eastAsia="Calibri" w:hAnsi="Calibri"/>
          <w:sz w:val="22"/>
          <w:szCs w:val="22"/>
          <w:lang w:eastAsia="en-US"/>
        </w:rPr>
        <w:t>Sollten die Schulschließungen weiter andauern, gehen wir davon aus, dass von den 5.900 Kindern, die in diesem Jahr untersucht werden sollen, nur etwa die Hälfte</w:t>
      </w:r>
      <w:r w:rsidR="00F626A4">
        <w:rPr>
          <w:rFonts w:ascii="Calibri" w:eastAsia="Calibri" w:hAnsi="Calibri"/>
          <w:sz w:val="22"/>
          <w:szCs w:val="22"/>
          <w:lang w:eastAsia="en-US"/>
        </w:rPr>
        <w:t xml:space="preserve"> </w:t>
      </w:r>
      <w:r w:rsidR="00D21E0A" w:rsidRPr="00953A91">
        <w:rPr>
          <w:rFonts w:ascii="Calibri" w:eastAsia="Calibri" w:hAnsi="Calibri"/>
          <w:sz w:val="22"/>
          <w:szCs w:val="22"/>
          <w:lang w:eastAsia="en-US"/>
        </w:rPr>
        <w:t xml:space="preserve">erreicht werden können. Dabei sind die Screenings gerade bei Kindern von besonderer Wichtigkeit für die Früherkennung von </w:t>
      </w:r>
      <w:r w:rsidR="00F626A4">
        <w:rPr>
          <w:rFonts w:ascii="Calibri" w:eastAsia="Calibri" w:hAnsi="Calibri"/>
          <w:sz w:val="22"/>
          <w:szCs w:val="22"/>
          <w:lang w:eastAsia="en-US"/>
        </w:rPr>
        <w:t>Beeinträchtigungen des Gehörs</w:t>
      </w:r>
      <w:r w:rsidR="00D21E0A" w:rsidRPr="00953A91">
        <w:rPr>
          <w:rFonts w:ascii="Calibri" w:eastAsia="Calibri" w:hAnsi="Calibri"/>
          <w:sz w:val="22"/>
          <w:szCs w:val="22"/>
          <w:lang w:eastAsia="en-US"/>
        </w:rPr>
        <w:t>. Bei den Outreach-</w:t>
      </w:r>
      <w:r w:rsidR="00F94C82">
        <w:rPr>
          <w:rFonts w:ascii="Calibri" w:eastAsia="Calibri" w:hAnsi="Calibri"/>
          <w:sz w:val="22"/>
          <w:szCs w:val="22"/>
          <w:lang w:eastAsia="en-US"/>
        </w:rPr>
        <w:t>Aktivitäten</w:t>
      </w:r>
      <w:r w:rsidR="00D21E0A" w:rsidRPr="00953A91">
        <w:rPr>
          <w:rFonts w:ascii="Calibri" w:eastAsia="Calibri" w:hAnsi="Calibri"/>
          <w:sz w:val="22"/>
          <w:szCs w:val="22"/>
          <w:lang w:eastAsia="en-US"/>
        </w:rPr>
        <w:t xml:space="preserve"> gehen wir </w:t>
      </w:r>
      <w:r w:rsidR="00BE6F81">
        <w:rPr>
          <w:rFonts w:ascii="Calibri" w:eastAsia="Calibri" w:hAnsi="Calibri"/>
          <w:sz w:val="22"/>
          <w:szCs w:val="22"/>
          <w:lang w:eastAsia="en-US"/>
        </w:rPr>
        <w:t xml:space="preserve">aktuell </w:t>
      </w:r>
      <w:r w:rsidR="00D21E0A" w:rsidRPr="00953A91">
        <w:rPr>
          <w:rFonts w:ascii="Calibri" w:eastAsia="Calibri" w:hAnsi="Calibri"/>
          <w:sz w:val="22"/>
          <w:szCs w:val="22"/>
          <w:lang w:eastAsia="en-US"/>
        </w:rPr>
        <w:t xml:space="preserve">von einem Rückgang </w:t>
      </w:r>
      <w:r w:rsidR="00F94C82">
        <w:rPr>
          <w:rFonts w:ascii="Calibri" w:eastAsia="Calibri" w:hAnsi="Calibri"/>
          <w:sz w:val="22"/>
          <w:szCs w:val="22"/>
          <w:lang w:eastAsia="en-US"/>
        </w:rPr>
        <w:t xml:space="preserve">der erreichten Zahl der </w:t>
      </w:r>
      <w:proofErr w:type="spellStart"/>
      <w:r w:rsidR="00F94C82">
        <w:rPr>
          <w:rFonts w:ascii="Calibri" w:eastAsia="Calibri" w:hAnsi="Calibri"/>
          <w:sz w:val="22"/>
          <w:szCs w:val="22"/>
          <w:lang w:eastAsia="en-US"/>
        </w:rPr>
        <w:t>Patient_innen</w:t>
      </w:r>
      <w:proofErr w:type="spellEnd"/>
      <w:r w:rsidR="00F94C82">
        <w:rPr>
          <w:rFonts w:ascii="Calibri" w:eastAsia="Calibri" w:hAnsi="Calibri"/>
          <w:sz w:val="22"/>
          <w:szCs w:val="22"/>
          <w:lang w:eastAsia="en-US"/>
        </w:rPr>
        <w:t xml:space="preserve"> </w:t>
      </w:r>
      <w:r w:rsidR="00D21E0A" w:rsidRPr="00953A91">
        <w:rPr>
          <w:rFonts w:ascii="Calibri" w:eastAsia="Calibri" w:hAnsi="Calibri"/>
          <w:sz w:val="22"/>
          <w:szCs w:val="22"/>
          <w:lang w:eastAsia="en-US"/>
        </w:rPr>
        <w:t>um 20% aus.</w:t>
      </w:r>
    </w:p>
    <w:p w14:paraId="30AF0F82" w14:textId="4ED76860" w:rsidR="002529D5" w:rsidRDefault="00D21E0A" w:rsidP="00EB70F7">
      <w:pPr>
        <w:pStyle w:val="paragraph"/>
        <w:spacing w:before="240" w:beforeAutospacing="0" w:after="8" w:afterAutospacing="0" w:line="276" w:lineRule="auto"/>
        <w:jc w:val="both"/>
        <w:textAlignment w:val="baseline"/>
        <w:rPr>
          <w:rFonts w:ascii="Calibri" w:eastAsia="Calibri" w:hAnsi="Calibri"/>
          <w:sz w:val="22"/>
          <w:szCs w:val="22"/>
          <w:lang w:eastAsia="en-US"/>
        </w:rPr>
      </w:pPr>
      <w:r w:rsidRPr="00953A91">
        <w:rPr>
          <w:rFonts w:ascii="Calibri" w:eastAsia="Calibri" w:hAnsi="Calibri"/>
          <w:sz w:val="22"/>
          <w:szCs w:val="22"/>
          <w:lang w:eastAsia="en-US"/>
        </w:rPr>
        <w:t xml:space="preserve">Derzeit werden </w:t>
      </w:r>
      <w:r w:rsidR="003B0BEE">
        <w:rPr>
          <w:rFonts w:ascii="Calibri" w:eastAsia="Calibri" w:hAnsi="Calibri"/>
          <w:sz w:val="22"/>
          <w:szCs w:val="22"/>
          <w:lang w:eastAsia="en-US"/>
        </w:rPr>
        <w:t>Konzepte</w:t>
      </w:r>
      <w:r w:rsidRPr="00953A91">
        <w:rPr>
          <w:rFonts w:ascii="Calibri" w:eastAsia="Calibri" w:hAnsi="Calibri"/>
          <w:sz w:val="22"/>
          <w:szCs w:val="22"/>
          <w:lang w:eastAsia="en-US"/>
        </w:rPr>
        <w:t xml:space="preserve"> erstellt, um die Outreach-Aktivitäten und Schul</w:t>
      </w:r>
      <w:r w:rsidR="005C502D">
        <w:rPr>
          <w:rFonts w:ascii="Calibri" w:eastAsia="Calibri" w:hAnsi="Calibri"/>
          <w:sz w:val="22"/>
          <w:szCs w:val="22"/>
          <w:lang w:eastAsia="en-US"/>
        </w:rPr>
        <w:t>s</w:t>
      </w:r>
      <w:r w:rsidRPr="00953A91">
        <w:rPr>
          <w:rFonts w:ascii="Calibri" w:eastAsia="Calibri" w:hAnsi="Calibri"/>
          <w:sz w:val="22"/>
          <w:szCs w:val="22"/>
          <w:lang w:eastAsia="en-US"/>
        </w:rPr>
        <w:t xml:space="preserve">creenings </w:t>
      </w:r>
      <w:r w:rsidR="001F7D39">
        <w:rPr>
          <w:rFonts w:ascii="Calibri" w:eastAsia="Calibri" w:hAnsi="Calibri"/>
          <w:sz w:val="22"/>
          <w:szCs w:val="22"/>
          <w:lang w:eastAsia="en-US"/>
        </w:rPr>
        <w:t>fortzuführen</w:t>
      </w:r>
      <w:r w:rsidRPr="00953A91">
        <w:rPr>
          <w:rFonts w:ascii="Calibri" w:eastAsia="Calibri" w:hAnsi="Calibri"/>
          <w:sz w:val="22"/>
          <w:szCs w:val="22"/>
          <w:lang w:eastAsia="en-US"/>
        </w:rPr>
        <w:t xml:space="preserve">, sobald dies </w:t>
      </w:r>
      <w:r w:rsidR="00F626A4">
        <w:rPr>
          <w:rFonts w:ascii="Calibri" w:eastAsia="Calibri" w:hAnsi="Calibri"/>
          <w:sz w:val="22"/>
          <w:szCs w:val="22"/>
          <w:lang w:eastAsia="en-US"/>
        </w:rPr>
        <w:t>seitens</w:t>
      </w:r>
      <w:r w:rsidRPr="00953A91">
        <w:rPr>
          <w:rFonts w:ascii="Calibri" w:eastAsia="Calibri" w:hAnsi="Calibri"/>
          <w:sz w:val="22"/>
          <w:szCs w:val="22"/>
          <w:lang w:eastAsia="en-US"/>
        </w:rPr>
        <w:t xml:space="preserve"> der Regierung wieder möglich ist.</w:t>
      </w:r>
      <w:r w:rsidR="00EB70F7">
        <w:rPr>
          <w:rFonts w:ascii="Calibri" w:eastAsia="Calibri" w:hAnsi="Calibri"/>
          <w:sz w:val="22"/>
          <w:szCs w:val="22"/>
          <w:lang w:eastAsia="en-US"/>
        </w:rPr>
        <w:t xml:space="preserve"> </w:t>
      </w:r>
      <w:r w:rsidR="002A6C56">
        <w:rPr>
          <w:rFonts w:ascii="Calibri" w:eastAsia="Calibri" w:hAnsi="Calibri"/>
          <w:sz w:val="22"/>
          <w:szCs w:val="22"/>
          <w:lang w:eastAsia="en-US"/>
        </w:rPr>
        <w:t>Um bei einer Wiederaufnahme der Aktivitäten die</w:t>
      </w:r>
      <w:r w:rsidR="0044714C">
        <w:rPr>
          <w:rFonts w:ascii="Calibri" w:eastAsia="Calibri" w:hAnsi="Calibri"/>
          <w:sz w:val="22"/>
          <w:szCs w:val="22"/>
          <w:lang w:eastAsia="en-US"/>
        </w:rPr>
        <w:t xml:space="preserve"> Zielgruppe </w:t>
      </w:r>
      <w:r w:rsidR="002A6C56">
        <w:rPr>
          <w:rFonts w:ascii="Calibri" w:eastAsia="Calibri" w:hAnsi="Calibri"/>
          <w:sz w:val="22"/>
          <w:szCs w:val="22"/>
          <w:lang w:eastAsia="en-US"/>
        </w:rPr>
        <w:t xml:space="preserve">vor einer Infektion zu schützen, </w:t>
      </w:r>
      <w:r w:rsidR="0044714C">
        <w:rPr>
          <w:rFonts w:ascii="Calibri" w:eastAsia="Calibri" w:hAnsi="Calibri"/>
          <w:sz w:val="22"/>
          <w:szCs w:val="22"/>
          <w:lang w:eastAsia="en-US"/>
        </w:rPr>
        <w:t xml:space="preserve">plant BCH </w:t>
      </w:r>
      <w:r w:rsidR="002A6C56">
        <w:rPr>
          <w:rFonts w:ascii="Calibri" w:eastAsia="Calibri" w:hAnsi="Calibri"/>
          <w:sz w:val="22"/>
          <w:szCs w:val="22"/>
          <w:lang w:eastAsia="en-US"/>
        </w:rPr>
        <w:t xml:space="preserve">die Durchführung </w:t>
      </w:r>
      <w:r w:rsidR="0044714C">
        <w:rPr>
          <w:rFonts w:ascii="Calibri" w:eastAsia="Calibri" w:hAnsi="Calibri"/>
          <w:sz w:val="22"/>
          <w:szCs w:val="22"/>
          <w:lang w:eastAsia="en-US"/>
        </w:rPr>
        <w:t>Corona-spezifische</w:t>
      </w:r>
      <w:r w:rsidR="002A6C56">
        <w:rPr>
          <w:rFonts w:ascii="Calibri" w:eastAsia="Calibri" w:hAnsi="Calibri"/>
          <w:sz w:val="22"/>
          <w:szCs w:val="22"/>
          <w:lang w:eastAsia="en-US"/>
        </w:rPr>
        <w:t>r</w:t>
      </w:r>
      <w:r w:rsidR="0044714C">
        <w:rPr>
          <w:rFonts w:ascii="Calibri" w:eastAsia="Calibri" w:hAnsi="Calibri"/>
          <w:sz w:val="22"/>
          <w:szCs w:val="22"/>
          <w:lang w:eastAsia="en-US"/>
        </w:rPr>
        <w:t xml:space="preserve"> </w:t>
      </w:r>
      <w:r w:rsidR="002A6C56">
        <w:rPr>
          <w:rFonts w:ascii="Calibri" w:eastAsia="Calibri" w:hAnsi="Calibri"/>
          <w:sz w:val="22"/>
          <w:szCs w:val="22"/>
          <w:lang w:eastAsia="en-US"/>
        </w:rPr>
        <w:t>Maßnahmen</w:t>
      </w:r>
      <w:r w:rsidR="0044714C">
        <w:rPr>
          <w:rFonts w:ascii="Calibri" w:eastAsia="Calibri" w:hAnsi="Calibri"/>
          <w:sz w:val="22"/>
          <w:szCs w:val="22"/>
          <w:lang w:eastAsia="en-US"/>
        </w:rPr>
        <w:t xml:space="preserve">, deren Umsetzung mit diesem Änderungsantrag beantragt wird. </w:t>
      </w:r>
      <w:r w:rsidR="00EB70F7">
        <w:rPr>
          <w:rFonts w:ascii="Calibri" w:eastAsia="Calibri" w:hAnsi="Calibri"/>
          <w:sz w:val="22"/>
          <w:szCs w:val="22"/>
          <w:lang w:eastAsia="en-US"/>
        </w:rPr>
        <w:t>Die große Nachfrage nach der Fortführung der Aktivitäten unterstreicht die Wichtigkeit der im Rahmen des Projektes angebotenen HNO-Dienste in der Zielregion.</w:t>
      </w:r>
    </w:p>
    <w:p w14:paraId="4A2431A0" w14:textId="77777777" w:rsidR="005C7BDE" w:rsidRDefault="005C7BDE" w:rsidP="005C7BDE">
      <w:pPr>
        <w:spacing w:afterLines="40" w:after="96"/>
        <w:ind w:left="567"/>
        <w:jc w:val="both"/>
        <w:rPr>
          <w:b/>
          <w:bCs/>
        </w:rPr>
      </w:pPr>
    </w:p>
    <w:p w14:paraId="678026E1" w14:textId="740710FB" w:rsidR="00716273" w:rsidRDefault="00716273" w:rsidP="00903834">
      <w:pPr>
        <w:numPr>
          <w:ilvl w:val="0"/>
          <w:numId w:val="3"/>
        </w:numPr>
        <w:spacing w:afterLines="40" w:after="96"/>
        <w:ind w:left="567" w:hanging="567"/>
        <w:jc w:val="both"/>
        <w:rPr>
          <w:b/>
          <w:bCs/>
        </w:rPr>
      </w:pPr>
      <w:r w:rsidRPr="00903834">
        <w:rPr>
          <w:b/>
          <w:bCs/>
        </w:rPr>
        <w:t>Welche Ziele sollen mit den Maßnahmen von COVID-19 erreicht werden?</w:t>
      </w:r>
    </w:p>
    <w:p w14:paraId="4E236239" w14:textId="52206EEE" w:rsidR="002562FD" w:rsidRDefault="002562FD" w:rsidP="002562FD">
      <w:pPr>
        <w:pStyle w:val="paragraph"/>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t>Die Ziele der geplanten Maßnahmen lauten wie folgt:</w:t>
      </w:r>
    </w:p>
    <w:p w14:paraId="414C71D5" w14:textId="038BCDDD" w:rsidR="002562FD" w:rsidRDefault="002562FD" w:rsidP="002562FD">
      <w:pPr>
        <w:pStyle w:val="paragraph"/>
        <w:numPr>
          <w:ilvl w:val="0"/>
          <w:numId w:val="9"/>
        </w:numPr>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t>Die geplanten Schulungen und Trainings können unter Einhaltung der Abstand- und Hygieneregeln durchgeführt werden.</w:t>
      </w:r>
    </w:p>
    <w:p w14:paraId="64A06A54" w14:textId="07D75553" w:rsidR="008A088A" w:rsidRPr="008A088A" w:rsidRDefault="002562FD" w:rsidP="008A088A">
      <w:pPr>
        <w:pStyle w:val="paragraph"/>
        <w:numPr>
          <w:ilvl w:val="0"/>
          <w:numId w:val="9"/>
        </w:numPr>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t>Bei Outreach-Aktivitäten und Schulscreenings kann eine höhere Anzahl an Personen erreicht werden.</w:t>
      </w:r>
    </w:p>
    <w:p w14:paraId="3ABAA265" w14:textId="232844C9" w:rsidR="002F227C" w:rsidRDefault="002F227C" w:rsidP="008A088A">
      <w:pPr>
        <w:pStyle w:val="Listenabsatz"/>
        <w:numPr>
          <w:ilvl w:val="0"/>
          <w:numId w:val="9"/>
        </w:numPr>
        <w:spacing w:before="240" w:afterLines="40" w:after="96"/>
        <w:jc w:val="both"/>
      </w:pPr>
      <w:r>
        <w:t>Die Haushalte mit Menschen mit Behinderungen werden durch die Bereitstellung von Mund-Nase</w:t>
      </w:r>
      <w:r w:rsidR="0062120E">
        <w:t>n</w:t>
      </w:r>
      <w:r>
        <w:t>-Masken und Hygienematerialien vor einer Ansteckung geschützt</w:t>
      </w:r>
    </w:p>
    <w:p w14:paraId="13040275" w14:textId="26C0A5B3" w:rsidR="002562FD" w:rsidRPr="002562FD" w:rsidRDefault="002F227C" w:rsidP="002562FD">
      <w:pPr>
        <w:pStyle w:val="paragraph"/>
        <w:numPr>
          <w:ilvl w:val="0"/>
          <w:numId w:val="9"/>
        </w:numPr>
        <w:spacing w:before="240" w:beforeAutospacing="0" w:after="8" w:afterAutospacing="0" w:line="276" w:lineRule="auto"/>
        <w:jc w:val="both"/>
        <w:textAlignment w:val="baseline"/>
        <w:rPr>
          <w:rFonts w:ascii="Calibri" w:eastAsia="Calibri" w:hAnsi="Calibri"/>
          <w:sz w:val="22"/>
          <w:szCs w:val="22"/>
          <w:lang w:eastAsia="en-US"/>
        </w:rPr>
      </w:pPr>
      <w:r>
        <w:rPr>
          <w:rFonts w:ascii="Calibri" w:eastAsia="Calibri" w:hAnsi="Calibri"/>
          <w:sz w:val="22"/>
          <w:szCs w:val="22"/>
          <w:lang w:eastAsia="en-US"/>
        </w:rPr>
        <w:lastRenderedPageBreak/>
        <w:t xml:space="preserve">Das Bewusstsein der Zielgemeinden für das Infektionsrisiko </w:t>
      </w:r>
      <w:r w:rsidR="000F2166">
        <w:rPr>
          <w:rFonts w:ascii="Calibri" w:eastAsia="Calibri" w:hAnsi="Calibri"/>
          <w:sz w:val="22"/>
          <w:szCs w:val="22"/>
          <w:lang w:eastAsia="en-US"/>
        </w:rPr>
        <w:t xml:space="preserve">und die Wichtigkeit von Präventionsmaßnahmen </w:t>
      </w:r>
      <w:r>
        <w:rPr>
          <w:rFonts w:ascii="Calibri" w:eastAsia="Calibri" w:hAnsi="Calibri"/>
          <w:sz w:val="22"/>
          <w:szCs w:val="22"/>
          <w:lang w:eastAsia="en-US"/>
        </w:rPr>
        <w:t>wird durch Radiobeiträge und eine Veranstaltung in</w:t>
      </w:r>
      <w:r w:rsidR="00D3000E">
        <w:rPr>
          <w:rFonts w:ascii="Calibri" w:eastAsia="Calibri" w:hAnsi="Calibri"/>
          <w:sz w:val="22"/>
          <w:szCs w:val="22"/>
          <w:lang w:eastAsia="en-US"/>
        </w:rPr>
        <w:t xml:space="preserve"> Livingstone</w:t>
      </w:r>
      <w:r>
        <w:rPr>
          <w:rFonts w:ascii="Calibri" w:eastAsia="Calibri" w:hAnsi="Calibri"/>
          <w:sz w:val="22"/>
          <w:szCs w:val="22"/>
          <w:lang w:eastAsia="en-US"/>
        </w:rPr>
        <w:t xml:space="preserve"> gestärkt.</w:t>
      </w:r>
    </w:p>
    <w:p w14:paraId="5B922576" w14:textId="10B40194" w:rsidR="00A64664" w:rsidRPr="00926389" w:rsidRDefault="00A64664" w:rsidP="00FA19FD">
      <w:pPr>
        <w:spacing w:afterLines="40" w:after="96"/>
        <w:jc w:val="both"/>
        <w:rPr>
          <w:b/>
          <w:bCs/>
        </w:rPr>
      </w:pPr>
    </w:p>
    <w:p w14:paraId="49C8D48B" w14:textId="1D790C29" w:rsidR="001C7CAC" w:rsidRPr="00114D2E" w:rsidRDefault="001C7CAC" w:rsidP="00FA19FD">
      <w:pPr>
        <w:spacing w:afterLines="40" w:after="96"/>
        <w:jc w:val="both"/>
      </w:pPr>
      <w:r w:rsidRPr="00114D2E">
        <w:t xml:space="preserve">Um in dieser Situation keine sozialen Konflikte zu begünstigen, wird mit den geplanten Maßnahmen nicht nur die direkte Zielgruppe des Projektes adressiert, sondern in begrenztem Umfang auch andere ausgewählte vulnerable Gemeindemitglieder. Zudem </w:t>
      </w:r>
      <w:r w:rsidR="00114D2E" w:rsidRPr="00114D2E">
        <w:t xml:space="preserve">werden die Zielgemeinden der südlichen Provinzen durch die bewusstseinsstärkenden Maßnahmen erreicht. </w:t>
      </w:r>
      <w:r w:rsidRPr="00114D2E">
        <w:t>Dies wird neben der Erläuterung der Aktivitäten unter Punkt 4 weiter ausgeführt.</w:t>
      </w:r>
    </w:p>
    <w:p w14:paraId="64AD38D8" w14:textId="388EB0EA" w:rsidR="00A64664" w:rsidRPr="001C7CAC" w:rsidRDefault="001C7CAC" w:rsidP="00FA19FD">
      <w:pPr>
        <w:spacing w:afterLines="40" w:after="96"/>
        <w:jc w:val="both"/>
      </w:pPr>
      <w:r w:rsidRPr="00114D2E">
        <w:t>Es ist davon auszugehen, dass die Umsetzung der im Folgenden detailliert dargestellten Aktivitäten das Infektionsrisiko der Zielgemeinden wesentlich verringert und die Versorgungssicherheit der besonders vulnerablen Haushalte gestärkt wird.</w:t>
      </w:r>
    </w:p>
    <w:p w14:paraId="73268D5A" w14:textId="77777777" w:rsidR="001E6945" w:rsidRPr="00903834" w:rsidRDefault="001E6945" w:rsidP="00A64664">
      <w:pPr>
        <w:spacing w:afterLines="40" w:after="96"/>
        <w:ind w:left="567"/>
        <w:jc w:val="both"/>
        <w:rPr>
          <w:b/>
          <w:bCs/>
        </w:rPr>
      </w:pPr>
      <w:bookmarkStart w:id="2" w:name="_Hlk53049797"/>
    </w:p>
    <w:p w14:paraId="2395CE29" w14:textId="77777777" w:rsidR="00716273" w:rsidRPr="00903834" w:rsidRDefault="00716273" w:rsidP="00903834">
      <w:pPr>
        <w:numPr>
          <w:ilvl w:val="0"/>
          <w:numId w:val="3"/>
        </w:numPr>
        <w:spacing w:afterLines="40" w:after="96"/>
        <w:ind w:left="567" w:hanging="567"/>
        <w:jc w:val="both"/>
        <w:rPr>
          <w:b/>
          <w:bCs/>
        </w:rPr>
      </w:pPr>
      <w:r w:rsidRPr="00903834">
        <w:rPr>
          <w:b/>
          <w:bCs/>
        </w:rPr>
        <w:t xml:space="preserve">Welche Aktivitäten sind konkret geplant und welche Ausgaben sind für die </w:t>
      </w:r>
      <w:proofErr w:type="spellStart"/>
      <w:r w:rsidRPr="00903834">
        <w:rPr>
          <w:b/>
          <w:bCs/>
        </w:rPr>
        <w:t>Coronaspezifischen</w:t>
      </w:r>
      <w:proofErr w:type="spellEnd"/>
      <w:r w:rsidRPr="00903834">
        <w:rPr>
          <w:b/>
          <w:bCs/>
        </w:rPr>
        <w:t xml:space="preserve"> Maßnahmen notwendig. (inkl. Angaben zum Budget)?</w:t>
      </w:r>
    </w:p>
    <w:p w14:paraId="1E3CD916" w14:textId="464D8B15" w:rsidR="00717FCD" w:rsidRDefault="00BE6F81" w:rsidP="009D2243">
      <w:pPr>
        <w:spacing w:before="240" w:afterLines="40" w:after="96"/>
        <w:jc w:val="both"/>
        <w:rPr>
          <w:bCs/>
          <w:color w:val="000000"/>
        </w:rPr>
      </w:pPr>
      <w:r w:rsidRPr="000F56C7">
        <w:rPr>
          <w:bCs/>
          <w:color w:val="000000"/>
        </w:rPr>
        <w:t>Die geplanten Aktivitäten bestehen aus der Bereitstellung von Schutzausrüstung und Hygieneartikel</w:t>
      </w:r>
      <w:r w:rsidR="00770B00">
        <w:rPr>
          <w:bCs/>
          <w:color w:val="000000"/>
        </w:rPr>
        <w:t>n und der Durchführung bewusstseinsstärkender Maßnahmen</w:t>
      </w:r>
      <w:r w:rsidRPr="00D225C1">
        <w:rPr>
          <w:bCs/>
          <w:color w:val="000000"/>
        </w:rPr>
        <w:t xml:space="preserve">. Die Implementierung der Maßnahmen ist für den Zeitraum </w:t>
      </w:r>
      <w:r w:rsidR="00770B00" w:rsidRPr="00D225C1">
        <w:rPr>
          <w:bCs/>
          <w:color w:val="000000"/>
        </w:rPr>
        <w:t xml:space="preserve">Oktober </w:t>
      </w:r>
      <w:r w:rsidRPr="00D225C1">
        <w:rPr>
          <w:bCs/>
          <w:color w:val="000000"/>
        </w:rPr>
        <w:t xml:space="preserve">bis Dezember 2020 geplant. </w:t>
      </w:r>
      <w:r w:rsidR="00B92551">
        <w:rPr>
          <w:bCs/>
          <w:color w:val="000000"/>
        </w:rPr>
        <w:t>Da ein besonderer Bedarf</w:t>
      </w:r>
      <w:r w:rsidR="001C41BA">
        <w:rPr>
          <w:bCs/>
          <w:color w:val="000000"/>
        </w:rPr>
        <w:t xml:space="preserve"> von Präventionsmaßnahmen</w:t>
      </w:r>
      <w:r w:rsidR="00B92551">
        <w:rPr>
          <w:bCs/>
          <w:color w:val="000000"/>
        </w:rPr>
        <w:t xml:space="preserve"> in der Südprovinz festgestellt wurde, konzentrieren sich die geplanten Maßnahmen auf Livingstone und die angrenzenden Distrikte. </w:t>
      </w:r>
      <w:r w:rsidRPr="00D225C1">
        <w:rPr>
          <w:bCs/>
          <w:color w:val="000000"/>
        </w:rPr>
        <w:t>Alle A</w:t>
      </w:r>
      <w:r w:rsidRPr="000F56C7">
        <w:rPr>
          <w:bCs/>
          <w:color w:val="000000"/>
        </w:rPr>
        <w:t xml:space="preserve">usgaben summieren sich auf insgesamt </w:t>
      </w:r>
      <w:r w:rsidR="00D45D2C" w:rsidRPr="00445B8C">
        <w:rPr>
          <w:b/>
        </w:rPr>
        <w:t>10.25</w:t>
      </w:r>
      <w:r w:rsidR="00BC57DB">
        <w:rPr>
          <w:b/>
        </w:rPr>
        <w:t>6</w:t>
      </w:r>
      <w:r w:rsidR="00AA2843" w:rsidRPr="00445B8C">
        <w:rPr>
          <w:b/>
        </w:rPr>
        <w:t xml:space="preserve"> </w:t>
      </w:r>
      <w:r w:rsidRPr="00445B8C">
        <w:rPr>
          <w:b/>
        </w:rPr>
        <w:t xml:space="preserve">EUR </w:t>
      </w:r>
      <w:r w:rsidRPr="00445B8C">
        <w:rPr>
          <w:b/>
          <w:color w:val="000000"/>
        </w:rPr>
        <w:t xml:space="preserve">(BMZ BL </w:t>
      </w:r>
      <w:r w:rsidR="000F56C7" w:rsidRPr="00445B8C">
        <w:rPr>
          <w:b/>
          <w:color w:val="000000"/>
        </w:rPr>
        <w:t>1.2.6</w:t>
      </w:r>
      <w:r w:rsidRPr="00445B8C">
        <w:rPr>
          <w:b/>
          <w:color w:val="000000"/>
        </w:rPr>
        <w:t>)</w:t>
      </w:r>
      <w:r w:rsidRPr="000F56C7">
        <w:rPr>
          <w:bCs/>
          <w:color w:val="000000"/>
        </w:rPr>
        <w:t xml:space="preserve"> und schlüsseln sich wie folgt auf:</w:t>
      </w:r>
    </w:p>
    <w:p w14:paraId="140F63E3" w14:textId="47C5723B" w:rsidR="00AA0FE2" w:rsidRPr="001518A7" w:rsidRDefault="00AA0FE2" w:rsidP="009D2243">
      <w:pPr>
        <w:spacing w:before="240" w:afterLines="40" w:after="96"/>
        <w:jc w:val="both"/>
        <w:rPr>
          <w:b/>
          <w:color w:val="000000"/>
        </w:rPr>
      </w:pPr>
      <w:r w:rsidRPr="001518A7">
        <w:rPr>
          <w:b/>
          <w:color w:val="000000"/>
        </w:rPr>
        <w:t xml:space="preserve">Aktivität 1: Verteilung von Schutzausrüstung und </w:t>
      </w:r>
      <w:r w:rsidRPr="00893E80">
        <w:rPr>
          <w:b/>
        </w:rPr>
        <w:t>Hygieneartikeln</w:t>
      </w:r>
      <w:r w:rsidR="001518A7" w:rsidRPr="00893E80">
        <w:rPr>
          <w:b/>
        </w:rPr>
        <w:t xml:space="preserve"> (7.</w:t>
      </w:r>
      <w:r w:rsidR="00893E80" w:rsidRPr="00893E80">
        <w:rPr>
          <w:b/>
        </w:rPr>
        <w:t>76</w:t>
      </w:r>
      <w:r w:rsidR="00E92AEE">
        <w:rPr>
          <w:b/>
        </w:rPr>
        <w:t>2</w:t>
      </w:r>
      <w:r w:rsidR="001518A7" w:rsidRPr="00893E80">
        <w:rPr>
          <w:b/>
        </w:rPr>
        <w:t xml:space="preserve"> EUR)</w:t>
      </w:r>
    </w:p>
    <w:p w14:paraId="5EB211F4" w14:textId="414C3894" w:rsidR="00637BAD" w:rsidRDefault="00637BAD" w:rsidP="009D2243">
      <w:pPr>
        <w:spacing w:before="240" w:afterLines="40" w:after="96"/>
        <w:jc w:val="both"/>
        <w:rPr>
          <w:bCs/>
          <w:color w:val="000000"/>
        </w:rPr>
      </w:pPr>
      <w:r>
        <w:rPr>
          <w:bCs/>
          <w:color w:val="000000"/>
        </w:rPr>
        <w:t xml:space="preserve">Um nach einer Lockerung der Einschränkungen die Projektaktivitäten fortführen zu können, plant der Partner die Ausstattung von </w:t>
      </w:r>
      <w:r w:rsidR="00D41224">
        <w:rPr>
          <w:bCs/>
          <w:color w:val="000000"/>
        </w:rPr>
        <w:t xml:space="preserve">30 </w:t>
      </w:r>
      <w:r>
        <w:rPr>
          <w:bCs/>
          <w:color w:val="000000"/>
        </w:rPr>
        <w:t xml:space="preserve">Gesundheitszentren </w:t>
      </w:r>
      <w:r w:rsidR="00C43348">
        <w:rPr>
          <w:bCs/>
          <w:color w:val="000000"/>
        </w:rPr>
        <w:t xml:space="preserve">in Livingstone und angrenzenden Distrikten </w:t>
      </w:r>
      <w:r>
        <w:rPr>
          <w:bCs/>
          <w:color w:val="000000"/>
        </w:rPr>
        <w:t xml:space="preserve">mit Schutzausrüstung und Hygieneartikeln. Die im Rahmen des Projektes in ohrenmedizinischer Versorgung weitergebildeten </w:t>
      </w:r>
      <w:proofErr w:type="spellStart"/>
      <w:r>
        <w:rPr>
          <w:bCs/>
          <w:color w:val="000000"/>
        </w:rPr>
        <w:t>Gemeindegesundheitshelfer_innen</w:t>
      </w:r>
      <w:proofErr w:type="spellEnd"/>
      <w:r>
        <w:rPr>
          <w:bCs/>
          <w:color w:val="000000"/>
        </w:rPr>
        <w:t xml:space="preserve"> </w:t>
      </w:r>
      <w:r w:rsidR="00D41224">
        <w:rPr>
          <w:bCs/>
          <w:color w:val="000000"/>
        </w:rPr>
        <w:t xml:space="preserve">und Pflegekräfte </w:t>
      </w:r>
      <w:r w:rsidR="00C43348">
        <w:rPr>
          <w:bCs/>
          <w:color w:val="000000"/>
        </w:rPr>
        <w:t xml:space="preserve">und ihre Gesundheitszentren </w:t>
      </w:r>
      <w:r>
        <w:rPr>
          <w:bCs/>
          <w:color w:val="000000"/>
        </w:rPr>
        <w:t xml:space="preserve">sollen jeweils </w:t>
      </w:r>
      <w:r w:rsidR="00C43348">
        <w:rPr>
          <w:bCs/>
          <w:color w:val="000000"/>
        </w:rPr>
        <w:t xml:space="preserve">ein </w:t>
      </w:r>
      <w:r>
        <w:rPr>
          <w:bCs/>
          <w:color w:val="000000"/>
        </w:rPr>
        <w:t>Paket medizinischer Masken</w:t>
      </w:r>
      <w:r w:rsidR="00445220">
        <w:rPr>
          <w:bCs/>
          <w:color w:val="000000"/>
        </w:rPr>
        <w:t xml:space="preserve"> (jeweils 50 Stück)</w:t>
      </w:r>
      <w:r>
        <w:rPr>
          <w:bCs/>
          <w:color w:val="000000"/>
        </w:rPr>
        <w:t xml:space="preserve">, ein Thermometer sowie </w:t>
      </w:r>
      <w:r w:rsidR="00445220">
        <w:rPr>
          <w:bCs/>
          <w:color w:val="000000"/>
        </w:rPr>
        <w:t xml:space="preserve">4 Flaschen </w:t>
      </w:r>
      <w:r>
        <w:rPr>
          <w:bCs/>
          <w:color w:val="000000"/>
        </w:rPr>
        <w:t xml:space="preserve">Desinfektionsmittel </w:t>
      </w:r>
      <w:r w:rsidR="00445220">
        <w:rPr>
          <w:bCs/>
          <w:color w:val="000000"/>
        </w:rPr>
        <w:t xml:space="preserve">(375 ml) </w:t>
      </w:r>
      <w:r w:rsidR="00C43348">
        <w:rPr>
          <w:bCs/>
          <w:color w:val="000000"/>
        </w:rPr>
        <w:t>zur Verfügung gestellt bekommen</w:t>
      </w:r>
      <w:r>
        <w:rPr>
          <w:bCs/>
          <w:color w:val="000000"/>
        </w:rPr>
        <w:t xml:space="preserve">. So kann gewährleistet werden, </w:t>
      </w:r>
      <w:r w:rsidR="00C43348">
        <w:rPr>
          <w:bCs/>
          <w:color w:val="000000"/>
        </w:rPr>
        <w:t xml:space="preserve">dass sie ohrenmedizinische Dienste und </w:t>
      </w:r>
      <w:proofErr w:type="spellStart"/>
      <w:r w:rsidR="00C43348">
        <w:rPr>
          <w:bCs/>
          <w:color w:val="000000"/>
        </w:rPr>
        <w:t>Outreaches</w:t>
      </w:r>
      <w:proofErr w:type="spellEnd"/>
      <w:r w:rsidR="00C43348">
        <w:rPr>
          <w:bCs/>
          <w:color w:val="000000"/>
        </w:rPr>
        <w:t xml:space="preserve"> durchführen können und </w:t>
      </w:r>
      <w:proofErr w:type="gramStart"/>
      <w:r w:rsidR="00465C40">
        <w:rPr>
          <w:bCs/>
          <w:color w:val="000000"/>
        </w:rPr>
        <w:t xml:space="preserve">die </w:t>
      </w:r>
      <w:proofErr w:type="spellStart"/>
      <w:r w:rsidR="00465C40">
        <w:rPr>
          <w:bCs/>
          <w:color w:val="000000"/>
        </w:rPr>
        <w:t>Patient</w:t>
      </w:r>
      <w:proofErr w:type="gramEnd"/>
      <w:r w:rsidR="001E4594">
        <w:rPr>
          <w:bCs/>
          <w:color w:val="000000"/>
        </w:rPr>
        <w:t>_innen</w:t>
      </w:r>
      <w:proofErr w:type="spellEnd"/>
      <w:r w:rsidR="001E4594">
        <w:rPr>
          <w:bCs/>
          <w:color w:val="000000"/>
        </w:rPr>
        <w:t xml:space="preserve"> ausreichend vor eine</w:t>
      </w:r>
      <w:r w:rsidR="008734A2">
        <w:rPr>
          <w:bCs/>
          <w:color w:val="000000"/>
        </w:rPr>
        <w:t>r</w:t>
      </w:r>
      <w:r w:rsidR="001E4594">
        <w:rPr>
          <w:bCs/>
          <w:color w:val="000000"/>
        </w:rPr>
        <w:t xml:space="preserve"> Infektion mit COVID-19 geschützt werden</w:t>
      </w:r>
      <w:r w:rsidR="00C43348">
        <w:rPr>
          <w:bCs/>
          <w:color w:val="000000"/>
        </w:rPr>
        <w:t>.</w:t>
      </w:r>
    </w:p>
    <w:p w14:paraId="3B5CE61B" w14:textId="34727026" w:rsidR="00AA1195" w:rsidRDefault="009B42FC" w:rsidP="009D2243">
      <w:pPr>
        <w:spacing w:before="240" w:afterLines="40" w:after="96"/>
        <w:jc w:val="both"/>
        <w:rPr>
          <w:bCs/>
          <w:color w:val="000000"/>
        </w:rPr>
      </w:pPr>
      <w:r>
        <w:rPr>
          <w:bCs/>
          <w:color w:val="000000"/>
        </w:rPr>
        <w:t>Die</w:t>
      </w:r>
      <w:r w:rsidR="00AA1195">
        <w:rPr>
          <w:bCs/>
          <w:color w:val="000000"/>
        </w:rPr>
        <w:t xml:space="preserve"> Schutzausrüstung </w:t>
      </w:r>
      <w:r>
        <w:rPr>
          <w:bCs/>
          <w:color w:val="000000"/>
        </w:rPr>
        <w:t xml:space="preserve">dient außerdem </w:t>
      </w:r>
      <w:r w:rsidR="00AA1195">
        <w:rPr>
          <w:bCs/>
          <w:color w:val="000000"/>
        </w:rPr>
        <w:t xml:space="preserve">dem Schutz der </w:t>
      </w:r>
      <w:proofErr w:type="spellStart"/>
      <w:r w:rsidR="00AA1195">
        <w:rPr>
          <w:bCs/>
          <w:color w:val="000000"/>
        </w:rPr>
        <w:t>Sprachtherapieassistent_innen</w:t>
      </w:r>
      <w:proofErr w:type="spellEnd"/>
      <w:r w:rsidR="00AA1195">
        <w:rPr>
          <w:bCs/>
          <w:color w:val="000000"/>
        </w:rPr>
        <w:t xml:space="preserve">, </w:t>
      </w:r>
      <w:proofErr w:type="spellStart"/>
      <w:r w:rsidR="00AA1195">
        <w:rPr>
          <w:bCs/>
          <w:color w:val="000000"/>
        </w:rPr>
        <w:t>Gemeindegesundheitshelfer_innen</w:t>
      </w:r>
      <w:proofErr w:type="spellEnd"/>
      <w:r w:rsidR="00AA1195">
        <w:rPr>
          <w:bCs/>
          <w:color w:val="000000"/>
        </w:rPr>
        <w:t xml:space="preserve"> und Pflegekräfte</w:t>
      </w:r>
      <w:r w:rsidR="00CE5146">
        <w:rPr>
          <w:bCs/>
          <w:color w:val="000000"/>
        </w:rPr>
        <w:t>n</w:t>
      </w:r>
      <w:r w:rsidR="00AA1195">
        <w:rPr>
          <w:bCs/>
          <w:color w:val="000000"/>
        </w:rPr>
        <w:t xml:space="preserve"> bei der Teilnahme an den ohrenmedizinischen Trainings, die BCH im Rahmen des Projektes durchführt.</w:t>
      </w:r>
    </w:p>
    <w:p w14:paraId="113A4C1B" w14:textId="53C84E7C" w:rsidR="00C43348" w:rsidRDefault="00C43348" w:rsidP="009D2243">
      <w:pPr>
        <w:spacing w:before="240" w:afterLines="40" w:after="96"/>
        <w:jc w:val="both"/>
        <w:rPr>
          <w:bCs/>
          <w:color w:val="000000"/>
        </w:rPr>
      </w:pPr>
      <w:r>
        <w:rPr>
          <w:bCs/>
          <w:color w:val="000000"/>
        </w:rPr>
        <w:t xml:space="preserve">Zudem sollen </w:t>
      </w:r>
      <w:r w:rsidR="00445220">
        <w:rPr>
          <w:bCs/>
          <w:color w:val="000000"/>
        </w:rPr>
        <w:t>10 ausgewählte Schulen, an denen im Rahmen des Projektes Schulscreenings durchgeführt werden</w:t>
      </w:r>
      <w:r w:rsidR="00ED309E">
        <w:rPr>
          <w:bCs/>
          <w:color w:val="000000"/>
        </w:rPr>
        <w:t xml:space="preserve"> und Kinder mit Hörbehinderungen gefördert werden</w:t>
      </w:r>
      <w:r w:rsidR="00445220">
        <w:rPr>
          <w:bCs/>
          <w:color w:val="000000"/>
        </w:rPr>
        <w:t>, ein Thermometer zur Temperaturmessung sowie eine Flasche Desinfektionsmittel (375 ml) erhalten.</w:t>
      </w:r>
      <w:r w:rsidR="002E017C">
        <w:rPr>
          <w:bCs/>
          <w:color w:val="000000"/>
        </w:rPr>
        <w:t xml:space="preserve"> Da diese Kinder besonders vulnerabel sind, sollen sie bei einer Fortführung des Unterrichts </w:t>
      </w:r>
      <w:r w:rsidR="00CD08D4">
        <w:rPr>
          <w:bCs/>
          <w:color w:val="000000"/>
        </w:rPr>
        <w:t xml:space="preserve">besonders </w:t>
      </w:r>
      <w:r w:rsidR="002E017C">
        <w:rPr>
          <w:bCs/>
          <w:color w:val="000000"/>
        </w:rPr>
        <w:t>vor einer Infektion geschützt werden.</w:t>
      </w:r>
    </w:p>
    <w:p w14:paraId="4677C988" w14:textId="5C55C615" w:rsidR="00897CF7" w:rsidRPr="003D371C" w:rsidRDefault="00897CF7" w:rsidP="009D2243">
      <w:pPr>
        <w:spacing w:before="240" w:afterLines="40" w:after="96"/>
        <w:jc w:val="both"/>
      </w:pPr>
      <w:r>
        <w:rPr>
          <w:bCs/>
          <w:color w:val="000000"/>
        </w:rPr>
        <w:lastRenderedPageBreak/>
        <w:t xml:space="preserve">Darüber hinaus plant BCH, 400 Menschen mit Behinderungen </w:t>
      </w:r>
      <w:r w:rsidR="003D371C">
        <w:rPr>
          <w:bCs/>
          <w:color w:val="000000"/>
        </w:rPr>
        <w:t xml:space="preserve">der Zielgemeinden </w:t>
      </w:r>
      <w:r>
        <w:rPr>
          <w:bCs/>
          <w:color w:val="000000"/>
        </w:rPr>
        <w:t xml:space="preserve">und ihre </w:t>
      </w:r>
      <w:r w:rsidR="0068111A">
        <w:rPr>
          <w:bCs/>
          <w:color w:val="000000"/>
        </w:rPr>
        <w:t xml:space="preserve">2.000 </w:t>
      </w:r>
      <w:r>
        <w:rPr>
          <w:bCs/>
          <w:color w:val="000000"/>
        </w:rPr>
        <w:t>Haushaltsmitglieder jeweils mit einem wiederverwendbaren Mund-Nase</w:t>
      </w:r>
      <w:r w:rsidR="0062120E">
        <w:rPr>
          <w:bCs/>
          <w:color w:val="000000"/>
        </w:rPr>
        <w:t>n</w:t>
      </w:r>
      <w:r>
        <w:rPr>
          <w:bCs/>
          <w:color w:val="000000"/>
        </w:rPr>
        <w:t xml:space="preserve">-Schutz, Desinfektionsmittel (55 ml) und Seifen (Stück) auszustatten. </w:t>
      </w:r>
      <w:r w:rsidR="003D371C">
        <w:t xml:space="preserve">So soll gewährleistet werden, dass neben den ausgewählten </w:t>
      </w:r>
      <w:r w:rsidR="00550BA3">
        <w:t>Kindern und Erwachsenen</w:t>
      </w:r>
      <w:r w:rsidR="003D371C">
        <w:t xml:space="preserve"> mit Behinderungen auch die anderen Haushaltsmitglieder, die einen engen körperlichen Kontakt zu den Personen haben, durch regelmäßiges Händewaschen vor einer Ansteckung geschützt werden.</w:t>
      </w:r>
    </w:p>
    <w:p w14:paraId="4B8EF642" w14:textId="74FC9C7A" w:rsidR="001E6945" w:rsidRDefault="00222B88" w:rsidP="009D2243">
      <w:pPr>
        <w:spacing w:before="240" w:afterLines="40" w:after="96"/>
        <w:jc w:val="both"/>
        <w:rPr>
          <w:bCs/>
          <w:color w:val="000000"/>
        </w:rPr>
      </w:pPr>
      <w:r>
        <w:rPr>
          <w:bCs/>
          <w:color w:val="000000"/>
        </w:rPr>
        <w:t xml:space="preserve">Die Identifikation der Begünstigten erfolgt </w:t>
      </w:r>
      <w:r w:rsidR="00FB5D64">
        <w:rPr>
          <w:bCs/>
          <w:color w:val="000000"/>
        </w:rPr>
        <w:t xml:space="preserve">von den Gesundheitszentren und Schulen </w:t>
      </w:r>
      <w:r>
        <w:rPr>
          <w:bCs/>
          <w:color w:val="000000"/>
        </w:rPr>
        <w:t>mit Unterstützung der sambischen Behörde für Menschen mit Behinderungen, die sich im Auftrag des sambischen Ministeriums für Gemeindeentwicklung und soziale Sicherheit für Menschen mit Behinderungen einsetzt. Die Auswahl wird in einem transparenten Prozess erfolgen und an die Gemeinden der Zielregion kommuniziert werden.</w:t>
      </w:r>
    </w:p>
    <w:p w14:paraId="195D11CA" w14:textId="1860905D" w:rsidR="00032CC9" w:rsidRDefault="00B829FD" w:rsidP="009D2243">
      <w:pPr>
        <w:spacing w:before="240" w:afterLines="40" w:after="96"/>
        <w:jc w:val="both"/>
        <w:rPr>
          <w:bCs/>
          <w:color w:val="000000"/>
        </w:rPr>
      </w:pPr>
      <w:r>
        <w:rPr>
          <w:bCs/>
          <w:color w:val="000000"/>
        </w:rPr>
        <w:t>Hierfür budgetier</w:t>
      </w:r>
      <w:r w:rsidR="00721F28">
        <w:rPr>
          <w:bCs/>
          <w:color w:val="000000"/>
        </w:rPr>
        <w:t>t</w:t>
      </w:r>
      <w:r>
        <w:rPr>
          <w:bCs/>
          <w:color w:val="000000"/>
        </w:rPr>
        <w:t xml:space="preserve"> BCH folgende Kosten:</w:t>
      </w:r>
    </w:p>
    <w:tbl>
      <w:tblPr>
        <w:tblStyle w:val="TabellemithellemGitternetz"/>
        <w:tblW w:w="8645" w:type="dxa"/>
        <w:jc w:val="center"/>
        <w:tblLayout w:type="fixed"/>
        <w:tblLook w:val="06A0" w:firstRow="1" w:lastRow="0" w:firstColumn="1" w:lastColumn="0" w:noHBand="1" w:noVBand="1"/>
      </w:tblPr>
      <w:tblGrid>
        <w:gridCol w:w="2547"/>
        <w:gridCol w:w="1559"/>
        <w:gridCol w:w="1998"/>
        <w:gridCol w:w="2541"/>
      </w:tblGrid>
      <w:tr w:rsidR="006F536A" w:rsidRPr="00E03780" w14:paraId="30C72EAD" w14:textId="77777777" w:rsidTr="0091776B">
        <w:trPr>
          <w:trHeight w:val="278"/>
          <w:jc w:val="center"/>
        </w:trPr>
        <w:tc>
          <w:tcPr>
            <w:tcW w:w="2547" w:type="dxa"/>
            <w:shd w:val="clear" w:color="auto" w:fill="E7E6E6" w:themeFill="background2"/>
          </w:tcPr>
          <w:p w14:paraId="77096437" w14:textId="77777777" w:rsidR="006F536A" w:rsidRPr="00E03780" w:rsidRDefault="006F536A" w:rsidP="005D5C94">
            <w:pPr>
              <w:pStyle w:val="Listenabsatz"/>
              <w:spacing w:after="0"/>
              <w:ind w:hanging="264"/>
              <w:rPr>
                <w:b/>
                <w:bCs/>
              </w:rPr>
            </w:pPr>
            <w:r w:rsidRPr="00E03780">
              <w:rPr>
                <w:b/>
                <w:bCs/>
                <w:color w:val="000000" w:themeColor="text1"/>
              </w:rPr>
              <w:t>Kostenart</w:t>
            </w:r>
          </w:p>
        </w:tc>
        <w:tc>
          <w:tcPr>
            <w:tcW w:w="1559" w:type="dxa"/>
            <w:shd w:val="clear" w:color="auto" w:fill="E7E6E6" w:themeFill="background2"/>
          </w:tcPr>
          <w:p w14:paraId="3E568E96" w14:textId="77777777" w:rsidR="006F536A" w:rsidRPr="00E03780" w:rsidRDefault="006F536A" w:rsidP="005D5C94">
            <w:pPr>
              <w:pStyle w:val="Listenabsatz"/>
              <w:spacing w:after="0"/>
              <w:ind w:hanging="266"/>
              <w:rPr>
                <w:b/>
                <w:bCs/>
              </w:rPr>
            </w:pPr>
            <w:r w:rsidRPr="00E03780">
              <w:rPr>
                <w:b/>
                <w:bCs/>
                <w:color w:val="000000" w:themeColor="text1"/>
              </w:rPr>
              <w:t>Anzahl</w:t>
            </w:r>
          </w:p>
        </w:tc>
        <w:tc>
          <w:tcPr>
            <w:tcW w:w="1998" w:type="dxa"/>
            <w:shd w:val="clear" w:color="auto" w:fill="E7E6E6" w:themeFill="background2"/>
          </w:tcPr>
          <w:p w14:paraId="19A8ED08" w14:textId="77777777" w:rsidR="006F536A" w:rsidRPr="00E03780" w:rsidRDefault="006F536A" w:rsidP="005D5C94">
            <w:pPr>
              <w:pStyle w:val="Listenabsatz"/>
              <w:ind w:hanging="245"/>
              <w:rPr>
                <w:b/>
                <w:bCs/>
                <w:color w:val="000000" w:themeColor="text1"/>
              </w:rPr>
            </w:pPr>
            <w:r w:rsidRPr="00E03780">
              <w:rPr>
                <w:b/>
                <w:bCs/>
                <w:color w:val="000000" w:themeColor="text1"/>
              </w:rPr>
              <w:t>Preis/Einheit in EUR</w:t>
            </w:r>
          </w:p>
        </w:tc>
        <w:tc>
          <w:tcPr>
            <w:tcW w:w="2541" w:type="dxa"/>
            <w:shd w:val="clear" w:color="auto" w:fill="E7E6E6" w:themeFill="background2"/>
          </w:tcPr>
          <w:p w14:paraId="009A0BE6" w14:textId="77777777" w:rsidR="006F536A" w:rsidRPr="00E03780" w:rsidRDefault="006F536A" w:rsidP="005D5C94">
            <w:pPr>
              <w:pStyle w:val="Listenabsatz"/>
              <w:ind w:hanging="401"/>
              <w:rPr>
                <w:b/>
                <w:bCs/>
                <w:color w:val="000000" w:themeColor="text1"/>
              </w:rPr>
            </w:pPr>
            <w:r w:rsidRPr="00E03780">
              <w:rPr>
                <w:b/>
                <w:bCs/>
                <w:color w:val="000000" w:themeColor="text1"/>
              </w:rPr>
              <w:t>Gesamtpreis in EUR</w:t>
            </w:r>
          </w:p>
        </w:tc>
      </w:tr>
      <w:tr w:rsidR="006F536A" w14:paraId="5C353EAE" w14:textId="77777777" w:rsidTr="0091776B">
        <w:trPr>
          <w:trHeight w:val="334"/>
          <w:jc w:val="center"/>
        </w:trPr>
        <w:tc>
          <w:tcPr>
            <w:tcW w:w="2547" w:type="dxa"/>
          </w:tcPr>
          <w:p w14:paraId="64567E8F" w14:textId="01C6A530" w:rsidR="006F536A" w:rsidRDefault="00926389" w:rsidP="005D5C94">
            <w:pPr>
              <w:pStyle w:val="Listenabsatz"/>
              <w:ind w:left="315"/>
              <w:rPr>
                <w:color w:val="000000" w:themeColor="text1"/>
              </w:rPr>
            </w:pPr>
            <w:r>
              <w:rPr>
                <w:color w:val="000000" w:themeColor="text1"/>
              </w:rPr>
              <w:t>Chirurgische Gesichtsmaske</w:t>
            </w:r>
            <w:r w:rsidR="00C048C8">
              <w:rPr>
                <w:color w:val="000000" w:themeColor="text1"/>
              </w:rPr>
              <w:t xml:space="preserve"> (Pakete)</w:t>
            </w:r>
            <w:r w:rsidR="005D5C94">
              <w:rPr>
                <w:color w:val="000000" w:themeColor="text1"/>
              </w:rPr>
              <w:t xml:space="preserve"> für 30 Gesundheitszentren</w:t>
            </w:r>
          </w:p>
        </w:tc>
        <w:tc>
          <w:tcPr>
            <w:tcW w:w="1559" w:type="dxa"/>
          </w:tcPr>
          <w:p w14:paraId="654225E0" w14:textId="7AD3A8E1" w:rsidR="006F536A" w:rsidRDefault="00926389" w:rsidP="005D5C94">
            <w:pPr>
              <w:pStyle w:val="Listenabsatz"/>
              <w:jc w:val="right"/>
              <w:rPr>
                <w:color w:val="000000" w:themeColor="text1"/>
              </w:rPr>
            </w:pPr>
            <w:r>
              <w:rPr>
                <w:color w:val="000000" w:themeColor="text1"/>
              </w:rPr>
              <w:t>30</w:t>
            </w:r>
          </w:p>
        </w:tc>
        <w:tc>
          <w:tcPr>
            <w:tcW w:w="1998" w:type="dxa"/>
          </w:tcPr>
          <w:p w14:paraId="35B3F684" w14:textId="03C4003A" w:rsidR="006F536A" w:rsidRDefault="00926389" w:rsidP="005D5C94">
            <w:pPr>
              <w:pStyle w:val="Listenabsatz"/>
              <w:jc w:val="right"/>
              <w:rPr>
                <w:color w:val="000000" w:themeColor="text1"/>
              </w:rPr>
            </w:pPr>
            <w:r>
              <w:rPr>
                <w:color w:val="000000" w:themeColor="text1"/>
              </w:rPr>
              <w:t>34</w:t>
            </w:r>
            <w:r w:rsidR="009139D6">
              <w:rPr>
                <w:color w:val="000000" w:themeColor="text1"/>
              </w:rPr>
              <w:t>,30</w:t>
            </w:r>
          </w:p>
        </w:tc>
        <w:tc>
          <w:tcPr>
            <w:tcW w:w="2541" w:type="dxa"/>
          </w:tcPr>
          <w:p w14:paraId="5404EE42" w14:textId="3DD01B34" w:rsidR="006F536A" w:rsidRDefault="00926389" w:rsidP="005D5C94">
            <w:pPr>
              <w:pStyle w:val="Listenabsatz"/>
              <w:jc w:val="right"/>
              <w:rPr>
                <w:color w:val="000000" w:themeColor="text1"/>
              </w:rPr>
            </w:pPr>
            <w:r>
              <w:rPr>
                <w:color w:val="000000" w:themeColor="text1"/>
              </w:rPr>
              <w:t>1.02</w:t>
            </w:r>
            <w:r w:rsidR="009E0119">
              <w:rPr>
                <w:color w:val="000000" w:themeColor="text1"/>
              </w:rPr>
              <w:t>9</w:t>
            </w:r>
          </w:p>
        </w:tc>
      </w:tr>
      <w:tr w:rsidR="006F536A" w14:paraId="1B16C73A" w14:textId="77777777" w:rsidTr="0091776B">
        <w:trPr>
          <w:trHeight w:val="510"/>
          <w:jc w:val="center"/>
        </w:trPr>
        <w:tc>
          <w:tcPr>
            <w:tcW w:w="2547" w:type="dxa"/>
          </w:tcPr>
          <w:p w14:paraId="01B277D9" w14:textId="02C6DF79" w:rsidR="006F536A" w:rsidRPr="005D5C94" w:rsidRDefault="00C2718A" w:rsidP="005D5C94">
            <w:pPr>
              <w:pStyle w:val="Listenabsatz"/>
              <w:ind w:left="315"/>
              <w:rPr>
                <w:color w:val="000000" w:themeColor="text1"/>
              </w:rPr>
            </w:pPr>
            <w:r w:rsidRPr="005D5C94">
              <w:rPr>
                <w:color w:val="000000" w:themeColor="text1"/>
              </w:rPr>
              <w:t>Infrarot Thermometer</w:t>
            </w:r>
            <w:r w:rsidR="005D5C94" w:rsidRPr="005D5C94">
              <w:rPr>
                <w:color w:val="000000" w:themeColor="text1"/>
              </w:rPr>
              <w:t xml:space="preserve"> </w:t>
            </w:r>
            <w:r w:rsidR="005D5C94">
              <w:rPr>
                <w:color w:val="000000" w:themeColor="text1"/>
              </w:rPr>
              <w:t>für 30 Gesundheits-zentren und 10 Schulen</w:t>
            </w:r>
          </w:p>
        </w:tc>
        <w:tc>
          <w:tcPr>
            <w:tcW w:w="1559" w:type="dxa"/>
          </w:tcPr>
          <w:p w14:paraId="36AC831E" w14:textId="254DF3DE" w:rsidR="006F536A" w:rsidRPr="00411F6A" w:rsidRDefault="00C23CB6" w:rsidP="005D5C94">
            <w:pPr>
              <w:pStyle w:val="Listenabsatz"/>
              <w:jc w:val="right"/>
            </w:pPr>
            <w:r w:rsidRPr="00411F6A">
              <w:t>40</w:t>
            </w:r>
          </w:p>
        </w:tc>
        <w:tc>
          <w:tcPr>
            <w:tcW w:w="1998" w:type="dxa"/>
          </w:tcPr>
          <w:p w14:paraId="132EF417" w14:textId="700CB2B3" w:rsidR="006F536A" w:rsidRPr="00411F6A" w:rsidRDefault="00E41D04" w:rsidP="005D5C94">
            <w:pPr>
              <w:pStyle w:val="Listenabsatz"/>
              <w:jc w:val="right"/>
            </w:pPr>
            <w:r w:rsidRPr="00411F6A">
              <w:t>43</w:t>
            </w:r>
            <w:r w:rsidR="009139D6">
              <w:t>,</w:t>
            </w:r>
            <w:r w:rsidRPr="00411F6A">
              <w:t>6</w:t>
            </w:r>
            <w:r w:rsidR="009139D6">
              <w:t>5</w:t>
            </w:r>
          </w:p>
        </w:tc>
        <w:tc>
          <w:tcPr>
            <w:tcW w:w="2541" w:type="dxa"/>
          </w:tcPr>
          <w:p w14:paraId="0B56C6D6" w14:textId="3DAB2CF8" w:rsidR="006F536A" w:rsidRPr="00411F6A" w:rsidRDefault="002516D1" w:rsidP="005D5C94">
            <w:pPr>
              <w:pStyle w:val="Listenabsatz"/>
              <w:jc w:val="right"/>
            </w:pPr>
            <w:r w:rsidRPr="00411F6A">
              <w:t>1.74</w:t>
            </w:r>
            <w:r w:rsidR="009E0119">
              <w:t>6</w:t>
            </w:r>
          </w:p>
        </w:tc>
      </w:tr>
      <w:tr w:rsidR="006F536A" w14:paraId="27B4C7DF" w14:textId="77777777" w:rsidTr="0091776B">
        <w:trPr>
          <w:trHeight w:val="278"/>
          <w:jc w:val="center"/>
        </w:trPr>
        <w:tc>
          <w:tcPr>
            <w:tcW w:w="2547" w:type="dxa"/>
          </w:tcPr>
          <w:p w14:paraId="53E5BA7C" w14:textId="7330A81E" w:rsidR="006F536A" w:rsidRDefault="00466D24" w:rsidP="005D5C94">
            <w:pPr>
              <w:pStyle w:val="Listenabsatz"/>
              <w:ind w:left="315"/>
              <w:rPr>
                <w:color w:val="000000" w:themeColor="text1"/>
              </w:rPr>
            </w:pPr>
            <w:r>
              <w:rPr>
                <w:color w:val="000000" w:themeColor="text1"/>
              </w:rPr>
              <w:t xml:space="preserve">Wiederverwendbarer </w:t>
            </w:r>
            <w:r w:rsidR="00C2718A">
              <w:rPr>
                <w:color w:val="000000" w:themeColor="text1"/>
              </w:rPr>
              <w:t>Mund-Nasen-Schutz</w:t>
            </w:r>
            <w:r w:rsidR="00C048C8">
              <w:rPr>
                <w:color w:val="000000" w:themeColor="text1"/>
              </w:rPr>
              <w:t xml:space="preserve"> (Stück)</w:t>
            </w:r>
            <w:r w:rsidR="005D5C94">
              <w:rPr>
                <w:color w:val="000000" w:themeColor="text1"/>
              </w:rPr>
              <w:t xml:space="preserve"> für 400 Menschen mit Behinderungen und ihre 2.000 Haushalts-mitglieder</w:t>
            </w:r>
          </w:p>
        </w:tc>
        <w:tc>
          <w:tcPr>
            <w:tcW w:w="1559" w:type="dxa"/>
          </w:tcPr>
          <w:p w14:paraId="2F300CA7" w14:textId="6C8D3BFB" w:rsidR="006F536A" w:rsidRDefault="00C048C8" w:rsidP="005D5C94">
            <w:pPr>
              <w:pStyle w:val="Listenabsatz"/>
              <w:jc w:val="right"/>
              <w:rPr>
                <w:color w:val="000000" w:themeColor="text1"/>
              </w:rPr>
            </w:pPr>
            <w:r>
              <w:rPr>
                <w:color w:val="000000" w:themeColor="text1"/>
              </w:rPr>
              <w:t>2.400</w:t>
            </w:r>
          </w:p>
        </w:tc>
        <w:tc>
          <w:tcPr>
            <w:tcW w:w="1998" w:type="dxa"/>
          </w:tcPr>
          <w:p w14:paraId="616221D5" w14:textId="49C961B1" w:rsidR="006F536A" w:rsidRDefault="00E41D04" w:rsidP="005D5C94">
            <w:pPr>
              <w:pStyle w:val="Listenabsatz"/>
              <w:jc w:val="right"/>
              <w:rPr>
                <w:color w:val="000000" w:themeColor="text1"/>
              </w:rPr>
            </w:pPr>
            <w:r>
              <w:rPr>
                <w:color w:val="000000" w:themeColor="text1"/>
              </w:rPr>
              <w:t>0,</w:t>
            </w:r>
            <w:r w:rsidR="009139D6">
              <w:rPr>
                <w:color w:val="000000" w:themeColor="text1"/>
              </w:rPr>
              <w:t>62</w:t>
            </w:r>
          </w:p>
        </w:tc>
        <w:tc>
          <w:tcPr>
            <w:tcW w:w="2541" w:type="dxa"/>
          </w:tcPr>
          <w:p w14:paraId="0CB8C6F1" w14:textId="07226BD6" w:rsidR="006F536A" w:rsidRDefault="00C048C8" w:rsidP="005D5C94">
            <w:pPr>
              <w:pStyle w:val="Listenabsatz"/>
              <w:jc w:val="right"/>
              <w:rPr>
                <w:color w:val="000000" w:themeColor="text1"/>
              </w:rPr>
            </w:pPr>
            <w:r>
              <w:rPr>
                <w:color w:val="000000" w:themeColor="text1"/>
              </w:rPr>
              <w:t>1.496</w:t>
            </w:r>
          </w:p>
        </w:tc>
      </w:tr>
      <w:tr w:rsidR="00C2718A" w14:paraId="1E22DDB9" w14:textId="77777777" w:rsidTr="0091776B">
        <w:trPr>
          <w:trHeight w:val="278"/>
          <w:jc w:val="center"/>
        </w:trPr>
        <w:tc>
          <w:tcPr>
            <w:tcW w:w="2547" w:type="dxa"/>
          </w:tcPr>
          <w:p w14:paraId="7B8DDDCB" w14:textId="3D8EDDC1" w:rsidR="00C2718A" w:rsidRDefault="00C2718A" w:rsidP="005D5C94">
            <w:pPr>
              <w:pStyle w:val="Listenabsatz"/>
              <w:ind w:left="315"/>
              <w:rPr>
                <w:color w:val="000000" w:themeColor="text1"/>
              </w:rPr>
            </w:pPr>
            <w:r>
              <w:rPr>
                <w:color w:val="000000" w:themeColor="text1"/>
              </w:rPr>
              <w:t>Desinfektionsmittel (375 ml)</w:t>
            </w:r>
            <w:r w:rsidR="005D5C94">
              <w:rPr>
                <w:color w:val="000000" w:themeColor="text1"/>
              </w:rPr>
              <w:t xml:space="preserve"> für 30 Gesundheitszentren und 10 Schulen</w:t>
            </w:r>
          </w:p>
        </w:tc>
        <w:tc>
          <w:tcPr>
            <w:tcW w:w="1559" w:type="dxa"/>
          </w:tcPr>
          <w:p w14:paraId="0C82B1CE" w14:textId="2D55DCAD" w:rsidR="00C2718A" w:rsidRDefault="001A5BCE" w:rsidP="005D5C94">
            <w:pPr>
              <w:pStyle w:val="Listenabsatz"/>
              <w:jc w:val="right"/>
              <w:rPr>
                <w:color w:val="000000" w:themeColor="text1"/>
              </w:rPr>
            </w:pPr>
            <w:r>
              <w:rPr>
                <w:color w:val="000000" w:themeColor="text1"/>
              </w:rPr>
              <w:t>1</w:t>
            </w:r>
            <w:r w:rsidR="00C048C8">
              <w:rPr>
                <w:color w:val="000000" w:themeColor="text1"/>
              </w:rPr>
              <w:t>60</w:t>
            </w:r>
          </w:p>
        </w:tc>
        <w:tc>
          <w:tcPr>
            <w:tcW w:w="1998" w:type="dxa"/>
          </w:tcPr>
          <w:p w14:paraId="0CEBE576" w14:textId="465869B9" w:rsidR="00C2718A" w:rsidRDefault="00C048C8" w:rsidP="005D5C94">
            <w:pPr>
              <w:pStyle w:val="Listenabsatz"/>
              <w:jc w:val="right"/>
              <w:rPr>
                <w:color w:val="000000" w:themeColor="text1"/>
              </w:rPr>
            </w:pPr>
            <w:r>
              <w:rPr>
                <w:color w:val="000000" w:themeColor="text1"/>
              </w:rPr>
              <w:t>3,1</w:t>
            </w:r>
            <w:r w:rsidR="00321033">
              <w:rPr>
                <w:color w:val="000000" w:themeColor="text1"/>
              </w:rPr>
              <w:t>2</w:t>
            </w:r>
          </w:p>
        </w:tc>
        <w:tc>
          <w:tcPr>
            <w:tcW w:w="2541" w:type="dxa"/>
          </w:tcPr>
          <w:p w14:paraId="50CE8721" w14:textId="2E639AA1" w:rsidR="00C2718A" w:rsidRDefault="00C048C8" w:rsidP="005D5C94">
            <w:pPr>
              <w:pStyle w:val="Listenabsatz"/>
              <w:jc w:val="right"/>
              <w:rPr>
                <w:color w:val="000000" w:themeColor="text1"/>
              </w:rPr>
            </w:pPr>
            <w:r>
              <w:rPr>
                <w:color w:val="000000" w:themeColor="text1"/>
              </w:rPr>
              <w:t>49</w:t>
            </w:r>
            <w:r w:rsidR="009E0119">
              <w:rPr>
                <w:color w:val="000000" w:themeColor="text1"/>
              </w:rPr>
              <w:t>9</w:t>
            </w:r>
          </w:p>
        </w:tc>
      </w:tr>
      <w:tr w:rsidR="00C2718A" w14:paraId="4A161FFD" w14:textId="77777777" w:rsidTr="0091776B">
        <w:trPr>
          <w:trHeight w:val="278"/>
          <w:jc w:val="center"/>
        </w:trPr>
        <w:tc>
          <w:tcPr>
            <w:tcW w:w="2547" w:type="dxa"/>
          </w:tcPr>
          <w:p w14:paraId="78F49713" w14:textId="36ED9D68" w:rsidR="00C2718A" w:rsidRDefault="00C2718A" w:rsidP="005D5C94">
            <w:pPr>
              <w:pStyle w:val="Listenabsatz"/>
              <w:ind w:left="315"/>
              <w:rPr>
                <w:color w:val="000000" w:themeColor="text1"/>
              </w:rPr>
            </w:pPr>
            <w:r>
              <w:rPr>
                <w:color w:val="000000" w:themeColor="text1"/>
              </w:rPr>
              <w:t>Desinfektionsmittel (5</w:t>
            </w:r>
            <w:r w:rsidR="00C048C8">
              <w:rPr>
                <w:color w:val="000000" w:themeColor="text1"/>
              </w:rPr>
              <w:t>5</w:t>
            </w:r>
            <w:r>
              <w:rPr>
                <w:color w:val="000000" w:themeColor="text1"/>
              </w:rPr>
              <w:t xml:space="preserve"> ml)</w:t>
            </w:r>
            <w:r w:rsidR="005D5C94">
              <w:rPr>
                <w:color w:val="000000" w:themeColor="text1"/>
              </w:rPr>
              <w:t xml:space="preserve"> für 400 Menschen mit Behinderungen und ihre 2.000 Haushalts-mitglieder</w:t>
            </w:r>
          </w:p>
        </w:tc>
        <w:tc>
          <w:tcPr>
            <w:tcW w:w="1559" w:type="dxa"/>
          </w:tcPr>
          <w:p w14:paraId="5A54B35B" w14:textId="26C9403D" w:rsidR="00C2718A" w:rsidRDefault="00C048C8" w:rsidP="005D5C94">
            <w:pPr>
              <w:pStyle w:val="Listenabsatz"/>
              <w:jc w:val="right"/>
              <w:rPr>
                <w:color w:val="000000" w:themeColor="text1"/>
              </w:rPr>
            </w:pPr>
            <w:r>
              <w:rPr>
                <w:color w:val="000000" w:themeColor="text1"/>
              </w:rPr>
              <w:t>2.400</w:t>
            </w:r>
          </w:p>
        </w:tc>
        <w:tc>
          <w:tcPr>
            <w:tcW w:w="1998" w:type="dxa"/>
          </w:tcPr>
          <w:p w14:paraId="7E7182D8" w14:textId="6D9F7E80" w:rsidR="00C2718A" w:rsidRDefault="00C048C8" w:rsidP="005D5C94">
            <w:pPr>
              <w:pStyle w:val="Listenabsatz"/>
              <w:jc w:val="right"/>
              <w:rPr>
                <w:color w:val="000000" w:themeColor="text1"/>
              </w:rPr>
            </w:pPr>
            <w:r>
              <w:rPr>
                <w:color w:val="000000" w:themeColor="text1"/>
              </w:rPr>
              <w:t>0,62</w:t>
            </w:r>
          </w:p>
        </w:tc>
        <w:tc>
          <w:tcPr>
            <w:tcW w:w="2541" w:type="dxa"/>
          </w:tcPr>
          <w:p w14:paraId="63B5A209" w14:textId="3E2FEB21" w:rsidR="00C2718A" w:rsidRDefault="00C048C8" w:rsidP="005D5C94">
            <w:pPr>
              <w:pStyle w:val="Listenabsatz"/>
              <w:jc w:val="right"/>
              <w:rPr>
                <w:color w:val="000000" w:themeColor="text1"/>
              </w:rPr>
            </w:pPr>
            <w:r>
              <w:rPr>
                <w:color w:val="000000" w:themeColor="text1"/>
              </w:rPr>
              <w:t>1.496</w:t>
            </w:r>
          </w:p>
        </w:tc>
      </w:tr>
      <w:tr w:rsidR="00C048C8" w14:paraId="4E830D0B" w14:textId="77777777" w:rsidTr="0091776B">
        <w:trPr>
          <w:trHeight w:val="278"/>
          <w:jc w:val="center"/>
        </w:trPr>
        <w:tc>
          <w:tcPr>
            <w:tcW w:w="2547" w:type="dxa"/>
          </w:tcPr>
          <w:p w14:paraId="6F188459" w14:textId="319D2FE7" w:rsidR="00C048C8" w:rsidRDefault="00C048C8" w:rsidP="00C048C8">
            <w:pPr>
              <w:pStyle w:val="Listenabsatz"/>
              <w:ind w:left="315"/>
              <w:rPr>
                <w:color w:val="000000" w:themeColor="text1"/>
              </w:rPr>
            </w:pPr>
            <w:r>
              <w:rPr>
                <w:color w:val="000000" w:themeColor="text1"/>
              </w:rPr>
              <w:t>Handseife (Stück)</w:t>
            </w:r>
            <w:r w:rsidR="005D5C94">
              <w:rPr>
                <w:color w:val="000000" w:themeColor="text1"/>
              </w:rPr>
              <w:t xml:space="preserve"> für 400 Menschen mit Behinderungen und </w:t>
            </w:r>
            <w:r w:rsidR="005D5C94">
              <w:rPr>
                <w:color w:val="000000" w:themeColor="text1"/>
              </w:rPr>
              <w:lastRenderedPageBreak/>
              <w:t>ihre 2.000 Haushalts-mitglieder</w:t>
            </w:r>
          </w:p>
        </w:tc>
        <w:tc>
          <w:tcPr>
            <w:tcW w:w="1559" w:type="dxa"/>
          </w:tcPr>
          <w:p w14:paraId="1A9A36E8" w14:textId="450C8210" w:rsidR="00C048C8" w:rsidRDefault="00C048C8" w:rsidP="00C048C8">
            <w:pPr>
              <w:pStyle w:val="Listenabsatz"/>
              <w:jc w:val="right"/>
              <w:rPr>
                <w:color w:val="000000" w:themeColor="text1"/>
              </w:rPr>
            </w:pPr>
            <w:r>
              <w:rPr>
                <w:color w:val="000000" w:themeColor="text1"/>
              </w:rPr>
              <w:lastRenderedPageBreak/>
              <w:t>2.400</w:t>
            </w:r>
          </w:p>
        </w:tc>
        <w:tc>
          <w:tcPr>
            <w:tcW w:w="1998" w:type="dxa"/>
          </w:tcPr>
          <w:p w14:paraId="29391D67" w14:textId="6C72BF22" w:rsidR="00C048C8" w:rsidRDefault="00C048C8" w:rsidP="00C048C8">
            <w:pPr>
              <w:pStyle w:val="Listenabsatz"/>
              <w:jc w:val="right"/>
              <w:rPr>
                <w:color w:val="000000" w:themeColor="text1"/>
              </w:rPr>
            </w:pPr>
            <w:r>
              <w:rPr>
                <w:color w:val="000000" w:themeColor="text1"/>
              </w:rPr>
              <w:t>0,62</w:t>
            </w:r>
          </w:p>
        </w:tc>
        <w:tc>
          <w:tcPr>
            <w:tcW w:w="2541" w:type="dxa"/>
          </w:tcPr>
          <w:p w14:paraId="0F29B7F6" w14:textId="1D348094" w:rsidR="00C048C8" w:rsidRDefault="00C048C8" w:rsidP="00C048C8">
            <w:pPr>
              <w:pStyle w:val="Listenabsatz"/>
              <w:jc w:val="right"/>
              <w:rPr>
                <w:color w:val="000000" w:themeColor="text1"/>
              </w:rPr>
            </w:pPr>
            <w:r>
              <w:rPr>
                <w:color w:val="000000" w:themeColor="text1"/>
              </w:rPr>
              <w:t>1.496</w:t>
            </w:r>
          </w:p>
        </w:tc>
      </w:tr>
      <w:tr w:rsidR="006F536A" w:rsidRPr="00E03780" w14:paraId="58E4892F" w14:textId="77777777" w:rsidTr="0091776B">
        <w:trPr>
          <w:trHeight w:val="278"/>
          <w:jc w:val="center"/>
        </w:trPr>
        <w:tc>
          <w:tcPr>
            <w:tcW w:w="2547" w:type="dxa"/>
          </w:tcPr>
          <w:p w14:paraId="5D6471F4" w14:textId="77777777" w:rsidR="006F536A" w:rsidRPr="00E03780" w:rsidRDefault="006F536A" w:rsidP="005D5C94">
            <w:pPr>
              <w:pStyle w:val="Listenabsatz"/>
              <w:ind w:left="315"/>
              <w:rPr>
                <w:b/>
                <w:bCs/>
                <w:color w:val="000000" w:themeColor="text1"/>
              </w:rPr>
            </w:pPr>
            <w:r w:rsidRPr="00E03780">
              <w:rPr>
                <w:b/>
                <w:bCs/>
                <w:color w:val="000000" w:themeColor="text1"/>
              </w:rPr>
              <w:t>Gesamt</w:t>
            </w:r>
          </w:p>
        </w:tc>
        <w:tc>
          <w:tcPr>
            <w:tcW w:w="1559" w:type="dxa"/>
          </w:tcPr>
          <w:p w14:paraId="71748377" w14:textId="77777777" w:rsidR="006F536A" w:rsidRPr="00E03780" w:rsidRDefault="006F536A" w:rsidP="005D5C94">
            <w:pPr>
              <w:pStyle w:val="Listenabsatz"/>
              <w:jc w:val="right"/>
              <w:rPr>
                <w:b/>
                <w:bCs/>
                <w:color w:val="000000" w:themeColor="text1"/>
              </w:rPr>
            </w:pPr>
          </w:p>
        </w:tc>
        <w:tc>
          <w:tcPr>
            <w:tcW w:w="1998" w:type="dxa"/>
          </w:tcPr>
          <w:p w14:paraId="1DE466AA" w14:textId="77777777" w:rsidR="006F536A" w:rsidRPr="00E03780" w:rsidRDefault="006F536A" w:rsidP="005D5C94">
            <w:pPr>
              <w:pStyle w:val="Listenabsatz"/>
              <w:jc w:val="right"/>
              <w:rPr>
                <w:b/>
                <w:bCs/>
                <w:color w:val="000000" w:themeColor="text1"/>
              </w:rPr>
            </w:pPr>
          </w:p>
        </w:tc>
        <w:tc>
          <w:tcPr>
            <w:tcW w:w="2541" w:type="dxa"/>
          </w:tcPr>
          <w:p w14:paraId="5E435A1A" w14:textId="57FC955F" w:rsidR="006F536A" w:rsidRPr="00E03780" w:rsidRDefault="00411F6A" w:rsidP="005D5C94">
            <w:pPr>
              <w:pStyle w:val="Listenabsatz"/>
              <w:jc w:val="right"/>
              <w:rPr>
                <w:b/>
                <w:bCs/>
                <w:color w:val="000000" w:themeColor="text1"/>
              </w:rPr>
            </w:pPr>
            <w:r w:rsidRPr="00411F6A">
              <w:rPr>
                <w:b/>
                <w:bCs/>
              </w:rPr>
              <w:t>7.762</w:t>
            </w:r>
          </w:p>
        </w:tc>
      </w:tr>
    </w:tbl>
    <w:p w14:paraId="656EEB44" w14:textId="471DF7A1" w:rsidR="00A92462" w:rsidRPr="00B663E2" w:rsidRDefault="00C63626" w:rsidP="009D2243">
      <w:pPr>
        <w:spacing w:before="240" w:afterLines="40" w:after="96"/>
        <w:jc w:val="both"/>
        <w:rPr>
          <w:bCs/>
          <w:color w:val="000000"/>
        </w:rPr>
      </w:pPr>
      <w:r>
        <w:rPr>
          <w:bCs/>
          <w:color w:val="000000"/>
        </w:rPr>
        <w:t>Die Beschaffung der Schutzausrüstung und Hygienematerialien wird voraussichtlich aufgrund der zu beschaffenden Mengen zentral von Lusaka aus erfolgen.</w:t>
      </w:r>
      <w:r w:rsidR="00D225C1">
        <w:rPr>
          <w:bCs/>
          <w:color w:val="000000"/>
        </w:rPr>
        <w:t xml:space="preserve"> Die Verteilung wird BCH im Rahmen von </w:t>
      </w:r>
      <w:proofErr w:type="spellStart"/>
      <w:r w:rsidR="00D225C1">
        <w:rPr>
          <w:bCs/>
          <w:color w:val="000000"/>
        </w:rPr>
        <w:t>Monitoringreisen</w:t>
      </w:r>
      <w:proofErr w:type="spellEnd"/>
      <w:r w:rsidR="00D225C1">
        <w:rPr>
          <w:bCs/>
          <w:color w:val="000000"/>
        </w:rPr>
        <w:t xml:space="preserve"> durchführen.</w:t>
      </w:r>
    </w:p>
    <w:p w14:paraId="11E959FA" w14:textId="1A0BF067" w:rsidR="00AA0FE2" w:rsidRPr="00B663E2" w:rsidRDefault="00AA0FE2" w:rsidP="009D2243">
      <w:pPr>
        <w:spacing w:before="240" w:afterLines="40" w:after="96"/>
        <w:jc w:val="both"/>
        <w:rPr>
          <w:b/>
        </w:rPr>
      </w:pPr>
      <w:r w:rsidRPr="00B663E2">
        <w:rPr>
          <w:b/>
        </w:rPr>
        <w:t>Aktivität 2: Durchführung von bewusstseinsstärkenden Maßnahmen</w:t>
      </w:r>
      <w:r w:rsidR="001518A7" w:rsidRPr="00B663E2">
        <w:rPr>
          <w:b/>
        </w:rPr>
        <w:t xml:space="preserve"> (2</w:t>
      </w:r>
      <w:r w:rsidR="00AA2843" w:rsidRPr="00B663E2">
        <w:rPr>
          <w:b/>
        </w:rPr>
        <w:t>.494</w:t>
      </w:r>
      <w:r w:rsidR="001518A7" w:rsidRPr="00B663E2">
        <w:rPr>
          <w:b/>
        </w:rPr>
        <w:t xml:space="preserve"> EUR)</w:t>
      </w:r>
    </w:p>
    <w:p w14:paraId="1E7A2A08" w14:textId="1393190D" w:rsidR="00D00305" w:rsidRDefault="00B735D7" w:rsidP="00075EDE">
      <w:pPr>
        <w:jc w:val="both"/>
      </w:pPr>
      <w:r>
        <w:t>Darüber hinaus plant BCH in Zusammenarbeit mit einer kooperierenden Schule in Livingstone die Durchführung eine</w:t>
      </w:r>
      <w:r w:rsidR="004E52DA">
        <w:t>r Veranstaltung zur Bewusstseinsstärkung für COVID-19.</w:t>
      </w:r>
      <w:r w:rsidR="001D2EE1">
        <w:t xml:space="preserve"> Hierbei werden </w:t>
      </w:r>
      <w:r w:rsidR="00396AE7">
        <w:t>in Vorträgen und Gesprächsrunden vor allem</w:t>
      </w:r>
      <w:r w:rsidR="001D2EE1">
        <w:t xml:space="preserve"> die Herausforderungen von Menschen mit Behinderungen bei dem Schutz vor einer COVID-19 Infektion thematisiert. </w:t>
      </w:r>
      <w:r w:rsidR="00E657C6">
        <w:t xml:space="preserve">Für eine barrierefreie Kommunikation werden die Lehrkräfte der Schule die Informationen in Gebärdensprache </w:t>
      </w:r>
      <w:r w:rsidR="00396AE7">
        <w:t>übersetzen</w:t>
      </w:r>
      <w:r w:rsidR="00E657C6">
        <w:t>.</w:t>
      </w:r>
      <w:r w:rsidR="00D00305">
        <w:t xml:space="preserve"> </w:t>
      </w:r>
      <w:r w:rsidR="0083276A">
        <w:t>Außerdem w</w:t>
      </w:r>
      <w:r w:rsidR="007300CA">
        <w:t>ird die Informationsveranstaltung mit der Durchführung von Screenings zur frühzeitigen Erkennung von Hörbeeinträchtigungen kombiniert.</w:t>
      </w:r>
    </w:p>
    <w:p w14:paraId="73629C90" w14:textId="46F3A4AA" w:rsidR="00D41224" w:rsidRPr="00B663E2" w:rsidRDefault="00396AE7" w:rsidP="00075EDE">
      <w:pPr>
        <w:jc w:val="both"/>
      </w:pPr>
      <w:r>
        <w:t xml:space="preserve">Die Zielgruppe der Aktivität stellen geladene </w:t>
      </w:r>
      <w:proofErr w:type="spellStart"/>
      <w:r>
        <w:t>Repräsentant_innen</w:t>
      </w:r>
      <w:proofErr w:type="spellEnd"/>
      <w:r>
        <w:t xml:space="preserve"> von Gesundheitsbehörden und -zentren, </w:t>
      </w:r>
      <w:r w:rsidR="00DB28CF">
        <w:t xml:space="preserve">des Bildungsausschusses, </w:t>
      </w:r>
      <w:proofErr w:type="spellStart"/>
      <w:r>
        <w:t>Schüler_innen</w:t>
      </w:r>
      <w:proofErr w:type="spellEnd"/>
      <w:r>
        <w:t xml:space="preserve"> mit</w:t>
      </w:r>
      <w:r w:rsidR="007C444B">
        <w:t xml:space="preserve"> und </w:t>
      </w:r>
      <w:r w:rsidR="0083276A">
        <w:t xml:space="preserve">ohne </w:t>
      </w:r>
      <w:r>
        <w:t xml:space="preserve">Hörbeeinträchtigungen und deren Angehörige dar. </w:t>
      </w:r>
      <w:r w:rsidR="002C1BBF">
        <w:t>Ziel der Bewusstseinsstärkung ist es, dass die Gäste innerhalb ihrer Institutionen und Gemeinden a</w:t>
      </w:r>
      <w:r w:rsidR="002C648A">
        <w:t>ls</w:t>
      </w:r>
      <w:r w:rsidR="002C1BBF">
        <w:t xml:space="preserve"> </w:t>
      </w:r>
      <w:proofErr w:type="spellStart"/>
      <w:r w:rsidR="002C1BBF">
        <w:t>Multiplikator_innen</w:t>
      </w:r>
      <w:proofErr w:type="spellEnd"/>
      <w:r w:rsidR="002C1BBF">
        <w:t xml:space="preserve"> fungieren und die Informationen weitertragen. </w:t>
      </w:r>
      <w:r>
        <w:t>Insgesamt werden rund 50 Gäste erwartet. Die Veranstaltung wird unter Wahrung der Abstands- und Hygieneregelungen im Freien stattfinden.</w:t>
      </w:r>
    </w:p>
    <w:p w14:paraId="619181A9" w14:textId="669E4969" w:rsidR="00D41224" w:rsidRDefault="00F244F2" w:rsidP="00075EDE">
      <w:pPr>
        <w:jc w:val="both"/>
      </w:pPr>
      <w:r>
        <w:t>Um die breite Öffentlichkeit der Südprovinz</w:t>
      </w:r>
      <w:r w:rsidR="00DF7CF4">
        <w:t xml:space="preserve"> zu erreichen, wird BCH gemeinsam mit der sambischen Nachrichtenagentur (</w:t>
      </w:r>
      <w:proofErr w:type="spellStart"/>
      <w:r w:rsidR="00DF7CF4">
        <w:t>Zambia</w:t>
      </w:r>
      <w:proofErr w:type="spellEnd"/>
      <w:r w:rsidR="00DF7CF4">
        <w:t xml:space="preserve"> News Information Service) Radiobeiträge zu der Wichtigkeit von COVID-19 Präventionsmaßnahmen produzieren und </w:t>
      </w:r>
      <w:r w:rsidR="00075EDE">
        <w:t xml:space="preserve">über lokale Radiosender </w:t>
      </w:r>
      <w:r w:rsidR="00DF7CF4">
        <w:t xml:space="preserve">ausstrahlen. </w:t>
      </w:r>
      <w:r w:rsidR="00845B7A">
        <w:t xml:space="preserve">Hierbei wird auch das Bewusstsein hinsichtlich der Vulnerabilität von Menschen mit Behinderungen und deren Herausforderungen im Selbstschutz gestärkt. </w:t>
      </w:r>
      <w:r w:rsidR="00DF7CF4">
        <w:t>Die Nachrichtenagentur wird die Beiträge in verschiedene Lokalsprachen übersetzen</w:t>
      </w:r>
      <w:r w:rsidR="00CB6E62">
        <w:t>, wodurch sichergestellt wird,</w:t>
      </w:r>
      <w:r w:rsidR="00C47FF0">
        <w:t xml:space="preserve"> dass die gesamte Zielgruppe einen Zugang zu den Botschaften erhält.</w:t>
      </w:r>
    </w:p>
    <w:p w14:paraId="75CF1219" w14:textId="05AD0DA6" w:rsidR="00DF7CF4" w:rsidRDefault="00DF7CF4" w:rsidP="00075EDE">
      <w:pPr>
        <w:jc w:val="both"/>
      </w:pPr>
      <w:r>
        <w:t>Die Produktion von Informationsbroschüren und Postern wurde</w:t>
      </w:r>
      <w:r w:rsidR="00075EDE">
        <w:t xml:space="preserve"> im Vorfeld</w:t>
      </w:r>
      <w:r>
        <w:t xml:space="preserve"> durch die Partnerorganisation eruiert. Da das Gesundheitsministerium bereits umfassende Informationsmaterialien produzierte und im öffentlichen Raum anbrachte, wird es nicht als notwendig erachtet, weitere Materialien anzufertigen.</w:t>
      </w:r>
    </w:p>
    <w:p w14:paraId="5AF1479C" w14:textId="75550F40" w:rsidR="00AF3DAC" w:rsidRDefault="00AF3DAC" w:rsidP="00075EDE">
      <w:pPr>
        <w:jc w:val="both"/>
      </w:pPr>
    </w:p>
    <w:p w14:paraId="5B36F373" w14:textId="66265D83" w:rsidR="00AF3DAC" w:rsidRDefault="00AF3DAC" w:rsidP="00075EDE">
      <w:pPr>
        <w:jc w:val="both"/>
      </w:pPr>
    </w:p>
    <w:p w14:paraId="68DE6984" w14:textId="3782E19E" w:rsidR="00AF3DAC" w:rsidRDefault="00AF3DAC" w:rsidP="00075EDE">
      <w:pPr>
        <w:jc w:val="both"/>
      </w:pPr>
    </w:p>
    <w:p w14:paraId="33163D1F" w14:textId="7733961D" w:rsidR="00AF3DAC" w:rsidRDefault="00AF3DAC" w:rsidP="00075EDE">
      <w:pPr>
        <w:jc w:val="both"/>
      </w:pPr>
    </w:p>
    <w:p w14:paraId="1112DE29" w14:textId="1BE175AE" w:rsidR="00AF3DAC" w:rsidRDefault="00AF3DAC" w:rsidP="00075EDE">
      <w:pPr>
        <w:jc w:val="both"/>
      </w:pPr>
    </w:p>
    <w:p w14:paraId="336C6330" w14:textId="77777777" w:rsidR="00AF3DAC" w:rsidRPr="00B663E2" w:rsidRDefault="00AF3DAC" w:rsidP="00075EDE">
      <w:pPr>
        <w:jc w:val="both"/>
      </w:pPr>
    </w:p>
    <w:p w14:paraId="7003193A" w14:textId="0C755DC5" w:rsidR="006F536A" w:rsidRPr="00B663E2" w:rsidRDefault="00DF7CF4" w:rsidP="00F51431">
      <w:r>
        <w:lastRenderedPageBreak/>
        <w:t>Für die bewusstseinsstärkenden Maßnahmen budgetiert BCH</w:t>
      </w:r>
      <w:r w:rsidR="00F51431" w:rsidRPr="00B663E2">
        <w:t xml:space="preserve"> folgende Kosten:</w:t>
      </w:r>
    </w:p>
    <w:tbl>
      <w:tblPr>
        <w:tblStyle w:val="TabellemithellemGitternetz"/>
        <w:tblW w:w="8645" w:type="dxa"/>
        <w:jc w:val="center"/>
        <w:tblLayout w:type="fixed"/>
        <w:tblLook w:val="06A0" w:firstRow="1" w:lastRow="0" w:firstColumn="1" w:lastColumn="0" w:noHBand="1" w:noVBand="1"/>
      </w:tblPr>
      <w:tblGrid>
        <w:gridCol w:w="2035"/>
        <w:gridCol w:w="1362"/>
        <w:gridCol w:w="2707"/>
        <w:gridCol w:w="2541"/>
      </w:tblGrid>
      <w:tr w:rsidR="006F536A" w:rsidRPr="00E03780" w14:paraId="1CBEFF1F" w14:textId="77777777" w:rsidTr="005D5C94">
        <w:trPr>
          <w:trHeight w:val="278"/>
          <w:jc w:val="center"/>
        </w:trPr>
        <w:tc>
          <w:tcPr>
            <w:tcW w:w="2035" w:type="dxa"/>
            <w:shd w:val="clear" w:color="auto" w:fill="E7E6E6" w:themeFill="background2"/>
          </w:tcPr>
          <w:p w14:paraId="5BE2082E" w14:textId="77777777" w:rsidR="006F536A" w:rsidRPr="00E03780" w:rsidRDefault="006F536A" w:rsidP="005D5C94">
            <w:pPr>
              <w:pStyle w:val="Listenabsatz"/>
              <w:spacing w:after="0"/>
              <w:ind w:hanging="264"/>
              <w:rPr>
                <w:b/>
                <w:bCs/>
              </w:rPr>
            </w:pPr>
            <w:r w:rsidRPr="00E03780">
              <w:rPr>
                <w:b/>
                <w:bCs/>
                <w:color w:val="000000" w:themeColor="text1"/>
              </w:rPr>
              <w:t>Kostenart</w:t>
            </w:r>
          </w:p>
        </w:tc>
        <w:tc>
          <w:tcPr>
            <w:tcW w:w="1362" w:type="dxa"/>
            <w:shd w:val="clear" w:color="auto" w:fill="E7E6E6" w:themeFill="background2"/>
          </w:tcPr>
          <w:p w14:paraId="0960B072" w14:textId="77777777" w:rsidR="006F536A" w:rsidRPr="00E03780" w:rsidRDefault="006F536A" w:rsidP="005D5C94">
            <w:pPr>
              <w:pStyle w:val="Listenabsatz"/>
              <w:spacing w:after="0"/>
              <w:ind w:hanging="266"/>
              <w:rPr>
                <w:b/>
                <w:bCs/>
              </w:rPr>
            </w:pPr>
            <w:r w:rsidRPr="00E03780">
              <w:rPr>
                <w:b/>
                <w:bCs/>
                <w:color w:val="000000" w:themeColor="text1"/>
              </w:rPr>
              <w:t>Anzahl</w:t>
            </w:r>
          </w:p>
        </w:tc>
        <w:tc>
          <w:tcPr>
            <w:tcW w:w="2707" w:type="dxa"/>
            <w:shd w:val="clear" w:color="auto" w:fill="E7E6E6" w:themeFill="background2"/>
          </w:tcPr>
          <w:p w14:paraId="5D5DAFD2" w14:textId="77777777" w:rsidR="006F536A" w:rsidRPr="00E03780" w:rsidRDefault="006F536A" w:rsidP="005D5C94">
            <w:pPr>
              <w:pStyle w:val="Listenabsatz"/>
              <w:ind w:hanging="245"/>
              <w:rPr>
                <w:b/>
                <w:bCs/>
                <w:color w:val="000000" w:themeColor="text1"/>
              </w:rPr>
            </w:pPr>
            <w:r w:rsidRPr="00E03780">
              <w:rPr>
                <w:b/>
                <w:bCs/>
                <w:color w:val="000000" w:themeColor="text1"/>
              </w:rPr>
              <w:t>Preis/Einheit in EUR</w:t>
            </w:r>
          </w:p>
        </w:tc>
        <w:tc>
          <w:tcPr>
            <w:tcW w:w="2541" w:type="dxa"/>
            <w:shd w:val="clear" w:color="auto" w:fill="E7E6E6" w:themeFill="background2"/>
          </w:tcPr>
          <w:p w14:paraId="6E2F0425" w14:textId="77777777" w:rsidR="006F536A" w:rsidRPr="00E03780" w:rsidRDefault="006F536A" w:rsidP="005D5C94">
            <w:pPr>
              <w:pStyle w:val="Listenabsatz"/>
              <w:ind w:hanging="401"/>
              <w:rPr>
                <w:b/>
                <w:bCs/>
                <w:color w:val="000000" w:themeColor="text1"/>
              </w:rPr>
            </w:pPr>
            <w:r w:rsidRPr="00E03780">
              <w:rPr>
                <w:b/>
                <w:bCs/>
                <w:color w:val="000000" w:themeColor="text1"/>
              </w:rPr>
              <w:t>Gesamtpreis in EUR</w:t>
            </w:r>
          </w:p>
        </w:tc>
      </w:tr>
      <w:tr w:rsidR="006F536A" w14:paraId="6A45F869" w14:textId="77777777" w:rsidTr="005D5C94">
        <w:trPr>
          <w:trHeight w:val="334"/>
          <w:jc w:val="center"/>
        </w:trPr>
        <w:tc>
          <w:tcPr>
            <w:tcW w:w="2035" w:type="dxa"/>
          </w:tcPr>
          <w:p w14:paraId="664E0F84" w14:textId="1D0FC75E" w:rsidR="006F536A" w:rsidRDefault="00B8614F" w:rsidP="005D5C94">
            <w:pPr>
              <w:pStyle w:val="Listenabsatz"/>
              <w:ind w:left="315"/>
              <w:rPr>
                <w:color w:val="000000" w:themeColor="text1"/>
              </w:rPr>
            </w:pPr>
            <w:r>
              <w:rPr>
                <w:color w:val="000000" w:themeColor="text1"/>
              </w:rPr>
              <w:t>Radiobeiträge</w:t>
            </w:r>
          </w:p>
        </w:tc>
        <w:tc>
          <w:tcPr>
            <w:tcW w:w="1362" w:type="dxa"/>
          </w:tcPr>
          <w:p w14:paraId="5BB63130" w14:textId="00148FF0" w:rsidR="006F536A" w:rsidRPr="00D45D2C" w:rsidRDefault="00B8614F" w:rsidP="005D5C94">
            <w:pPr>
              <w:pStyle w:val="Listenabsatz"/>
              <w:jc w:val="right"/>
            </w:pPr>
            <w:r w:rsidRPr="00D45D2C">
              <w:t>1</w:t>
            </w:r>
          </w:p>
        </w:tc>
        <w:tc>
          <w:tcPr>
            <w:tcW w:w="2707" w:type="dxa"/>
          </w:tcPr>
          <w:p w14:paraId="7789F066" w14:textId="226925C9" w:rsidR="006F536A" w:rsidRPr="00D45D2C" w:rsidRDefault="009129D7" w:rsidP="005D5C94">
            <w:pPr>
              <w:pStyle w:val="Listenabsatz"/>
              <w:jc w:val="right"/>
            </w:pPr>
            <w:r w:rsidRPr="00D45D2C">
              <w:t>1.247</w:t>
            </w:r>
          </w:p>
        </w:tc>
        <w:tc>
          <w:tcPr>
            <w:tcW w:w="2541" w:type="dxa"/>
          </w:tcPr>
          <w:p w14:paraId="01D883D3" w14:textId="470A5F4C" w:rsidR="006F536A" w:rsidRPr="00D45D2C" w:rsidRDefault="009129D7" w:rsidP="005D5C94">
            <w:pPr>
              <w:pStyle w:val="Listenabsatz"/>
              <w:jc w:val="right"/>
            </w:pPr>
            <w:r w:rsidRPr="00D45D2C">
              <w:t>1</w:t>
            </w:r>
            <w:r w:rsidR="00A47065">
              <w:t>.</w:t>
            </w:r>
            <w:r w:rsidRPr="00D45D2C">
              <w:t>247</w:t>
            </w:r>
          </w:p>
        </w:tc>
      </w:tr>
      <w:tr w:rsidR="0091776B" w:rsidRPr="00926389" w14:paraId="12B883B9" w14:textId="77777777" w:rsidTr="005D5C94">
        <w:trPr>
          <w:trHeight w:val="510"/>
          <w:jc w:val="center"/>
        </w:trPr>
        <w:tc>
          <w:tcPr>
            <w:tcW w:w="2035" w:type="dxa"/>
          </w:tcPr>
          <w:p w14:paraId="1957CE48" w14:textId="4E504722" w:rsidR="0091776B" w:rsidRPr="007A4E53" w:rsidRDefault="0091776B" w:rsidP="0091776B">
            <w:pPr>
              <w:pStyle w:val="Listenabsatz"/>
              <w:ind w:left="315"/>
              <w:rPr>
                <w:color w:val="000000" w:themeColor="text1"/>
                <w:lang w:val="en-GB"/>
              </w:rPr>
            </w:pPr>
            <w:r>
              <w:rPr>
                <w:color w:val="000000" w:themeColor="text1"/>
                <w:lang w:val="en-GB"/>
              </w:rPr>
              <w:t xml:space="preserve">COVID-19 </w:t>
            </w:r>
            <w:proofErr w:type="spellStart"/>
            <w:r>
              <w:rPr>
                <w:color w:val="000000" w:themeColor="text1"/>
                <w:lang w:val="en-GB"/>
              </w:rPr>
              <w:t>Veranstaltung</w:t>
            </w:r>
            <w:proofErr w:type="spellEnd"/>
            <w:r>
              <w:rPr>
                <w:color w:val="000000" w:themeColor="text1"/>
                <w:lang w:val="en-GB"/>
              </w:rPr>
              <w:t xml:space="preserve"> in </w:t>
            </w:r>
            <w:r w:rsidR="002B73A8">
              <w:rPr>
                <w:color w:val="000000" w:themeColor="text1"/>
                <w:lang w:val="en-GB"/>
              </w:rPr>
              <w:t>Livingstone</w:t>
            </w:r>
          </w:p>
        </w:tc>
        <w:tc>
          <w:tcPr>
            <w:tcW w:w="1362" w:type="dxa"/>
          </w:tcPr>
          <w:p w14:paraId="58916D7B" w14:textId="2FE29772" w:rsidR="0091776B" w:rsidRPr="00D45D2C" w:rsidRDefault="0091776B" w:rsidP="0091776B">
            <w:pPr>
              <w:pStyle w:val="Listenabsatz"/>
              <w:jc w:val="right"/>
              <w:rPr>
                <w:lang w:val="en-GB"/>
              </w:rPr>
            </w:pPr>
            <w:r w:rsidRPr="00D45D2C">
              <w:rPr>
                <w:lang w:val="en-GB"/>
              </w:rPr>
              <w:t>1</w:t>
            </w:r>
          </w:p>
        </w:tc>
        <w:tc>
          <w:tcPr>
            <w:tcW w:w="2707" w:type="dxa"/>
          </w:tcPr>
          <w:p w14:paraId="5E21F2E8" w14:textId="36DB437F" w:rsidR="0091776B" w:rsidRPr="00D45D2C" w:rsidRDefault="00D45D2C" w:rsidP="0091776B">
            <w:pPr>
              <w:pStyle w:val="Listenabsatz"/>
              <w:jc w:val="right"/>
              <w:rPr>
                <w:lang w:val="en-GB"/>
              </w:rPr>
            </w:pPr>
            <w:r w:rsidRPr="00D45D2C">
              <w:rPr>
                <w:lang w:val="en-GB"/>
              </w:rPr>
              <w:t>1.247</w:t>
            </w:r>
          </w:p>
        </w:tc>
        <w:tc>
          <w:tcPr>
            <w:tcW w:w="2541" w:type="dxa"/>
          </w:tcPr>
          <w:p w14:paraId="57708559" w14:textId="730ECFA5" w:rsidR="0091776B" w:rsidRPr="00D45D2C" w:rsidRDefault="00D45D2C" w:rsidP="0091776B">
            <w:pPr>
              <w:pStyle w:val="Listenabsatz"/>
              <w:jc w:val="right"/>
              <w:rPr>
                <w:lang w:val="en-GB"/>
              </w:rPr>
            </w:pPr>
            <w:r w:rsidRPr="00D45D2C">
              <w:rPr>
                <w:lang w:val="en-GB"/>
              </w:rPr>
              <w:t>1.247</w:t>
            </w:r>
          </w:p>
        </w:tc>
      </w:tr>
      <w:tr w:rsidR="0091776B" w:rsidRPr="00E03780" w14:paraId="646E8FBE" w14:textId="77777777" w:rsidTr="005D5C94">
        <w:trPr>
          <w:trHeight w:val="278"/>
          <w:jc w:val="center"/>
        </w:trPr>
        <w:tc>
          <w:tcPr>
            <w:tcW w:w="2035" w:type="dxa"/>
          </w:tcPr>
          <w:p w14:paraId="6D68EACB" w14:textId="77777777" w:rsidR="0091776B" w:rsidRPr="00E03780" w:rsidRDefault="0091776B" w:rsidP="0091776B">
            <w:pPr>
              <w:pStyle w:val="Listenabsatz"/>
              <w:ind w:left="315"/>
              <w:rPr>
                <w:b/>
                <w:bCs/>
                <w:color w:val="000000" w:themeColor="text1"/>
              </w:rPr>
            </w:pPr>
            <w:r w:rsidRPr="00E03780">
              <w:rPr>
                <w:b/>
                <w:bCs/>
                <w:color w:val="000000" w:themeColor="text1"/>
              </w:rPr>
              <w:t>Gesamt</w:t>
            </w:r>
          </w:p>
        </w:tc>
        <w:tc>
          <w:tcPr>
            <w:tcW w:w="1362" w:type="dxa"/>
          </w:tcPr>
          <w:p w14:paraId="6D045166" w14:textId="77777777" w:rsidR="0091776B" w:rsidRPr="00E03780" w:rsidRDefault="0091776B" w:rsidP="0091776B">
            <w:pPr>
              <w:pStyle w:val="Listenabsatz"/>
              <w:jc w:val="right"/>
              <w:rPr>
                <w:b/>
                <w:bCs/>
                <w:color w:val="000000" w:themeColor="text1"/>
              </w:rPr>
            </w:pPr>
          </w:p>
        </w:tc>
        <w:tc>
          <w:tcPr>
            <w:tcW w:w="2707" w:type="dxa"/>
          </w:tcPr>
          <w:p w14:paraId="59B3A65F" w14:textId="77777777" w:rsidR="0091776B" w:rsidRPr="00E03780" w:rsidRDefault="0091776B" w:rsidP="0091776B">
            <w:pPr>
              <w:pStyle w:val="Listenabsatz"/>
              <w:jc w:val="right"/>
              <w:rPr>
                <w:b/>
                <w:bCs/>
                <w:color w:val="000000" w:themeColor="text1"/>
              </w:rPr>
            </w:pPr>
          </w:p>
        </w:tc>
        <w:tc>
          <w:tcPr>
            <w:tcW w:w="2541" w:type="dxa"/>
          </w:tcPr>
          <w:p w14:paraId="5C026F24" w14:textId="78965FC8" w:rsidR="0091776B" w:rsidRPr="00E03780" w:rsidRDefault="00D45D2C" w:rsidP="0091776B">
            <w:pPr>
              <w:pStyle w:val="Listenabsatz"/>
              <w:jc w:val="right"/>
              <w:rPr>
                <w:b/>
                <w:bCs/>
                <w:color w:val="000000" w:themeColor="text1"/>
              </w:rPr>
            </w:pPr>
            <w:r w:rsidRPr="00D45D2C">
              <w:rPr>
                <w:b/>
                <w:bCs/>
              </w:rPr>
              <w:t>2.494</w:t>
            </w:r>
          </w:p>
        </w:tc>
      </w:tr>
    </w:tbl>
    <w:p w14:paraId="494EBFE8" w14:textId="77777777" w:rsidR="00034D19" w:rsidRPr="00BE6F81" w:rsidRDefault="00034D19" w:rsidP="002321A5">
      <w:pPr>
        <w:spacing w:before="240" w:afterLines="40" w:after="96"/>
        <w:jc w:val="both"/>
        <w:rPr>
          <w:rFonts w:cs="Calibri"/>
          <w:color w:val="000000"/>
          <w:lang w:val="en-GB" w:eastAsia="de-DE"/>
        </w:rPr>
      </w:pPr>
    </w:p>
    <w:p w14:paraId="65869A6E" w14:textId="77777777" w:rsidR="002200F1" w:rsidRDefault="00FC348B" w:rsidP="009D2243">
      <w:pPr>
        <w:spacing w:afterLines="40" w:after="96"/>
        <w:jc w:val="both"/>
        <w:rPr>
          <w:lang w:eastAsia="de-DE"/>
        </w:rPr>
      </w:pPr>
      <w:r w:rsidRPr="00BA789A">
        <w:rPr>
          <w:lang w:eastAsia="de-DE"/>
        </w:rPr>
        <w:t>Über einen positiven Bescheid Ihrerseits wären wir sehr dankbar. Für Rückfragen stehe ich Ihnen selbstverständlich sehr gerne zur Verfügung.</w:t>
      </w:r>
    </w:p>
    <w:p w14:paraId="77DF58BB" w14:textId="77777777" w:rsidR="00923856" w:rsidRDefault="00923856" w:rsidP="009D2243">
      <w:pPr>
        <w:spacing w:afterLines="40" w:after="96"/>
        <w:jc w:val="both"/>
        <w:rPr>
          <w:lang w:eastAsia="de-DE"/>
        </w:rPr>
      </w:pPr>
    </w:p>
    <w:p w14:paraId="4E5BF7EB" w14:textId="77777777" w:rsidR="002200F1" w:rsidRPr="003D1A97" w:rsidRDefault="003D1A97" w:rsidP="003D1A97">
      <w:pPr>
        <w:spacing w:afterLines="40" w:after="96"/>
        <w:jc w:val="both"/>
        <w:rPr>
          <w:rFonts w:cs="Calibri"/>
          <w:color w:val="000000"/>
          <w:lang w:eastAsia="de-DE"/>
        </w:rPr>
      </w:pPr>
      <w:r>
        <w:rPr>
          <w:lang w:eastAsia="de-DE"/>
        </w:rPr>
        <w:t>Mit f</w:t>
      </w:r>
      <w:r w:rsidR="00923856">
        <w:rPr>
          <w:lang w:eastAsia="de-DE"/>
        </w:rPr>
        <w:t>reundliche</w:t>
      </w:r>
      <w:r>
        <w:rPr>
          <w:lang w:eastAsia="de-DE"/>
        </w:rPr>
        <w:t>n</w:t>
      </w:r>
      <w:r w:rsidR="00923856">
        <w:rPr>
          <w:lang w:eastAsia="de-DE"/>
        </w:rPr>
        <w:t xml:space="preserve"> Grüße</w:t>
      </w:r>
      <w:r w:rsidR="00937639">
        <w:rPr>
          <w:lang w:eastAsia="de-DE"/>
        </w:rPr>
        <w:t>n</w:t>
      </w:r>
      <w:r w:rsidR="00923856">
        <w:rPr>
          <w:lang w:eastAsia="de-DE"/>
        </w:rPr>
        <w:t>,</w:t>
      </w:r>
    </w:p>
    <w:p w14:paraId="3942C11F" w14:textId="77777777" w:rsidR="003D1A97" w:rsidRDefault="003D1A97" w:rsidP="009D2243">
      <w:pPr>
        <w:spacing w:afterLines="40" w:after="96"/>
        <w:jc w:val="both"/>
        <w:rPr>
          <w:rFonts w:eastAsia="Times New Roman" w:cs="Calibri"/>
          <w:noProof/>
          <w:color w:val="000000"/>
          <w:lang w:eastAsia="de-DE"/>
        </w:rPr>
      </w:pPr>
    </w:p>
    <w:bookmarkEnd w:id="2"/>
    <w:p w14:paraId="43919295" w14:textId="77777777" w:rsidR="00EB2022" w:rsidRPr="00EB2022" w:rsidRDefault="00EB2022" w:rsidP="00EB2022">
      <w:pPr>
        <w:spacing w:line="240" w:lineRule="auto"/>
        <w:rPr>
          <w:lang w:eastAsia="de-DE"/>
        </w:rPr>
      </w:pPr>
      <w:r w:rsidRPr="00EB2022">
        <w:rPr>
          <w:lang w:eastAsia="de-DE"/>
        </w:rPr>
        <w:t>Lisa Wüst</w:t>
      </w:r>
    </w:p>
    <w:p w14:paraId="42B1447B" w14:textId="77777777" w:rsidR="00EB2022" w:rsidRPr="00EB2022" w:rsidRDefault="00EB2022" w:rsidP="00EB2022">
      <w:pPr>
        <w:spacing w:line="240" w:lineRule="auto"/>
        <w:rPr>
          <w:lang w:eastAsia="de-DE"/>
        </w:rPr>
      </w:pPr>
      <w:r w:rsidRPr="00EB2022">
        <w:rPr>
          <w:lang w:eastAsia="de-DE"/>
        </w:rPr>
        <w:t xml:space="preserve">Projektreferentin · Project </w:t>
      </w:r>
      <w:proofErr w:type="spellStart"/>
      <w:r w:rsidRPr="00EB2022">
        <w:rPr>
          <w:lang w:eastAsia="de-DE"/>
        </w:rPr>
        <w:t>Delivery</w:t>
      </w:r>
      <w:proofErr w:type="spellEnd"/>
      <w:r w:rsidRPr="00EB2022">
        <w:rPr>
          <w:lang w:eastAsia="de-DE"/>
        </w:rPr>
        <w:t xml:space="preserve"> </w:t>
      </w:r>
      <w:proofErr w:type="spellStart"/>
      <w:r w:rsidRPr="00EB2022">
        <w:rPr>
          <w:lang w:eastAsia="de-DE"/>
        </w:rPr>
        <w:t>Africa</w:t>
      </w:r>
      <w:proofErr w:type="spellEnd"/>
      <w:r w:rsidRPr="00EB2022">
        <w:rPr>
          <w:lang w:eastAsia="de-DE"/>
        </w:rPr>
        <w:t xml:space="preserve"> East &amp; South</w:t>
      </w:r>
    </w:p>
    <w:p w14:paraId="259D012C" w14:textId="77777777" w:rsidR="00EB2022" w:rsidRPr="00EB2022" w:rsidRDefault="00EB2022" w:rsidP="00EB2022">
      <w:pPr>
        <w:spacing w:line="240" w:lineRule="auto"/>
        <w:rPr>
          <w:lang w:eastAsia="de-DE"/>
        </w:rPr>
      </w:pPr>
      <w:r w:rsidRPr="00EB2022">
        <w:rPr>
          <w:lang w:eastAsia="de-DE"/>
        </w:rPr>
        <w:t>Telefon:    06251 131-415</w:t>
      </w:r>
    </w:p>
    <w:p w14:paraId="1342AA56" w14:textId="77777777" w:rsidR="00EB2022" w:rsidRPr="00EB2022" w:rsidRDefault="00EB2022" w:rsidP="00EB2022">
      <w:pPr>
        <w:spacing w:line="240" w:lineRule="auto"/>
        <w:rPr>
          <w:lang w:eastAsia="de-DE"/>
        </w:rPr>
      </w:pPr>
      <w:r w:rsidRPr="00EB2022">
        <w:rPr>
          <w:lang w:eastAsia="de-DE"/>
        </w:rPr>
        <w:t xml:space="preserve">E-Mail: </w:t>
      </w:r>
      <w:r w:rsidRPr="00EB2022">
        <w:rPr>
          <w:lang w:eastAsia="de-DE"/>
        </w:rPr>
        <w:tab/>
        <w:t xml:space="preserve">    </w:t>
      </w:r>
      <w:hyperlink r:id="rId12" w:history="1">
        <w:r w:rsidRPr="00EB2022">
          <w:t>lisa.wuest@cbm.org</w:t>
        </w:r>
      </w:hyperlink>
      <w:r w:rsidRPr="00EB2022">
        <w:rPr>
          <w:lang w:eastAsia="de-DE"/>
        </w:rPr>
        <w:t xml:space="preserve"> </w:t>
      </w:r>
    </w:p>
    <w:p w14:paraId="7DCC8B1F" w14:textId="77777777" w:rsidR="00EB2022" w:rsidRPr="00EB2022" w:rsidRDefault="00EB2022" w:rsidP="00EB2022">
      <w:pPr>
        <w:spacing w:line="240" w:lineRule="auto"/>
        <w:rPr>
          <w:lang w:eastAsia="de-DE"/>
        </w:rPr>
      </w:pPr>
      <w:r w:rsidRPr="00EB2022">
        <w:rPr>
          <w:lang w:eastAsia="de-DE"/>
        </w:rPr>
        <w:t>CBM Christoffel-Blindenmission Christian Blind Mission e.V.</w:t>
      </w:r>
    </w:p>
    <w:p w14:paraId="2B021914" w14:textId="77777777" w:rsidR="00EB2022" w:rsidRPr="00EB2022" w:rsidRDefault="00EB2022" w:rsidP="00EB2022">
      <w:pPr>
        <w:spacing w:line="240" w:lineRule="auto"/>
        <w:rPr>
          <w:lang w:eastAsia="de-DE"/>
        </w:rPr>
      </w:pPr>
      <w:r w:rsidRPr="00EB2022">
        <w:rPr>
          <w:lang w:eastAsia="de-DE"/>
        </w:rPr>
        <w:t xml:space="preserve">Stubenwald-Allee 5 · 64625 Bensheim · Deutschland · </w:t>
      </w:r>
      <w:hyperlink r:id="rId13" w:history="1">
        <w:r w:rsidRPr="00EB2022">
          <w:t>www.cbm.de</w:t>
        </w:r>
      </w:hyperlink>
    </w:p>
    <w:p w14:paraId="055F9F38" w14:textId="77777777" w:rsidR="002200F1" w:rsidRPr="00134CE1" w:rsidRDefault="002200F1" w:rsidP="009D2243">
      <w:pPr>
        <w:spacing w:afterLines="40" w:after="96"/>
        <w:jc w:val="both"/>
        <w:rPr>
          <w:rFonts w:cs="Calibri"/>
          <w:color w:val="000000"/>
          <w:sz w:val="24"/>
          <w:szCs w:val="24"/>
          <w:lang w:eastAsia="de-DE"/>
        </w:rPr>
      </w:pPr>
    </w:p>
    <w:sectPr w:rsidR="002200F1" w:rsidRPr="00134CE1" w:rsidSect="00B26506">
      <w:headerReference w:type="even" r:id="rId14"/>
      <w:headerReference w:type="default" r:id="rId15"/>
      <w:footerReference w:type="default" r:id="rId16"/>
      <w:headerReference w:type="first" r:id="rId17"/>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2BD7D" w14:textId="77777777" w:rsidR="00AB3185" w:rsidRDefault="00AB3185" w:rsidP="008A03F5">
      <w:pPr>
        <w:spacing w:after="0" w:line="240" w:lineRule="auto"/>
      </w:pPr>
      <w:r>
        <w:separator/>
      </w:r>
    </w:p>
  </w:endnote>
  <w:endnote w:type="continuationSeparator" w:id="0">
    <w:p w14:paraId="4E3794DB" w14:textId="77777777" w:rsidR="00AB3185" w:rsidRDefault="00AB3185" w:rsidP="008A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83935" w14:textId="77777777" w:rsidR="005D5C94" w:rsidRPr="008A03F5" w:rsidRDefault="005D5C94" w:rsidP="004A40CB">
    <w:pPr>
      <w:pStyle w:val="Fuzeile"/>
      <w:tabs>
        <w:tab w:val="clear" w:pos="4536"/>
        <w:tab w:val="center" w:pos="6663"/>
      </w:tabs>
      <w:rPr>
        <w:i/>
        <w:color w:val="BFBFBF"/>
      </w:rPr>
    </w:pPr>
  </w:p>
  <w:p w14:paraId="08C79839" w14:textId="77777777" w:rsidR="005D5C94" w:rsidRPr="008A03F5" w:rsidRDefault="005D5C94" w:rsidP="008A03F5">
    <w:pPr>
      <w:pStyle w:val="Fuzeile"/>
      <w:pBdr>
        <w:top w:val="single" w:sz="4" w:space="1" w:color="auto"/>
      </w:pBdr>
      <w:tabs>
        <w:tab w:val="clear" w:pos="4536"/>
        <w:tab w:val="center" w:pos="6663"/>
      </w:tabs>
      <w:spacing w:line="120" w:lineRule="auto"/>
      <w:rPr>
        <w:i/>
        <w:color w:val="BFBFBF"/>
      </w:rPr>
    </w:pPr>
  </w:p>
  <w:p w14:paraId="6C2780BF" w14:textId="77777777" w:rsidR="005D5C94" w:rsidRPr="00E35399" w:rsidRDefault="005D5C94" w:rsidP="00794DB7">
    <w:pPr>
      <w:pStyle w:val="Fuzeile"/>
      <w:tabs>
        <w:tab w:val="clear" w:pos="4536"/>
        <w:tab w:val="center" w:pos="8789"/>
      </w:tabs>
      <w:rPr>
        <w:i/>
        <w:color w:val="0D0D0D"/>
        <w:sz w:val="18"/>
        <w:szCs w:val="18"/>
      </w:rPr>
    </w:pPr>
    <w:r w:rsidRPr="0027316F">
      <w:rPr>
        <w:i/>
        <w:color w:val="7F7F7F"/>
        <w:sz w:val="18"/>
        <w:szCs w:val="18"/>
      </w:rPr>
      <w:t>Version 1– 2016</w:t>
    </w:r>
    <w:r w:rsidRPr="00E35399">
      <w:rPr>
        <w:i/>
        <w:color w:val="0D0D0D"/>
        <w:sz w:val="18"/>
        <w:szCs w:val="18"/>
      </w:rPr>
      <w:tab/>
    </w:r>
    <w:r w:rsidRPr="00E35399">
      <w:rPr>
        <w:color w:val="0D0D0D"/>
      </w:rPr>
      <w:fldChar w:fldCharType="begin"/>
    </w:r>
    <w:r w:rsidRPr="00E35399">
      <w:rPr>
        <w:color w:val="0D0D0D"/>
      </w:rPr>
      <w:instrText>PAGE   \* MERGEFORMAT</w:instrText>
    </w:r>
    <w:r w:rsidRPr="00E35399">
      <w:rPr>
        <w:color w:val="0D0D0D"/>
      </w:rPr>
      <w:fldChar w:fldCharType="separate"/>
    </w:r>
    <w:r>
      <w:rPr>
        <w:noProof/>
        <w:color w:val="0D0D0D"/>
      </w:rPr>
      <w:t>1</w:t>
    </w:r>
    <w:r w:rsidRPr="00E35399">
      <w:rPr>
        <w:color w:val="0D0D0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03A34" w14:textId="77777777" w:rsidR="00AB3185" w:rsidRDefault="00AB3185" w:rsidP="008A03F5">
      <w:pPr>
        <w:spacing w:after="0" w:line="240" w:lineRule="auto"/>
      </w:pPr>
      <w:r>
        <w:separator/>
      </w:r>
    </w:p>
  </w:footnote>
  <w:footnote w:type="continuationSeparator" w:id="0">
    <w:p w14:paraId="1A49792C" w14:textId="77777777" w:rsidR="00AB3185" w:rsidRDefault="00AB3185" w:rsidP="008A03F5">
      <w:pPr>
        <w:spacing w:after="0" w:line="240" w:lineRule="auto"/>
      </w:pPr>
      <w:r>
        <w:continuationSeparator/>
      </w:r>
    </w:p>
  </w:footnote>
  <w:footnote w:id="1">
    <w:p w14:paraId="06CFB159" w14:textId="77777777" w:rsidR="005D5C94" w:rsidRPr="00D21E0A" w:rsidRDefault="005D5C94" w:rsidP="00D21E0A">
      <w:pPr>
        <w:pStyle w:val="Funotentext"/>
        <w:rPr>
          <w:sz w:val="16"/>
          <w:szCs w:val="16"/>
        </w:rPr>
      </w:pPr>
      <w:r w:rsidRPr="00D21E0A">
        <w:rPr>
          <w:rFonts w:ascii="Calibri" w:eastAsia="Calibri" w:hAnsi="Calibri"/>
          <w:sz w:val="16"/>
          <w:szCs w:val="16"/>
          <w:lang w:eastAsia="en-US"/>
        </w:rPr>
        <w:footnoteRef/>
      </w:r>
      <w:r w:rsidRPr="00D21E0A">
        <w:rPr>
          <w:rFonts w:ascii="Calibri" w:eastAsia="Calibri" w:hAnsi="Calibri" w:cs="Times New Roman"/>
          <w:sz w:val="16"/>
          <w:szCs w:val="16"/>
          <w:lang w:eastAsia="en-US"/>
        </w:rPr>
        <w:t xml:space="preserve"> </w:t>
      </w:r>
      <w:hyperlink r:id="rId1" w:history="1">
        <w:r w:rsidRPr="00D21E0A">
          <w:rPr>
            <w:rFonts w:ascii="Calibri" w:eastAsia="Calibri" w:hAnsi="Calibri" w:cs="Times New Roman"/>
            <w:sz w:val="16"/>
            <w:szCs w:val="16"/>
            <w:lang w:eastAsia="en-US"/>
          </w:rPr>
          <w:t>https://reliefweb.int/country/zmb</w:t>
        </w:r>
      </w:hyperlink>
      <w:r w:rsidRPr="00D21E0A">
        <w:rPr>
          <w:rFonts w:ascii="Calibri" w:eastAsia="Calibri" w:hAnsi="Calibri" w:cs="Times New Roman"/>
          <w:sz w:val="16"/>
          <w:szCs w:val="16"/>
          <w:lang w:eastAsia="en-US"/>
        </w:rPr>
        <w:t xml:space="preserve"> (letzter Zugriff: 01. Oktober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7F84" w14:textId="77777777" w:rsidR="005D5C94" w:rsidRDefault="00AB3185">
    <w:pPr>
      <w:pStyle w:val="Kopfzeile"/>
    </w:pPr>
    <w:r>
      <w:rPr>
        <w:noProof/>
      </w:rPr>
      <w:pict w14:anchorId="1F400C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425313" o:spid="_x0000_s2052" type="#_x0000_t136" style="position:absolute;margin-left:0;margin-top:0;width:511.5pt;height:127.85pt;rotation:315;z-index:-251658240;mso-position-horizontal:center;mso-position-horizontal-relative:margin;mso-position-vertical:center;mso-position-vertical-relative:margin" o:allowincell="f" fillcolor="#eee" stroked="f">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9CDC8" w14:textId="77777777" w:rsidR="005D5C94" w:rsidRPr="00503D26" w:rsidRDefault="005D5C94" w:rsidP="00C46BDF">
    <w:pPr>
      <w:pStyle w:val="Kopfzeile"/>
      <w:tabs>
        <w:tab w:val="clear" w:pos="4536"/>
        <w:tab w:val="clear" w:pos="9072"/>
        <w:tab w:val="left" w:pos="5245"/>
        <w:tab w:val="center" w:pos="9070"/>
      </w:tabs>
      <w:rPr>
        <w:color w:val="7F7F7F"/>
        <w:sz w:val="20"/>
        <w:szCs w:val="20"/>
      </w:rPr>
    </w:pPr>
    <w:r>
      <w:rPr>
        <w:color w:val="7F7F7F"/>
        <w:sz w:val="20"/>
        <w:szCs w:val="20"/>
      </w:rPr>
      <w:t xml:space="preserve">Engagement Global, </w:t>
    </w:r>
    <w:proofErr w:type="spellStart"/>
    <w:r>
      <w:rPr>
        <w:color w:val="7F7F7F"/>
        <w:sz w:val="20"/>
        <w:szCs w:val="20"/>
      </w:rPr>
      <w:t>bengo</w:t>
    </w:r>
    <w:proofErr w:type="spellEnd"/>
    <w:r>
      <w:rPr>
        <w:color w:val="7F7F7F"/>
        <w:sz w:val="20"/>
        <w:szCs w:val="20"/>
      </w:rPr>
      <w:t xml:space="preserve"> –</w:t>
    </w:r>
    <w:r>
      <w:rPr>
        <w:color w:val="7F7F7F"/>
        <w:sz w:val="20"/>
        <w:szCs w:val="20"/>
      </w:rPr>
      <w:tab/>
      <w:t>Änderungsantrag</w:t>
    </w:r>
    <w:r w:rsidRPr="00137F1D">
      <w:rPr>
        <w:color w:val="7F7F7F"/>
        <w:sz w:val="20"/>
        <w:szCs w:val="20"/>
      </w:rPr>
      <w:t xml:space="preserve"> </w:t>
    </w:r>
    <w:r>
      <w:rPr>
        <w:color w:val="7F7F7F"/>
        <w:sz w:val="20"/>
        <w:szCs w:val="20"/>
      </w:rPr>
      <w:t xml:space="preserve">– </w:t>
    </w:r>
    <w:r w:rsidRPr="00503D26">
      <w:rPr>
        <w:color w:val="7F7F7F"/>
        <w:sz w:val="20"/>
        <w:szCs w:val="20"/>
      </w:rPr>
      <w:t xml:space="preserve">Teil </w:t>
    </w:r>
    <w:r>
      <w:rPr>
        <w:color w:val="7F7F7F"/>
        <w:sz w:val="20"/>
        <w:szCs w:val="20"/>
      </w:rPr>
      <w:t>II</w:t>
    </w:r>
    <w:r w:rsidRPr="00503D26">
      <w:rPr>
        <w:color w:val="7F7F7F"/>
        <w:sz w:val="20"/>
        <w:szCs w:val="20"/>
      </w:rPr>
      <w:t xml:space="preserve">, </w:t>
    </w:r>
    <w:r>
      <w:rPr>
        <w:color w:val="7F7F7F"/>
        <w:sz w:val="20"/>
        <w:szCs w:val="20"/>
      </w:rPr>
      <w:t>Version 01.01.2018</w:t>
    </w:r>
  </w:p>
  <w:p w14:paraId="05884428" w14:textId="77777777" w:rsidR="005D5C94" w:rsidRPr="00503D26" w:rsidRDefault="005D5C94" w:rsidP="00422D13">
    <w:pPr>
      <w:pStyle w:val="Kopfzeile"/>
      <w:spacing w:line="120" w:lineRule="auto"/>
      <w:jc w:val="right"/>
      <w:rPr>
        <w:color w:val="7F7F7F"/>
      </w:rPr>
    </w:pPr>
  </w:p>
  <w:p w14:paraId="57AB657B" w14:textId="77777777" w:rsidR="005D5C94" w:rsidRPr="00503D26" w:rsidRDefault="005D5C94" w:rsidP="00422D13">
    <w:pPr>
      <w:pStyle w:val="Kopfzeile"/>
      <w:pBdr>
        <w:top w:val="single" w:sz="4" w:space="1" w:color="auto"/>
      </w:pBdr>
      <w:jc w:val="right"/>
      <w:rPr>
        <w:color w:val="7F7F7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D6F" w14:textId="77777777" w:rsidR="005D5C94" w:rsidRDefault="00AB3185">
    <w:pPr>
      <w:pStyle w:val="Kopfzeile"/>
    </w:pPr>
    <w:r>
      <w:rPr>
        <w:noProof/>
      </w:rPr>
      <w:pict w14:anchorId="772D6F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425312" o:spid="_x0000_s2051" type="#_x0000_t136" style="position:absolute;margin-left:0;margin-top:0;width:511.5pt;height:127.85pt;rotation:315;z-index:-251659264;mso-position-horizontal:center;mso-position-horizontal-relative:margin;mso-position-vertical:center;mso-position-vertical-relative:margin" o:allowincell="f" fillcolor="#eee" stroked="f">
          <v:textpath style="font-family:&quot;Arial&quot;;font-size:1pt" string="ENTWUR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6371A"/>
    <w:multiLevelType w:val="hybridMultilevel"/>
    <w:tmpl w:val="2E6C2F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C65719"/>
    <w:multiLevelType w:val="hybridMultilevel"/>
    <w:tmpl w:val="97C04350"/>
    <w:lvl w:ilvl="0" w:tplc="B2D2AF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F7285F"/>
    <w:multiLevelType w:val="hybridMultilevel"/>
    <w:tmpl w:val="FFC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D7516"/>
    <w:multiLevelType w:val="hybridMultilevel"/>
    <w:tmpl w:val="A754F3F0"/>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BF00AD"/>
    <w:multiLevelType w:val="hybridMultilevel"/>
    <w:tmpl w:val="8C3698FA"/>
    <w:lvl w:ilvl="0" w:tplc="AD1CB1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CC61CD8"/>
    <w:multiLevelType w:val="hybridMultilevel"/>
    <w:tmpl w:val="A83C7E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F14225"/>
    <w:multiLevelType w:val="hybridMultilevel"/>
    <w:tmpl w:val="0C4ACA22"/>
    <w:lvl w:ilvl="0" w:tplc="6A3AA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EF79E6"/>
    <w:multiLevelType w:val="hybridMultilevel"/>
    <w:tmpl w:val="676869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AD2544"/>
    <w:multiLevelType w:val="hybridMultilevel"/>
    <w:tmpl w:val="C3C8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2"/>
  </w:num>
  <w:num w:numId="6">
    <w:abstractNumId w:val="8"/>
  </w:num>
  <w:num w:numId="7">
    <w:abstractNumId w:val="6"/>
  </w:num>
  <w:num w:numId="8">
    <w:abstractNumId w:val="1"/>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ocumentProtection w:edit="readOnly" w:enforcement="0"/>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74"/>
    <w:rsid w:val="00000125"/>
    <w:rsid w:val="00002DAC"/>
    <w:rsid w:val="00002E86"/>
    <w:rsid w:val="000060EF"/>
    <w:rsid w:val="00013069"/>
    <w:rsid w:val="000167CA"/>
    <w:rsid w:val="000227E8"/>
    <w:rsid w:val="00022A5F"/>
    <w:rsid w:val="00022AFC"/>
    <w:rsid w:val="000236E7"/>
    <w:rsid w:val="00023976"/>
    <w:rsid w:val="00024BFB"/>
    <w:rsid w:val="0002564B"/>
    <w:rsid w:val="00025ECE"/>
    <w:rsid w:val="00026A7B"/>
    <w:rsid w:val="000270E3"/>
    <w:rsid w:val="00031C45"/>
    <w:rsid w:val="00032CC9"/>
    <w:rsid w:val="00033B20"/>
    <w:rsid w:val="00034D19"/>
    <w:rsid w:val="000355EA"/>
    <w:rsid w:val="00035D9B"/>
    <w:rsid w:val="0003644A"/>
    <w:rsid w:val="000366FF"/>
    <w:rsid w:val="00037D54"/>
    <w:rsid w:val="000405C0"/>
    <w:rsid w:val="000410CB"/>
    <w:rsid w:val="0004111B"/>
    <w:rsid w:val="00044608"/>
    <w:rsid w:val="00044AC4"/>
    <w:rsid w:val="000457F9"/>
    <w:rsid w:val="000469C0"/>
    <w:rsid w:val="000503A3"/>
    <w:rsid w:val="0005054B"/>
    <w:rsid w:val="00051AF0"/>
    <w:rsid w:val="00052231"/>
    <w:rsid w:val="00052F34"/>
    <w:rsid w:val="000548CC"/>
    <w:rsid w:val="00054D65"/>
    <w:rsid w:val="00055050"/>
    <w:rsid w:val="0005560D"/>
    <w:rsid w:val="000561C6"/>
    <w:rsid w:val="00056A15"/>
    <w:rsid w:val="00057687"/>
    <w:rsid w:val="00060AB5"/>
    <w:rsid w:val="00060B41"/>
    <w:rsid w:val="00062875"/>
    <w:rsid w:val="00062E50"/>
    <w:rsid w:val="000636B6"/>
    <w:rsid w:val="00063FEB"/>
    <w:rsid w:val="00064C23"/>
    <w:rsid w:val="0006618B"/>
    <w:rsid w:val="00074A5C"/>
    <w:rsid w:val="00074BA1"/>
    <w:rsid w:val="00075EDE"/>
    <w:rsid w:val="00076647"/>
    <w:rsid w:val="00080AC0"/>
    <w:rsid w:val="00080D1B"/>
    <w:rsid w:val="00082E61"/>
    <w:rsid w:val="00083360"/>
    <w:rsid w:val="0008577E"/>
    <w:rsid w:val="000900A7"/>
    <w:rsid w:val="00092C21"/>
    <w:rsid w:val="00094483"/>
    <w:rsid w:val="00094D5C"/>
    <w:rsid w:val="00094E96"/>
    <w:rsid w:val="00095E6D"/>
    <w:rsid w:val="00097128"/>
    <w:rsid w:val="000A0905"/>
    <w:rsid w:val="000A2BA4"/>
    <w:rsid w:val="000A2FBA"/>
    <w:rsid w:val="000A44AE"/>
    <w:rsid w:val="000A45D5"/>
    <w:rsid w:val="000A6326"/>
    <w:rsid w:val="000B16FD"/>
    <w:rsid w:val="000B22B4"/>
    <w:rsid w:val="000B364F"/>
    <w:rsid w:val="000B3C9E"/>
    <w:rsid w:val="000B4119"/>
    <w:rsid w:val="000B5672"/>
    <w:rsid w:val="000B5883"/>
    <w:rsid w:val="000B60E1"/>
    <w:rsid w:val="000C05C6"/>
    <w:rsid w:val="000C0CF0"/>
    <w:rsid w:val="000C197B"/>
    <w:rsid w:val="000C2AE6"/>
    <w:rsid w:val="000C33CF"/>
    <w:rsid w:val="000C34C0"/>
    <w:rsid w:val="000C4743"/>
    <w:rsid w:val="000C491D"/>
    <w:rsid w:val="000C497F"/>
    <w:rsid w:val="000C5BCB"/>
    <w:rsid w:val="000C68FE"/>
    <w:rsid w:val="000D10BB"/>
    <w:rsid w:val="000D1673"/>
    <w:rsid w:val="000D1860"/>
    <w:rsid w:val="000D1AE8"/>
    <w:rsid w:val="000D2489"/>
    <w:rsid w:val="000D25F4"/>
    <w:rsid w:val="000D4914"/>
    <w:rsid w:val="000D4CE0"/>
    <w:rsid w:val="000E4197"/>
    <w:rsid w:val="000E68C3"/>
    <w:rsid w:val="000E6BB0"/>
    <w:rsid w:val="000E7E7E"/>
    <w:rsid w:val="000F028C"/>
    <w:rsid w:val="000F0A33"/>
    <w:rsid w:val="000F14F8"/>
    <w:rsid w:val="000F20D0"/>
    <w:rsid w:val="000F2166"/>
    <w:rsid w:val="000F2D6C"/>
    <w:rsid w:val="000F2EE9"/>
    <w:rsid w:val="000F4EF6"/>
    <w:rsid w:val="000F52CF"/>
    <w:rsid w:val="000F56C7"/>
    <w:rsid w:val="000F57F0"/>
    <w:rsid w:val="000F6BD9"/>
    <w:rsid w:val="000F6D33"/>
    <w:rsid w:val="000F6DF5"/>
    <w:rsid w:val="000F79AF"/>
    <w:rsid w:val="000F7CDA"/>
    <w:rsid w:val="00100122"/>
    <w:rsid w:val="001020E4"/>
    <w:rsid w:val="00102AA5"/>
    <w:rsid w:val="0010419D"/>
    <w:rsid w:val="001044DB"/>
    <w:rsid w:val="00105C57"/>
    <w:rsid w:val="00111CC9"/>
    <w:rsid w:val="001131FE"/>
    <w:rsid w:val="00114D2E"/>
    <w:rsid w:val="001169F2"/>
    <w:rsid w:val="00120E1C"/>
    <w:rsid w:val="00120ED8"/>
    <w:rsid w:val="0012139F"/>
    <w:rsid w:val="00124A70"/>
    <w:rsid w:val="00124E3B"/>
    <w:rsid w:val="00124FEE"/>
    <w:rsid w:val="00125685"/>
    <w:rsid w:val="00126984"/>
    <w:rsid w:val="00126DF6"/>
    <w:rsid w:val="00127ADD"/>
    <w:rsid w:val="001300C6"/>
    <w:rsid w:val="0013061E"/>
    <w:rsid w:val="00130C10"/>
    <w:rsid w:val="00131214"/>
    <w:rsid w:val="0013423F"/>
    <w:rsid w:val="001342B9"/>
    <w:rsid w:val="00134CE1"/>
    <w:rsid w:val="00134E87"/>
    <w:rsid w:val="001359FE"/>
    <w:rsid w:val="00136D2E"/>
    <w:rsid w:val="00137F1D"/>
    <w:rsid w:val="0014054F"/>
    <w:rsid w:val="00143541"/>
    <w:rsid w:val="00145829"/>
    <w:rsid w:val="00147B15"/>
    <w:rsid w:val="00147B69"/>
    <w:rsid w:val="0015170D"/>
    <w:rsid w:val="001518A7"/>
    <w:rsid w:val="00151DB7"/>
    <w:rsid w:val="00152292"/>
    <w:rsid w:val="001522EC"/>
    <w:rsid w:val="001530A9"/>
    <w:rsid w:val="00153A0C"/>
    <w:rsid w:val="00155CB8"/>
    <w:rsid w:val="00156433"/>
    <w:rsid w:val="001568D4"/>
    <w:rsid w:val="00156FEE"/>
    <w:rsid w:val="00157599"/>
    <w:rsid w:val="00157BB4"/>
    <w:rsid w:val="00160465"/>
    <w:rsid w:val="00160A8E"/>
    <w:rsid w:val="001614CD"/>
    <w:rsid w:val="00161B55"/>
    <w:rsid w:val="0016215D"/>
    <w:rsid w:val="00162681"/>
    <w:rsid w:val="001629E4"/>
    <w:rsid w:val="00163B53"/>
    <w:rsid w:val="00164C0E"/>
    <w:rsid w:val="001656B1"/>
    <w:rsid w:val="001660FE"/>
    <w:rsid w:val="001669C2"/>
    <w:rsid w:val="00166AD3"/>
    <w:rsid w:val="00167B54"/>
    <w:rsid w:val="00167FF6"/>
    <w:rsid w:val="00170F12"/>
    <w:rsid w:val="00172E32"/>
    <w:rsid w:val="001765F6"/>
    <w:rsid w:val="001774F6"/>
    <w:rsid w:val="00177724"/>
    <w:rsid w:val="00177DAC"/>
    <w:rsid w:val="00180169"/>
    <w:rsid w:val="00180691"/>
    <w:rsid w:val="001807E4"/>
    <w:rsid w:val="00180941"/>
    <w:rsid w:val="001813D6"/>
    <w:rsid w:val="001849B4"/>
    <w:rsid w:val="00186707"/>
    <w:rsid w:val="001870E4"/>
    <w:rsid w:val="00187B65"/>
    <w:rsid w:val="00187C72"/>
    <w:rsid w:val="00190A39"/>
    <w:rsid w:val="00191486"/>
    <w:rsid w:val="00191B79"/>
    <w:rsid w:val="00192DE9"/>
    <w:rsid w:val="00192F88"/>
    <w:rsid w:val="00193F78"/>
    <w:rsid w:val="001952DE"/>
    <w:rsid w:val="00195F78"/>
    <w:rsid w:val="0019645F"/>
    <w:rsid w:val="001A3F79"/>
    <w:rsid w:val="001A4231"/>
    <w:rsid w:val="001A4A24"/>
    <w:rsid w:val="001A5031"/>
    <w:rsid w:val="001A5BCE"/>
    <w:rsid w:val="001A5FDE"/>
    <w:rsid w:val="001A69D0"/>
    <w:rsid w:val="001A6B70"/>
    <w:rsid w:val="001A7BD3"/>
    <w:rsid w:val="001A7D06"/>
    <w:rsid w:val="001B01C7"/>
    <w:rsid w:val="001B2CA6"/>
    <w:rsid w:val="001B2FE6"/>
    <w:rsid w:val="001B40D1"/>
    <w:rsid w:val="001B6328"/>
    <w:rsid w:val="001B6CEC"/>
    <w:rsid w:val="001B6D87"/>
    <w:rsid w:val="001B6E5D"/>
    <w:rsid w:val="001C0300"/>
    <w:rsid w:val="001C08FF"/>
    <w:rsid w:val="001C143E"/>
    <w:rsid w:val="001C162F"/>
    <w:rsid w:val="001C16BD"/>
    <w:rsid w:val="001C1E5A"/>
    <w:rsid w:val="001C3A91"/>
    <w:rsid w:val="001C3E1F"/>
    <w:rsid w:val="001C407D"/>
    <w:rsid w:val="001C40D5"/>
    <w:rsid w:val="001C41BA"/>
    <w:rsid w:val="001C5BFA"/>
    <w:rsid w:val="001C65FB"/>
    <w:rsid w:val="001C7CAC"/>
    <w:rsid w:val="001D0B61"/>
    <w:rsid w:val="001D27BD"/>
    <w:rsid w:val="001D2EE1"/>
    <w:rsid w:val="001D45D0"/>
    <w:rsid w:val="001D48E0"/>
    <w:rsid w:val="001D4D0D"/>
    <w:rsid w:val="001D5BD2"/>
    <w:rsid w:val="001D78FC"/>
    <w:rsid w:val="001D7C8B"/>
    <w:rsid w:val="001E01D0"/>
    <w:rsid w:val="001E1031"/>
    <w:rsid w:val="001E1B72"/>
    <w:rsid w:val="001E21C6"/>
    <w:rsid w:val="001E28DB"/>
    <w:rsid w:val="001E42C6"/>
    <w:rsid w:val="001E4594"/>
    <w:rsid w:val="001E4B9B"/>
    <w:rsid w:val="001E5E9B"/>
    <w:rsid w:val="001E6945"/>
    <w:rsid w:val="001E6A90"/>
    <w:rsid w:val="001E71BE"/>
    <w:rsid w:val="001F0E1D"/>
    <w:rsid w:val="001F13D3"/>
    <w:rsid w:val="001F2457"/>
    <w:rsid w:val="001F2BCF"/>
    <w:rsid w:val="001F3C4D"/>
    <w:rsid w:val="001F42F7"/>
    <w:rsid w:val="001F5041"/>
    <w:rsid w:val="001F59B6"/>
    <w:rsid w:val="001F5E11"/>
    <w:rsid w:val="001F6352"/>
    <w:rsid w:val="001F6895"/>
    <w:rsid w:val="001F697E"/>
    <w:rsid w:val="001F69D3"/>
    <w:rsid w:val="001F7D39"/>
    <w:rsid w:val="00200F3A"/>
    <w:rsid w:val="0020174C"/>
    <w:rsid w:val="00202F5B"/>
    <w:rsid w:val="00203858"/>
    <w:rsid w:val="002038EA"/>
    <w:rsid w:val="00204808"/>
    <w:rsid w:val="00205858"/>
    <w:rsid w:val="0020785B"/>
    <w:rsid w:val="00210EDF"/>
    <w:rsid w:val="00211142"/>
    <w:rsid w:val="00211609"/>
    <w:rsid w:val="00211835"/>
    <w:rsid w:val="00211927"/>
    <w:rsid w:val="0021227C"/>
    <w:rsid w:val="0021256B"/>
    <w:rsid w:val="00212A19"/>
    <w:rsid w:val="0021313B"/>
    <w:rsid w:val="00213240"/>
    <w:rsid w:val="002142A4"/>
    <w:rsid w:val="0021530B"/>
    <w:rsid w:val="002166C2"/>
    <w:rsid w:val="00216F0A"/>
    <w:rsid w:val="00217675"/>
    <w:rsid w:val="002200F1"/>
    <w:rsid w:val="00220F46"/>
    <w:rsid w:val="00221097"/>
    <w:rsid w:val="00221FB7"/>
    <w:rsid w:val="00222B88"/>
    <w:rsid w:val="002230D6"/>
    <w:rsid w:val="002252FA"/>
    <w:rsid w:val="00225CE2"/>
    <w:rsid w:val="00227105"/>
    <w:rsid w:val="00227201"/>
    <w:rsid w:val="00230C1F"/>
    <w:rsid w:val="00231DA2"/>
    <w:rsid w:val="002321A5"/>
    <w:rsid w:val="002332A6"/>
    <w:rsid w:val="00233710"/>
    <w:rsid w:val="002345C3"/>
    <w:rsid w:val="00235054"/>
    <w:rsid w:val="00236E81"/>
    <w:rsid w:val="002415D6"/>
    <w:rsid w:val="002428FE"/>
    <w:rsid w:val="002435CD"/>
    <w:rsid w:val="00243649"/>
    <w:rsid w:val="002437A1"/>
    <w:rsid w:val="00243D3A"/>
    <w:rsid w:val="00244CB3"/>
    <w:rsid w:val="002460BC"/>
    <w:rsid w:val="00247465"/>
    <w:rsid w:val="00247E50"/>
    <w:rsid w:val="00250BDC"/>
    <w:rsid w:val="002516D1"/>
    <w:rsid w:val="00252914"/>
    <w:rsid w:val="002529BF"/>
    <w:rsid w:val="002529D5"/>
    <w:rsid w:val="00253BBE"/>
    <w:rsid w:val="00254164"/>
    <w:rsid w:val="002562FD"/>
    <w:rsid w:val="00257738"/>
    <w:rsid w:val="00260786"/>
    <w:rsid w:val="0026086A"/>
    <w:rsid w:val="002613C4"/>
    <w:rsid w:val="00262812"/>
    <w:rsid w:val="002637F1"/>
    <w:rsid w:val="00265246"/>
    <w:rsid w:val="002655B6"/>
    <w:rsid w:val="00265B83"/>
    <w:rsid w:val="00265C7C"/>
    <w:rsid w:val="002662AC"/>
    <w:rsid w:val="0027201F"/>
    <w:rsid w:val="00272058"/>
    <w:rsid w:val="0027316F"/>
    <w:rsid w:val="00273830"/>
    <w:rsid w:val="00274054"/>
    <w:rsid w:val="00275415"/>
    <w:rsid w:val="00277E08"/>
    <w:rsid w:val="00280166"/>
    <w:rsid w:val="002802DD"/>
    <w:rsid w:val="00280689"/>
    <w:rsid w:val="002811BC"/>
    <w:rsid w:val="0028208A"/>
    <w:rsid w:val="002820D3"/>
    <w:rsid w:val="00282B9A"/>
    <w:rsid w:val="00284B45"/>
    <w:rsid w:val="00287901"/>
    <w:rsid w:val="00287D59"/>
    <w:rsid w:val="002908F6"/>
    <w:rsid w:val="00291DEC"/>
    <w:rsid w:val="002925AC"/>
    <w:rsid w:val="00293752"/>
    <w:rsid w:val="00294CB5"/>
    <w:rsid w:val="00297800"/>
    <w:rsid w:val="00297ACD"/>
    <w:rsid w:val="002A00D0"/>
    <w:rsid w:val="002A0927"/>
    <w:rsid w:val="002A1269"/>
    <w:rsid w:val="002A1685"/>
    <w:rsid w:val="002A2064"/>
    <w:rsid w:val="002A2129"/>
    <w:rsid w:val="002A4B85"/>
    <w:rsid w:val="002A6C56"/>
    <w:rsid w:val="002A78A4"/>
    <w:rsid w:val="002B2DA1"/>
    <w:rsid w:val="002B54FD"/>
    <w:rsid w:val="002B6833"/>
    <w:rsid w:val="002B6AF0"/>
    <w:rsid w:val="002B73A8"/>
    <w:rsid w:val="002C04D5"/>
    <w:rsid w:val="002C0D36"/>
    <w:rsid w:val="002C1199"/>
    <w:rsid w:val="002C1BBF"/>
    <w:rsid w:val="002C1FD1"/>
    <w:rsid w:val="002C21F2"/>
    <w:rsid w:val="002C3416"/>
    <w:rsid w:val="002C3A6E"/>
    <w:rsid w:val="002C3F78"/>
    <w:rsid w:val="002C430E"/>
    <w:rsid w:val="002C4776"/>
    <w:rsid w:val="002C6423"/>
    <w:rsid w:val="002C6444"/>
    <w:rsid w:val="002C648A"/>
    <w:rsid w:val="002C689F"/>
    <w:rsid w:val="002D0816"/>
    <w:rsid w:val="002D1098"/>
    <w:rsid w:val="002D4DB5"/>
    <w:rsid w:val="002D5391"/>
    <w:rsid w:val="002D5469"/>
    <w:rsid w:val="002D572E"/>
    <w:rsid w:val="002D576B"/>
    <w:rsid w:val="002D59D8"/>
    <w:rsid w:val="002D5FFF"/>
    <w:rsid w:val="002D6077"/>
    <w:rsid w:val="002D7EC2"/>
    <w:rsid w:val="002E017C"/>
    <w:rsid w:val="002E0C6B"/>
    <w:rsid w:val="002E11E4"/>
    <w:rsid w:val="002E259F"/>
    <w:rsid w:val="002E4878"/>
    <w:rsid w:val="002E5562"/>
    <w:rsid w:val="002E55EA"/>
    <w:rsid w:val="002E6052"/>
    <w:rsid w:val="002E761D"/>
    <w:rsid w:val="002E7777"/>
    <w:rsid w:val="002E7D9D"/>
    <w:rsid w:val="002F0774"/>
    <w:rsid w:val="002F227C"/>
    <w:rsid w:val="002F2295"/>
    <w:rsid w:val="002F4E35"/>
    <w:rsid w:val="002F55CB"/>
    <w:rsid w:val="003004AA"/>
    <w:rsid w:val="00300FF9"/>
    <w:rsid w:val="00301D08"/>
    <w:rsid w:val="00303312"/>
    <w:rsid w:val="00304297"/>
    <w:rsid w:val="00304DCF"/>
    <w:rsid w:val="00305A5D"/>
    <w:rsid w:val="00305CDC"/>
    <w:rsid w:val="0030663D"/>
    <w:rsid w:val="00310077"/>
    <w:rsid w:val="00310513"/>
    <w:rsid w:val="003108AD"/>
    <w:rsid w:val="003125F3"/>
    <w:rsid w:val="00313A76"/>
    <w:rsid w:val="003145F4"/>
    <w:rsid w:val="00314A81"/>
    <w:rsid w:val="00314D11"/>
    <w:rsid w:val="003170F6"/>
    <w:rsid w:val="00321033"/>
    <w:rsid w:val="003256E0"/>
    <w:rsid w:val="0032656B"/>
    <w:rsid w:val="00331D6C"/>
    <w:rsid w:val="003345D7"/>
    <w:rsid w:val="003350A5"/>
    <w:rsid w:val="00336313"/>
    <w:rsid w:val="003375E1"/>
    <w:rsid w:val="00343687"/>
    <w:rsid w:val="003441DD"/>
    <w:rsid w:val="003447B3"/>
    <w:rsid w:val="00346407"/>
    <w:rsid w:val="00350663"/>
    <w:rsid w:val="00355198"/>
    <w:rsid w:val="003570D8"/>
    <w:rsid w:val="00357597"/>
    <w:rsid w:val="00360875"/>
    <w:rsid w:val="003609BD"/>
    <w:rsid w:val="003622D3"/>
    <w:rsid w:val="003629B3"/>
    <w:rsid w:val="0036668A"/>
    <w:rsid w:val="003669D5"/>
    <w:rsid w:val="00370869"/>
    <w:rsid w:val="00370F44"/>
    <w:rsid w:val="003716CF"/>
    <w:rsid w:val="0037172B"/>
    <w:rsid w:val="00371CAA"/>
    <w:rsid w:val="00373406"/>
    <w:rsid w:val="003751E8"/>
    <w:rsid w:val="00376BC3"/>
    <w:rsid w:val="003811FE"/>
    <w:rsid w:val="00385E7F"/>
    <w:rsid w:val="00387930"/>
    <w:rsid w:val="00387E7A"/>
    <w:rsid w:val="0039255F"/>
    <w:rsid w:val="003929F1"/>
    <w:rsid w:val="00392C4B"/>
    <w:rsid w:val="003938C5"/>
    <w:rsid w:val="00393D93"/>
    <w:rsid w:val="00394AE1"/>
    <w:rsid w:val="00396AE7"/>
    <w:rsid w:val="00396F59"/>
    <w:rsid w:val="00397B99"/>
    <w:rsid w:val="00397FD8"/>
    <w:rsid w:val="003A109A"/>
    <w:rsid w:val="003A1BA7"/>
    <w:rsid w:val="003A22D6"/>
    <w:rsid w:val="003A240E"/>
    <w:rsid w:val="003A2E5F"/>
    <w:rsid w:val="003A2EB2"/>
    <w:rsid w:val="003A3CA6"/>
    <w:rsid w:val="003A5769"/>
    <w:rsid w:val="003A5A83"/>
    <w:rsid w:val="003A5C59"/>
    <w:rsid w:val="003A5F9E"/>
    <w:rsid w:val="003A69AE"/>
    <w:rsid w:val="003A6D41"/>
    <w:rsid w:val="003A783D"/>
    <w:rsid w:val="003B08AA"/>
    <w:rsid w:val="003B0BEE"/>
    <w:rsid w:val="003B1364"/>
    <w:rsid w:val="003B2FD7"/>
    <w:rsid w:val="003B64CD"/>
    <w:rsid w:val="003B7076"/>
    <w:rsid w:val="003B7A44"/>
    <w:rsid w:val="003B7E63"/>
    <w:rsid w:val="003C2567"/>
    <w:rsid w:val="003C4FB6"/>
    <w:rsid w:val="003C5261"/>
    <w:rsid w:val="003C540A"/>
    <w:rsid w:val="003C5861"/>
    <w:rsid w:val="003C6212"/>
    <w:rsid w:val="003C72D0"/>
    <w:rsid w:val="003C7733"/>
    <w:rsid w:val="003D0594"/>
    <w:rsid w:val="003D0802"/>
    <w:rsid w:val="003D1A97"/>
    <w:rsid w:val="003D371C"/>
    <w:rsid w:val="003D48A7"/>
    <w:rsid w:val="003D7BFC"/>
    <w:rsid w:val="003E0585"/>
    <w:rsid w:val="003E0921"/>
    <w:rsid w:val="003E1C91"/>
    <w:rsid w:val="003E2732"/>
    <w:rsid w:val="003E29F6"/>
    <w:rsid w:val="003E42FE"/>
    <w:rsid w:val="003E62F5"/>
    <w:rsid w:val="003E7285"/>
    <w:rsid w:val="003F377B"/>
    <w:rsid w:val="003F4754"/>
    <w:rsid w:val="003F4B24"/>
    <w:rsid w:val="003F4DB7"/>
    <w:rsid w:val="003F4E4F"/>
    <w:rsid w:val="00400403"/>
    <w:rsid w:val="00401306"/>
    <w:rsid w:val="00401758"/>
    <w:rsid w:val="0040367F"/>
    <w:rsid w:val="00403A2F"/>
    <w:rsid w:val="004040DD"/>
    <w:rsid w:val="004044D9"/>
    <w:rsid w:val="00406C76"/>
    <w:rsid w:val="00406D85"/>
    <w:rsid w:val="0040780E"/>
    <w:rsid w:val="00411F6A"/>
    <w:rsid w:val="00412D5E"/>
    <w:rsid w:val="00412DAB"/>
    <w:rsid w:val="004148A1"/>
    <w:rsid w:val="004153FD"/>
    <w:rsid w:val="004165E4"/>
    <w:rsid w:val="00416CA3"/>
    <w:rsid w:val="00417020"/>
    <w:rsid w:val="00420AC1"/>
    <w:rsid w:val="00420ACE"/>
    <w:rsid w:val="00421260"/>
    <w:rsid w:val="00421522"/>
    <w:rsid w:val="00421766"/>
    <w:rsid w:val="00422D13"/>
    <w:rsid w:val="0042593D"/>
    <w:rsid w:val="00426065"/>
    <w:rsid w:val="0042654F"/>
    <w:rsid w:val="004279DC"/>
    <w:rsid w:val="00431099"/>
    <w:rsid w:val="00431864"/>
    <w:rsid w:val="00431E61"/>
    <w:rsid w:val="00432955"/>
    <w:rsid w:val="004333A3"/>
    <w:rsid w:val="00433699"/>
    <w:rsid w:val="004339B3"/>
    <w:rsid w:val="0043477F"/>
    <w:rsid w:val="00434B26"/>
    <w:rsid w:val="00437ADD"/>
    <w:rsid w:val="004411E8"/>
    <w:rsid w:val="00441DAE"/>
    <w:rsid w:val="004423C2"/>
    <w:rsid w:val="004427D4"/>
    <w:rsid w:val="00443BE9"/>
    <w:rsid w:val="00443E4A"/>
    <w:rsid w:val="00444B32"/>
    <w:rsid w:val="00445220"/>
    <w:rsid w:val="00445A8D"/>
    <w:rsid w:val="00445B8C"/>
    <w:rsid w:val="00445E45"/>
    <w:rsid w:val="004460BE"/>
    <w:rsid w:val="00446238"/>
    <w:rsid w:val="0044714C"/>
    <w:rsid w:val="00447600"/>
    <w:rsid w:val="004506D7"/>
    <w:rsid w:val="0045317E"/>
    <w:rsid w:val="00453816"/>
    <w:rsid w:val="00453F86"/>
    <w:rsid w:val="004551E4"/>
    <w:rsid w:val="00456177"/>
    <w:rsid w:val="004579E4"/>
    <w:rsid w:val="00457E6F"/>
    <w:rsid w:val="00460B15"/>
    <w:rsid w:val="00460DDD"/>
    <w:rsid w:val="0046174D"/>
    <w:rsid w:val="00463297"/>
    <w:rsid w:val="00463E04"/>
    <w:rsid w:val="00463E97"/>
    <w:rsid w:val="00465C40"/>
    <w:rsid w:val="00466158"/>
    <w:rsid w:val="00466885"/>
    <w:rsid w:val="00466A82"/>
    <w:rsid w:val="00466D24"/>
    <w:rsid w:val="00470FC8"/>
    <w:rsid w:val="00474215"/>
    <w:rsid w:val="00474B43"/>
    <w:rsid w:val="004752D1"/>
    <w:rsid w:val="00475B77"/>
    <w:rsid w:val="00477FE7"/>
    <w:rsid w:val="00480606"/>
    <w:rsid w:val="004814BE"/>
    <w:rsid w:val="00481B34"/>
    <w:rsid w:val="0048215A"/>
    <w:rsid w:val="00483908"/>
    <w:rsid w:val="004846EA"/>
    <w:rsid w:val="00491B40"/>
    <w:rsid w:val="00491C52"/>
    <w:rsid w:val="004925F5"/>
    <w:rsid w:val="00493824"/>
    <w:rsid w:val="004944EE"/>
    <w:rsid w:val="00495C42"/>
    <w:rsid w:val="00496635"/>
    <w:rsid w:val="004968B1"/>
    <w:rsid w:val="00496EBE"/>
    <w:rsid w:val="004970BC"/>
    <w:rsid w:val="00497AB5"/>
    <w:rsid w:val="004A16C2"/>
    <w:rsid w:val="004A2AD5"/>
    <w:rsid w:val="004A38D8"/>
    <w:rsid w:val="004A40CB"/>
    <w:rsid w:val="004A48C0"/>
    <w:rsid w:val="004A53E5"/>
    <w:rsid w:val="004A5BE1"/>
    <w:rsid w:val="004A6BF4"/>
    <w:rsid w:val="004A7001"/>
    <w:rsid w:val="004A7886"/>
    <w:rsid w:val="004B1338"/>
    <w:rsid w:val="004B1358"/>
    <w:rsid w:val="004B1C4E"/>
    <w:rsid w:val="004B1F05"/>
    <w:rsid w:val="004B29E6"/>
    <w:rsid w:val="004B2FE9"/>
    <w:rsid w:val="004B3710"/>
    <w:rsid w:val="004B662F"/>
    <w:rsid w:val="004B7E4C"/>
    <w:rsid w:val="004C0134"/>
    <w:rsid w:val="004C0777"/>
    <w:rsid w:val="004C0FA9"/>
    <w:rsid w:val="004C1139"/>
    <w:rsid w:val="004C1A0B"/>
    <w:rsid w:val="004C3C82"/>
    <w:rsid w:val="004C4211"/>
    <w:rsid w:val="004C56D1"/>
    <w:rsid w:val="004C57BE"/>
    <w:rsid w:val="004C6798"/>
    <w:rsid w:val="004C6BB5"/>
    <w:rsid w:val="004C7219"/>
    <w:rsid w:val="004D0AB9"/>
    <w:rsid w:val="004D0C20"/>
    <w:rsid w:val="004D155E"/>
    <w:rsid w:val="004D3C12"/>
    <w:rsid w:val="004D468C"/>
    <w:rsid w:val="004D5EAA"/>
    <w:rsid w:val="004D65E3"/>
    <w:rsid w:val="004D66E9"/>
    <w:rsid w:val="004D7204"/>
    <w:rsid w:val="004E17C8"/>
    <w:rsid w:val="004E30EA"/>
    <w:rsid w:val="004E33EE"/>
    <w:rsid w:val="004E4317"/>
    <w:rsid w:val="004E4D3F"/>
    <w:rsid w:val="004E52DA"/>
    <w:rsid w:val="004F0B68"/>
    <w:rsid w:val="004F16CD"/>
    <w:rsid w:val="004F1B7C"/>
    <w:rsid w:val="004F752A"/>
    <w:rsid w:val="004F79DC"/>
    <w:rsid w:val="004F7D5F"/>
    <w:rsid w:val="00500AFB"/>
    <w:rsid w:val="00500B44"/>
    <w:rsid w:val="00500C0B"/>
    <w:rsid w:val="00501CFF"/>
    <w:rsid w:val="005035C4"/>
    <w:rsid w:val="00503D26"/>
    <w:rsid w:val="00504EA7"/>
    <w:rsid w:val="00506929"/>
    <w:rsid w:val="005100DF"/>
    <w:rsid w:val="0051025C"/>
    <w:rsid w:val="00510FE0"/>
    <w:rsid w:val="00512379"/>
    <w:rsid w:val="0051261F"/>
    <w:rsid w:val="005133B8"/>
    <w:rsid w:val="00517420"/>
    <w:rsid w:val="00521A0A"/>
    <w:rsid w:val="00522704"/>
    <w:rsid w:val="00527E93"/>
    <w:rsid w:val="00531529"/>
    <w:rsid w:val="00531AF7"/>
    <w:rsid w:val="00532630"/>
    <w:rsid w:val="005327D4"/>
    <w:rsid w:val="00533BB7"/>
    <w:rsid w:val="005356B6"/>
    <w:rsid w:val="005359E6"/>
    <w:rsid w:val="00535B43"/>
    <w:rsid w:val="00537E3A"/>
    <w:rsid w:val="00541F46"/>
    <w:rsid w:val="00542792"/>
    <w:rsid w:val="0054333D"/>
    <w:rsid w:val="00543EEC"/>
    <w:rsid w:val="0054519E"/>
    <w:rsid w:val="00545287"/>
    <w:rsid w:val="00546496"/>
    <w:rsid w:val="00547236"/>
    <w:rsid w:val="005478B5"/>
    <w:rsid w:val="00550315"/>
    <w:rsid w:val="005505D7"/>
    <w:rsid w:val="00550BA3"/>
    <w:rsid w:val="00550D93"/>
    <w:rsid w:val="00552189"/>
    <w:rsid w:val="005564B6"/>
    <w:rsid w:val="00556521"/>
    <w:rsid w:val="005601A0"/>
    <w:rsid w:val="00561766"/>
    <w:rsid w:val="0056187B"/>
    <w:rsid w:val="00561E0F"/>
    <w:rsid w:val="00562C10"/>
    <w:rsid w:val="00563306"/>
    <w:rsid w:val="00565BE2"/>
    <w:rsid w:val="00566DA9"/>
    <w:rsid w:val="005703F3"/>
    <w:rsid w:val="005709F8"/>
    <w:rsid w:val="00570CF4"/>
    <w:rsid w:val="00571235"/>
    <w:rsid w:val="00571822"/>
    <w:rsid w:val="00572052"/>
    <w:rsid w:val="0057273E"/>
    <w:rsid w:val="00572B46"/>
    <w:rsid w:val="00574EA7"/>
    <w:rsid w:val="005761E6"/>
    <w:rsid w:val="00576793"/>
    <w:rsid w:val="005768D0"/>
    <w:rsid w:val="005779EA"/>
    <w:rsid w:val="00580134"/>
    <w:rsid w:val="005804B1"/>
    <w:rsid w:val="00581191"/>
    <w:rsid w:val="00582A9E"/>
    <w:rsid w:val="00584293"/>
    <w:rsid w:val="00585708"/>
    <w:rsid w:val="00586538"/>
    <w:rsid w:val="00592BB2"/>
    <w:rsid w:val="00592EC6"/>
    <w:rsid w:val="00594EA2"/>
    <w:rsid w:val="005953F5"/>
    <w:rsid w:val="00595EA6"/>
    <w:rsid w:val="00595EF9"/>
    <w:rsid w:val="005A255C"/>
    <w:rsid w:val="005A2C65"/>
    <w:rsid w:val="005A3A1D"/>
    <w:rsid w:val="005A4042"/>
    <w:rsid w:val="005A5CE2"/>
    <w:rsid w:val="005A6545"/>
    <w:rsid w:val="005A695A"/>
    <w:rsid w:val="005B057C"/>
    <w:rsid w:val="005B0E47"/>
    <w:rsid w:val="005B0F57"/>
    <w:rsid w:val="005B15E9"/>
    <w:rsid w:val="005B1F25"/>
    <w:rsid w:val="005B2094"/>
    <w:rsid w:val="005B2D13"/>
    <w:rsid w:val="005B455A"/>
    <w:rsid w:val="005B6157"/>
    <w:rsid w:val="005B7076"/>
    <w:rsid w:val="005B70BD"/>
    <w:rsid w:val="005C0A28"/>
    <w:rsid w:val="005C0C2F"/>
    <w:rsid w:val="005C1722"/>
    <w:rsid w:val="005C476F"/>
    <w:rsid w:val="005C502D"/>
    <w:rsid w:val="005C6BDC"/>
    <w:rsid w:val="005C797C"/>
    <w:rsid w:val="005C7BDE"/>
    <w:rsid w:val="005D034B"/>
    <w:rsid w:val="005D096C"/>
    <w:rsid w:val="005D101E"/>
    <w:rsid w:val="005D1283"/>
    <w:rsid w:val="005D2438"/>
    <w:rsid w:val="005D28B5"/>
    <w:rsid w:val="005D2AA3"/>
    <w:rsid w:val="005D3350"/>
    <w:rsid w:val="005D3B02"/>
    <w:rsid w:val="005D5A22"/>
    <w:rsid w:val="005D5C94"/>
    <w:rsid w:val="005E24C8"/>
    <w:rsid w:val="005E2619"/>
    <w:rsid w:val="005E58C7"/>
    <w:rsid w:val="005E5DC1"/>
    <w:rsid w:val="005E7084"/>
    <w:rsid w:val="005E7C8A"/>
    <w:rsid w:val="005E7C91"/>
    <w:rsid w:val="005E7CAC"/>
    <w:rsid w:val="005F0883"/>
    <w:rsid w:val="005F1489"/>
    <w:rsid w:val="005F18AF"/>
    <w:rsid w:val="005F31BA"/>
    <w:rsid w:val="005F600B"/>
    <w:rsid w:val="005F648C"/>
    <w:rsid w:val="005F788D"/>
    <w:rsid w:val="005F7F94"/>
    <w:rsid w:val="006000A1"/>
    <w:rsid w:val="0060118D"/>
    <w:rsid w:val="00601F5E"/>
    <w:rsid w:val="00603503"/>
    <w:rsid w:val="006037FF"/>
    <w:rsid w:val="00605568"/>
    <w:rsid w:val="00605C05"/>
    <w:rsid w:val="006064A3"/>
    <w:rsid w:val="00606E63"/>
    <w:rsid w:val="00610473"/>
    <w:rsid w:val="00614C0F"/>
    <w:rsid w:val="00614EE4"/>
    <w:rsid w:val="00616304"/>
    <w:rsid w:val="0061753D"/>
    <w:rsid w:val="0062120E"/>
    <w:rsid w:val="006220B4"/>
    <w:rsid w:val="00624E30"/>
    <w:rsid w:val="006307F5"/>
    <w:rsid w:val="00630FB3"/>
    <w:rsid w:val="0063245F"/>
    <w:rsid w:val="00633370"/>
    <w:rsid w:val="00635CB7"/>
    <w:rsid w:val="00636133"/>
    <w:rsid w:val="00637BAD"/>
    <w:rsid w:val="006416A6"/>
    <w:rsid w:val="00643EC9"/>
    <w:rsid w:val="00643F5F"/>
    <w:rsid w:val="006442F7"/>
    <w:rsid w:val="00644B58"/>
    <w:rsid w:val="00645883"/>
    <w:rsid w:val="00645B97"/>
    <w:rsid w:val="00645CA8"/>
    <w:rsid w:val="006466D6"/>
    <w:rsid w:val="00646C0B"/>
    <w:rsid w:val="00647B86"/>
    <w:rsid w:val="0065263C"/>
    <w:rsid w:val="006529A0"/>
    <w:rsid w:val="006535E9"/>
    <w:rsid w:val="006541E0"/>
    <w:rsid w:val="006557E2"/>
    <w:rsid w:val="00657A5E"/>
    <w:rsid w:val="006607EB"/>
    <w:rsid w:val="00662BBB"/>
    <w:rsid w:val="00663F9B"/>
    <w:rsid w:val="00664B1B"/>
    <w:rsid w:val="00664FC4"/>
    <w:rsid w:val="00664FD5"/>
    <w:rsid w:val="00665856"/>
    <w:rsid w:val="00665AAF"/>
    <w:rsid w:val="00667A0A"/>
    <w:rsid w:val="006701BA"/>
    <w:rsid w:val="006715B0"/>
    <w:rsid w:val="006717CD"/>
    <w:rsid w:val="00671CE0"/>
    <w:rsid w:val="00673523"/>
    <w:rsid w:val="0067557F"/>
    <w:rsid w:val="00675FBE"/>
    <w:rsid w:val="00676145"/>
    <w:rsid w:val="0068111A"/>
    <w:rsid w:val="006815BA"/>
    <w:rsid w:val="0068543D"/>
    <w:rsid w:val="00685654"/>
    <w:rsid w:val="00687BFE"/>
    <w:rsid w:val="006921F6"/>
    <w:rsid w:val="00692760"/>
    <w:rsid w:val="00693901"/>
    <w:rsid w:val="00695812"/>
    <w:rsid w:val="006A0613"/>
    <w:rsid w:val="006A0911"/>
    <w:rsid w:val="006A0C6C"/>
    <w:rsid w:val="006A18D6"/>
    <w:rsid w:val="006A5D43"/>
    <w:rsid w:val="006A61E6"/>
    <w:rsid w:val="006B269D"/>
    <w:rsid w:val="006B300F"/>
    <w:rsid w:val="006B5781"/>
    <w:rsid w:val="006B5942"/>
    <w:rsid w:val="006B66C3"/>
    <w:rsid w:val="006C14F1"/>
    <w:rsid w:val="006C4102"/>
    <w:rsid w:val="006C4798"/>
    <w:rsid w:val="006C4A9E"/>
    <w:rsid w:val="006C526C"/>
    <w:rsid w:val="006C5F8F"/>
    <w:rsid w:val="006C6638"/>
    <w:rsid w:val="006C664F"/>
    <w:rsid w:val="006C709C"/>
    <w:rsid w:val="006C7360"/>
    <w:rsid w:val="006C751D"/>
    <w:rsid w:val="006D0539"/>
    <w:rsid w:val="006D13A9"/>
    <w:rsid w:val="006D1A8B"/>
    <w:rsid w:val="006D3A9D"/>
    <w:rsid w:val="006D3C3D"/>
    <w:rsid w:val="006D6A9B"/>
    <w:rsid w:val="006E7A0F"/>
    <w:rsid w:val="006E7A31"/>
    <w:rsid w:val="006E7CE2"/>
    <w:rsid w:val="006F19D9"/>
    <w:rsid w:val="006F1B69"/>
    <w:rsid w:val="006F1C10"/>
    <w:rsid w:val="006F2D17"/>
    <w:rsid w:val="006F2DDD"/>
    <w:rsid w:val="006F3318"/>
    <w:rsid w:val="006F3A9D"/>
    <w:rsid w:val="006F536A"/>
    <w:rsid w:val="006F5897"/>
    <w:rsid w:val="006F7379"/>
    <w:rsid w:val="006F73B8"/>
    <w:rsid w:val="00700C9C"/>
    <w:rsid w:val="00702766"/>
    <w:rsid w:val="007054C3"/>
    <w:rsid w:val="007057D9"/>
    <w:rsid w:val="00706EF5"/>
    <w:rsid w:val="00706F3E"/>
    <w:rsid w:val="0070787F"/>
    <w:rsid w:val="00710FD2"/>
    <w:rsid w:val="00711348"/>
    <w:rsid w:val="00713014"/>
    <w:rsid w:val="0071380B"/>
    <w:rsid w:val="00713956"/>
    <w:rsid w:val="00714151"/>
    <w:rsid w:val="00714843"/>
    <w:rsid w:val="0071498C"/>
    <w:rsid w:val="00714AA6"/>
    <w:rsid w:val="0071553C"/>
    <w:rsid w:val="00715652"/>
    <w:rsid w:val="00716273"/>
    <w:rsid w:val="007178EE"/>
    <w:rsid w:val="00717F56"/>
    <w:rsid w:val="00717FCD"/>
    <w:rsid w:val="0072127A"/>
    <w:rsid w:val="0072182B"/>
    <w:rsid w:val="00721B31"/>
    <w:rsid w:val="00721F28"/>
    <w:rsid w:val="00723469"/>
    <w:rsid w:val="0072555F"/>
    <w:rsid w:val="00726862"/>
    <w:rsid w:val="00726EBF"/>
    <w:rsid w:val="007300CA"/>
    <w:rsid w:val="00730599"/>
    <w:rsid w:val="007305E8"/>
    <w:rsid w:val="007314BD"/>
    <w:rsid w:val="00734583"/>
    <w:rsid w:val="00734A81"/>
    <w:rsid w:val="007364D9"/>
    <w:rsid w:val="00736B37"/>
    <w:rsid w:val="00736E7C"/>
    <w:rsid w:val="00741E22"/>
    <w:rsid w:val="00742542"/>
    <w:rsid w:val="0074341A"/>
    <w:rsid w:val="007451A2"/>
    <w:rsid w:val="00745979"/>
    <w:rsid w:val="00746205"/>
    <w:rsid w:val="00746D6C"/>
    <w:rsid w:val="00747662"/>
    <w:rsid w:val="0075049E"/>
    <w:rsid w:val="00750C53"/>
    <w:rsid w:val="00751AA7"/>
    <w:rsid w:val="00752BC4"/>
    <w:rsid w:val="00754704"/>
    <w:rsid w:val="007554C9"/>
    <w:rsid w:val="00756094"/>
    <w:rsid w:val="0076225B"/>
    <w:rsid w:val="00763642"/>
    <w:rsid w:val="00763A0F"/>
    <w:rsid w:val="00766723"/>
    <w:rsid w:val="007678B4"/>
    <w:rsid w:val="00767FC6"/>
    <w:rsid w:val="00770B00"/>
    <w:rsid w:val="007710AA"/>
    <w:rsid w:val="00771B18"/>
    <w:rsid w:val="00771CBE"/>
    <w:rsid w:val="00774267"/>
    <w:rsid w:val="00774A8F"/>
    <w:rsid w:val="0077581D"/>
    <w:rsid w:val="00775C2B"/>
    <w:rsid w:val="007779F7"/>
    <w:rsid w:val="007814D9"/>
    <w:rsid w:val="0078245C"/>
    <w:rsid w:val="007826F2"/>
    <w:rsid w:val="00782F23"/>
    <w:rsid w:val="00782FFD"/>
    <w:rsid w:val="007832D3"/>
    <w:rsid w:val="00783CCC"/>
    <w:rsid w:val="00784419"/>
    <w:rsid w:val="007853F2"/>
    <w:rsid w:val="00785A38"/>
    <w:rsid w:val="007867B6"/>
    <w:rsid w:val="007867C0"/>
    <w:rsid w:val="00786D2E"/>
    <w:rsid w:val="007911C3"/>
    <w:rsid w:val="0079346E"/>
    <w:rsid w:val="0079356E"/>
    <w:rsid w:val="00793608"/>
    <w:rsid w:val="00793F53"/>
    <w:rsid w:val="00794DB7"/>
    <w:rsid w:val="00797EA8"/>
    <w:rsid w:val="007A0511"/>
    <w:rsid w:val="007A17EA"/>
    <w:rsid w:val="007A209B"/>
    <w:rsid w:val="007A4E53"/>
    <w:rsid w:val="007A59A3"/>
    <w:rsid w:val="007A78C0"/>
    <w:rsid w:val="007B00C0"/>
    <w:rsid w:val="007B18C8"/>
    <w:rsid w:val="007B196C"/>
    <w:rsid w:val="007B353B"/>
    <w:rsid w:val="007B4622"/>
    <w:rsid w:val="007C3469"/>
    <w:rsid w:val="007C444B"/>
    <w:rsid w:val="007C592A"/>
    <w:rsid w:val="007C68AA"/>
    <w:rsid w:val="007D1017"/>
    <w:rsid w:val="007D205B"/>
    <w:rsid w:val="007D2DF0"/>
    <w:rsid w:val="007D3A37"/>
    <w:rsid w:val="007D4009"/>
    <w:rsid w:val="007D46A8"/>
    <w:rsid w:val="007D5DFB"/>
    <w:rsid w:val="007D6033"/>
    <w:rsid w:val="007D700A"/>
    <w:rsid w:val="007E15CC"/>
    <w:rsid w:val="007E2DB2"/>
    <w:rsid w:val="007E4063"/>
    <w:rsid w:val="007E68C0"/>
    <w:rsid w:val="007F18AF"/>
    <w:rsid w:val="007F18C6"/>
    <w:rsid w:val="007F1AAF"/>
    <w:rsid w:val="007F5B90"/>
    <w:rsid w:val="007F654D"/>
    <w:rsid w:val="007F6BFC"/>
    <w:rsid w:val="00800C2C"/>
    <w:rsid w:val="0080275F"/>
    <w:rsid w:val="00804F7F"/>
    <w:rsid w:val="00805CEA"/>
    <w:rsid w:val="008060AB"/>
    <w:rsid w:val="0080647E"/>
    <w:rsid w:val="008067C6"/>
    <w:rsid w:val="00807EB8"/>
    <w:rsid w:val="00810134"/>
    <w:rsid w:val="00810EF6"/>
    <w:rsid w:val="008113F8"/>
    <w:rsid w:val="008118A7"/>
    <w:rsid w:val="00812EA3"/>
    <w:rsid w:val="0081461F"/>
    <w:rsid w:val="00816557"/>
    <w:rsid w:val="008176A0"/>
    <w:rsid w:val="00821E10"/>
    <w:rsid w:val="00824F10"/>
    <w:rsid w:val="008260CE"/>
    <w:rsid w:val="008262E1"/>
    <w:rsid w:val="00826379"/>
    <w:rsid w:val="00826D80"/>
    <w:rsid w:val="008270BE"/>
    <w:rsid w:val="0083010D"/>
    <w:rsid w:val="0083276A"/>
    <w:rsid w:val="00834047"/>
    <w:rsid w:val="008363B7"/>
    <w:rsid w:val="00836CD2"/>
    <w:rsid w:val="0084081B"/>
    <w:rsid w:val="00841D76"/>
    <w:rsid w:val="00842B6C"/>
    <w:rsid w:val="00842BC2"/>
    <w:rsid w:val="0084355E"/>
    <w:rsid w:val="00843C38"/>
    <w:rsid w:val="0084434C"/>
    <w:rsid w:val="00844964"/>
    <w:rsid w:val="008450DB"/>
    <w:rsid w:val="00845B7A"/>
    <w:rsid w:val="00845F42"/>
    <w:rsid w:val="00847EF0"/>
    <w:rsid w:val="00851775"/>
    <w:rsid w:val="00852877"/>
    <w:rsid w:val="008536FC"/>
    <w:rsid w:val="00854404"/>
    <w:rsid w:val="008545ED"/>
    <w:rsid w:val="00854796"/>
    <w:rsid w:val="00855831"/>
    <w:rsid w:val="00856493"/>
    <w:rsid w:val="00856514"/>
    <w:rsid w:val="0085689E"/>
    <w:rsid w:val="008574C2"/>
    <w:rsid w:val="00857924"/>
    <w:rsid w:val="008579B1"/>
    <w:rsid w:val="00861650"/>
    <w:rsid w:val="00861CD7"/>
    <w:rsid w:val="00861E0E"/>
    <w:rsid w:val="00863B23"/>
    <w:rsid w:val="00865D76"/>
    <w:rsid w:val="00866F3A"/>
    <w:rsid w:val="008708E7"/>
    <w:rsid w:val="008718B3"/>
    <w:rsid w:val="00871D62"/>
    <w:rsid w:val="008734A2"/>
    <w:rsid w:val="008763E7"/>
    <w:rsid w:val="008800CB"/>
    <w:rsid w:val="00880466"/>
    <w:rsid w:val="00880A5B"/>
    <w:rsid w:val="00883B16"/>
    <w:rsid w:val="008846C2"/>
    <w:rsid w:val="008847E1"/>
    <w:rsid w:val="008857B0"/>
    <w:rsid w:val="0088622D"/>
    <w:rsid w:val="008867EA"/>
    <w:rsid w:val="00886B02"/>
    <w:rsid w:val="00886FAF"/>
    <w:rsid w:val="008875BF"/>
    <w:rsid w:val="00890362"/>
    <w:rsid w:val="008904D4"/>
    <w:rsid w:val="00891325"/>
    <w:rsid w:val="008918C6"/>
    <w:rsid w:val="00891E9B"/>
    <w:rsid w:val="00891F00"/>
    <w:rsid w:val="0089204A"/>
    <w:rsid w:val="0089230C"/>
    <w:rsid w:val="00892AA0"/>
    <w:rsid w:val="00893043"/>
    <w:rsid w:val="00893386"/>
    <w:rsid w:val="008933EF"/>
    <w:rsid w:val="0089391D"/>
    <w:rsid w:val="00893E80"/>
    <w:rsid w:val="0089410C"/>
    <w:rsid w:val="0089424B"/>
    <w:rsid w:val="0089507D"/>
    <w:rsid w:val="00895222"/>
    <w:rsid w:val="008956F3"/>
    <w:rsid w:val="0089616D"/>
    <w:rsid w:val="008970AE"/>
    <w:rsid w:val="00897CF7"/>
    <w:rsid w:val="008A03F5"/>
    <w:rsid w:val="008A088A"/>
    <w:rsid w:val="008A191F"/>
    <w:rsid w:val="008A219C"/>
    <w:rsid w:val="008A233E"/>
    <w:rsid w:val="008A24DB"/>
    <w:rsid w:val="008A35BD"/>
    <w:rsid w:val="008A3E10"/>
    <w:rsid w:val="008A5EA7"/>
    <w:rsid w:val="008A6A1E"/>
    <w:rsid w:val="008A7C59"/>
    <w:rsid w:val="008B11CF"/>
    <w:rsid w:val="008B15EC"/>
    <w:rsid w:val="008B1794"/>
    <w:rsid w:val="008B1A5E"/>
    <w:rsid w:val="008B2BEC"/>
    <w:rsid w:val="008B3D13"/>
    <w:rsid w:val="008B5A46"/>
    <w:rsid w:val="008B782B"/>
    <w:rsid w:val="008C0673"/>
    <w:rsid w:val="008C1889"/>
    <w:rsid w:val="008C2272"/>
    <w:rsid w:val="008C7355"/>
    <w:rsid w:val="008D0C32"/>
    <w:rsid w:val="008D1178"/>
    <w:rsid w:val="008D26EA"/>
    <w:rsid w:val="008D3416"/>
    <w:rsid w:val="008D7999"/>
    <w:rsid w:val="008E07E5"/>
    <w:rsid w:val="008E1247"/>
    <w:rsid w:val="008E2104"/>
    <w:rsid w:val="008E3483"/>
    <w:rsid w:val="008E3876"/>
    <w:rsid w:val="008E4E03"/>
    <w:rsid w:val="008E5669"/>
    <w:rsid w:val="008E57D5"/>
    <w:rsid w:val="008E6C1A"/>
    <w:rsid w:val="008E7172"/>
    <w:rsid w:val="008E7858"/>
    <w:rsid w:val="008F06F8"/>
    <w:rsid w:val="008F161A"/>
    <w:rsid w:val="008F19CD"/>
    <w:rsid w:val="008F32CF"/>
    <w:rsid w:val="008F3D31"/>
    <w:rsid w:val="008F586E"/>
    <w:rsid w:val="008F5F16"/>
    <w:rsid w:val="008F751F"/>
    <w:rsid w:val="00900310"/>
    <w:rsid w:val="009021F5"/>
    <w:rsid w:val="00903834"/>
    <w:rsid w:val="009061DE"/>
    <w:rsid w:val="0090683B"/>
    <w:rsid w:val="00907E32"/>
    <w:rsid w:val="00907E7B"/>
    <w:rsid w:val="00910B80"/>
    <w:rsid w:val="009129D7"/>
    <w:rsid w:val="009133C6"/>
    <w:rsid w:val="00913549"/>
    <w:rsid w:val="009139D6"/>
    <w:rsid w:val="00914677"/>
    <w:rsid w:val="0091581D"/>
    <w:rsid w:val="00915A35"/>
    <w:rsid w:val="00917420"/>
    <w:rsid w:val="0091776B"/>
    <w:rsid w:val="00917826"/>
    <w:rsid w:val="00920273"/>
    <w:rsid w:val="00921F69"/>
    <w:rsid w:val="00922CF5"/>
    <w:rsid w:val="00923856"/>
    <w:rsid w:val="00924535"/>
    <w:rsid w:val="00924740"/>
    <w:rsid w:val="00924F3F"/>
    <w:rsid w:val="00926389"/>
    <w:rsid w:val="00926FE7"/>
    <w:rsid w:val="00930636"/>
    <w:rsid w:val="0093375B"/>
    <w:rsid w:val="009342FF"/>
    <w:rsid w:val="009343AB"/>
    <w:rsid w:val="00937639"/>
    <w:rsid w:val="00937BA2"/>
    <w:rsid w:val="0094006E"/>
    <w:rsid w:val="00940DC1"/>
    <w:rsid w:val="00941F1B"/>
    <w:rsid w:val="00942346"/>
    <w:rsid w:val="00942FB4"/>
    <w:rsid w:val="00943784"/>
    <w:rsid w:val="00945B69"/>
    <w:rsid w:val="00947B57"/>
    <w:rsid w:val="00950EF6"/>
    <w:rsid w:val="00953A91"/>
    <w:rsid w:val="00954E21"/>
    <w:rsid w:val="009565E0"/>
    <w:rsid w:val="009577F9"/>
    <w:rsid w:val="00961121"/>
    <w:rsid w:val="009627C7"/>
    <w:rsid w:val="00966057"/>
    <w:rsid w:val="00966DA0"/>
    <w:rsid w:val="00972B1C"/>
    <w:rsid w:val="00972F45"/>
    <w:rsid w:val="0097396B"/>
    <w:rsid w:val="00974124"/>
    <w:rsid w:val="00975B59"/>
    <w:rsid w:val="00981223"/>
    <w:rsid w:val="00982041"/>
    <w:rsid w:val="00982547"/>
    <w:rsid w:val="00982D3C"/>
    <w:rsid w:val="00983D4A"/>
    <w:rsid w:val="009847E2"/>
    <w:rsid w:val="009860B3"/>
    <w:rsid w:val="0098610B"/>
    <w:rsid w:val="009863AE"/>
    <w:rsid w:val="00987F9E"/>
    <w:rsid w:val="009908A3"/>
    <w:rsid w:val="00991B76"/>
    <w:rsid w:val="009929B2"/>
    <w:rsid w:val="009933CB"/>
    <w:rsid w:val="009950D4"/>
    <w:rsid w:val="00995411"/>
    <w:rsid w:val="00996275"/>
    <w:rsid w:val="00996DCC"/>
    <w:rsid w:val="00997A24"/>
    <w:rsid w:val="009A105D"/>
    <w:rsid w:val="009A1ADC"/>
    <w:rsid w:val="009A2AF5"/>
    <w:rsid w:val="009A4460"/>
    <w:rsid w:val="009A4EDC"/>
    <w:rsid w:val="009A5B2C"/>
    <w:rsid w:val="009B0098"/>
    <w:rsid w:val="009B1806"/>
    <w:rsid w:val="009B306B"/>
    <w:rsid w:val="009B42FC"/>
    <w:rsid w:val="009B4A00"/>
    <w:rsid w:val="009B4D6E"/>
    <w:rsid w:val="009B71D5"/>
    <w:rsid w:val="009B76F2"/>
    <w:rsid w:val="009C10C7"/>
    <w:rsid w:val="009C14A8"/>
    <w:rsid w:val="009C1F56"/>
    <w:rsid w:val="009C2EC3"/>
    <w:rsid w:val="009C30FE"/>
    <w:rsid w:val="009C403B"/>
    <w:rsid w:val="009C459A"/>
    <w:rsid w:val="009C52CB"/>
    <w:rsid w:val="009C673D"/>
    <w:rsid w:val="009D2243"/>
    <w:rsid w:val="009D3B51"/>
    <w:rsid w:val="009D5E7B"/>
    <w:rsid w:val="009D6DF6"/>
    <w:rsid w:val="009D78DC"/>
    <w:rsid w:val="009D7E42"/>
    <w:rsid w:val="009E0119"/>
    <w:rsid w:val="009E0AE0"/>
    <w:rsid w:val="009E1008"/>
    <w:rsid w:val="009E1496"/>
    <w:rsid w:val="009E16B1"/>
    <w:rsid w:val="009E1B14"/>
    <w:rsid w:val="009E1E08"/>
    <w:rsid w:val="009E1EC7"/>
    <w:rsid w:val="009E2E11"/>
    <w:rsid w:val="009E4324"/>
    <w:rsid w:val="009F1334"/>
    <w:rsid w:val="009F1603"/>
    <w:rsid w:val="009F2630"/>
    <w:rsid w:val="009F57C7"/>
    <w:rsid w:val="009F5964"/>
    <w:rsid w:val="009F63B7"/>
    <w:rsid w:val="009F6D8E"/>
    <w:rsid w:val="00A01C59"/>
    <w:rsid w:val="00A0268D"/>
    <w:rsid w:val="00A03229"/>
    <w:rsid w:val="00A0375C"/>
    <w:rsid w:val="00A03E8B"/>
    <w:rsid w:val="00A03F15"/>
    <w:rsid w:val="00A048A2"/>
    <w:rsid w:val="00A04E00"/>
    <w:rsid w:val="00A06218"/>
    <w:rsid w:val="00A062AF"/>
    <w:rsid w:val="00A10222"/>
    <w:rsid w:val="00A1220B"/>
    <w:rsid w:val="00A12557"/>
    <w:rsid w:val="00A12DE4"/>
    <w:rsid w:val="00A13438"/>
    <w:rsid w:val="00A14094"/>
    <w:rsid w:val="00A14F54"/>
    <w:rsid w:val="00A158ED"/>
    <w:rsid w:val="00A1591E"/>
    <w:rsid w:val="00A17A04"/>
    <w:rsid w:val="00A17C91"/>
    <w:rsid w:val="00A206CD"/>
    <w:rsid w:val="00A20B49"/>
    <w:rsid w:val="00A21422"/>
    <w:rsid w:val="00A23D39"/>
    <w:rsid w:val="00A24003"/>
    <w:rsid w:val="00A25BB7"/>
    <w:rsid w:val="00A2608B"/>
    <w:rsid w:val="00A26CEA"/>
    <w:rsid w:val="00A26D5C"/>
    <w:rsid w:val="00A2704F"/>
    <w:rsid w:val="00A30958"/>
    <w:rsid w:val="00A31837"/>
    <w:rsid w:val="00A33D62"/>
    <w:rsid w:val="00A359FB"/>
    <w:rsid w:val="00A37A1D"/>
    <w:rsid w:val="00A37D26"/>
    <w:rsid w:val="00A408D0"/>
    <w:rsid w:val="00A40ECA"/>
    <w:rsid w:val="00A43E95"/>
    <w:rsid w:val="00A442D9"/>
    <w:rsid w:val="00A44E17"/>
    <w:rsid w:val="00A46382"/>
    <w:rsid w:val="00A47065"/>
    <w:rsid w:val="00A47CA5"/>
    <w:rsid w:val="00A50071"/>
    <w:rsid w:val="00A50927"/>
    <w:rsid w:val="00A5218E"/>
    <w:rsid w:val="00A5315D"/>
    <w:rsid w:val="00A539E3"/>
    <w:rsid w:val="00A54EC4"/>
    <w:rsid w:val="00A565CA"/>
    <w:rsid w:val="00A56FB7"/>
    <w:rsid w:val="00A5726B"/>
    <w:rsid w:val="00A60876"/>
    <w:rsid w:val="00A612C6"/>
    <w:rsid w:val="00A64664"/>
    <w:rsid w:val="00A64D40"/>
    <w:rsid w:val="00A660E8"/>
    <w:rsid w:val="00A70802"/>
    <w:rsid w:val="00A714F9"/>
    <w:rsid w:val="00A73E20"/>
    <w:rsid w:val="00A7416D"/>
    <w:rsid w:val="00A75876"/>
    <w:rsid w:val="00A811FC"/>
    <w:rsid w:val="00A82C2D"/>
    <w:rsid w:val="00A84C8C"/>
    <w:rsid w:val="00A8520F"/>
    <w:rsid w:val="00A852C3"/>
    <w:rsid w:val="00A85722"/>
    <w:rsid w:val="00A86541"/>
    <w:rsid w:val="00A8775C"/>
    <w:rsid w:val="00A87D8C"/>
    <w:rsid w:val="00A909ED"/>
    <w:rsid w:val="00A90E44"/>
    <w:rsid w:val="00A91D93"/>
    <w:rsid w:val="00A92462"/>
    <w:rsid w:val="00A92C8C"/>
    <w:rsid w:val="00A93A5F"/>
    <w:rsid w:val="00A95361"/>
    <w:rsid w:val="00AA0BB2"/>
    <w:rsid w:val="00AA0FE2"/>
    <w:rsid w:val="00AA1195"/>
    <w:rsid w:val="00AA21E1"/>
    <w:rsid w:val="00AA238F"/>
    <w:rsid w:val="00AA2843"/>
    <w:rsid w:val="00AA3009"/>
    <w:rsid w:val="00AB1629"/>
    <w:rsid w:val="00AB2BA2"/>
    <w:rsid w:val="00AB3185"/>
    <w:rsid w:val="00AB4500"/>
    <w:rsid w:val="00AB4B7C"/>
    <w:rsid w:val="00AB4E11"/>
    <w:rsid w:val="00AB6B07"/>
    <w:rsid w:val="00AB6C88"/>
    <w:rsid w:val="00AB6F57"/>
    <w:rsid w:val="00AC000C"/>
    <w:rsid w:val="00AC0223"/>
    <w:rsid w:val="00AC09C8"/>
    <w:rsid w:val="00AC1793"/>
    <w:rsid w:val="00AC37F3"/>
    <w:rsid w:val="00AC3D8D"/>
    <w:rsid w:val="00AC5084"/>
    <w:rsid w:val="00AC6C60"/>
    <w:rsid w:val="00AC6DBA"/>
    <w:rsid w:val="00AC796A"/>
    <w:rsid w:val="00AD084B"/>
    <w:rsid w:val="00AD0FCC"/>
    <w:rsid w:val="00AD23F0"/>
    <w:rsid w:val="00AD386F"/>
    <w:rsid w:val="00AD4BEA"/>
    <w:rsid w:val="00AD6593"/>
    <w:rsid w:val="00AD7093"/>
    <w:rsid w:val="00AE0BB0"/>
    <w:rsid w:val="00AE1BEB"/>
    <w:rsid w:val="00AE1E4D"/>
    <w:rsid w:val="00AE2A2E"/>
    <w:rsid w:val="00AE4194"/>
    <w:rsid w:val="00AE6A12"/>
    <w:rsid w:val="00AE6E16"/>
    <w:rsid w:val="00AE77FD"/>
    <w:rsid w:val="00AF244F"/>
    <w:rsid w:val="00AF27D8"/>
    <w:rsid w:val="00AF3CB7"/>
    <w:rsid w:val="00AF3DAC"/>
    <w:rsid w:val="00AF4021"/>
    <w:rsid w:val="00AF4A69"/>
    <w:rsid w:val="00AF4DEF"/>
    <w:rsid w:val="00AF52EF"/>
    <w:rsid w:val="00AF66F1"/>
    <w:rsid w:val="00AF6862"/>
    <w:rsid w:val="00B02F93"/>
    <w:rsid w:val="00B0346D"/>
    <w:rsid w:val="00B04468"/>
    <w:rsid w:val="00B055FE"/>
    <w:rsid w:val="00B05C28"/>
    <w:rsid w:val="00B07117"/>
    <w:rsid w:val="00B10AC9"/>
    <w:rsid w:val="00B11691"/>
    <w:rsid w:val="00B13E64"/>
    <w:rsid w:val="00B14759"/>
    <w:rsid w:val="00B16356"/>
    <w:rsid w:val="00B17D82"/>
    <w:rsid w:val="00B215C9"/>
    <w:rsid w:val="00B21F47"/>
    <w:rsid w:val="00B22934"/>
    <w:rsid w:val="00B24952"/>
    <w:rsid w:val="00B250BC"/>
    <w:rsid w:val="00B25F24"/>
    <w:rsid w:val="00B262D9"/>
    <w:rsid w:val="00B264F6"/>
    <w:rsid w:val="00B26506"/>
    <w:rsid w:val="00B26BF4"/>
    <w:rsid w:val="00B26C19"/>
    <w:rsid w:val="00B30B35"/>
    <w:rsid w:val="00B312AA"/>
    <w:rsid w:val="00B32BEE"/>
    <w:rsid w:val="00B32D3C"/>
    <w:rsid w:val="00B32D94"/>
    <w:rsid w:val="00B33552"/>
    <w:rsid w:val="00B33BC5"/>
    <w:rsid w:val="00B34803"/>
    <w:rsid w:val="00B3586B"/>
    <w:rsid w:val="00B36680"/>
    <w:rsid w:val="00B42782"/>
    <w:rsid w:val="00B42AED"/>
    <w:rsid w:val="00B436BE"/>
    <w:rsid w:val="00B46208"/>
    <w:rsid w:val="00B4651E"/>
    <w:rsid w:val="00B4697C"/>
    <w:rsid w:val="00B4732B"/>
    <w:rsid w:val="00B536B3"/>
    <w:rsid w:val="00B5539C"/>
    <w:rsid w:val="00B55EC1"/>
    <w:rsid w:val="00B572B8"/>
    <w:rsid w:val="00B60894"/>
    <w:rsid w:val="00B614E2"/>
    <w:rsid w:val="00B61AEF"/>
    <w:rsid w:val="00B63CB1"/>
    <w:rsid w:val="00B640B4"/>
    <w:rsid w:val="00B650A3"/>
    <w:rsid w:val="00B65C6E"/>
    <w:rsid w:val="00B66215"/>
    <w:rsid w:val="00B663E2"/>
    <w:rsid w:val="00B66724"/>
    <w:rsid w:val="00B66C92"/>
    <w:rsid w:val="00B66E21"/>
    <w:rsid w:val="00B67298"/>
    <w:rsid w:val="00B67A1D"/>
    <w:rsid w:val="00B7118D"/>
    <w:rsid w:val="00B71956"/>
    <w:rsid w:val="00B728FB"/>
    <w:rsid w:val="00B72DCB"/>
    <w:rsid w:val="00B735D7"/>
    <w:rsid w:val="00B73BFB"/>
    <w:rsid w:val="00B74AE2"/>
    <w:rsid w:val="00B75E33"/>
    <w:rsid w:val="00B765C1"/>
    <w:rsid w:val="00B76ECD"/>
    <w:rsid w:val="00B8061D"/>
    <w:rsid w:val="00B829FD"/>
    <w:rsid w:val="00B82CE1"/>
    <w:rsid w:val="00B82DFE"/>
    <w:rsid w:val="00B82E06"/>
    <w:rsid w:val="00B837C0"/>
    <w:rsid w:val="00B83912"/>
    <w:rsid w:val="00B83C9E"/>
    <w:rsid w:val="00B84795"/>
    <w:rsid w:val="00B8614F"/>
    <w:rsid w:val="00B865B1"/>
    <w:rsid w:val="00B902F4"/>
    <w:rsid w:val="00B90E6A"/>
    <w:rsid w:val="00B91E1C"/>
    <w:rsid w:val="00B92551"/>
    <w:rsid w:val="00B928D6"/>
    <w:rsid w:val="00B92F82"/>
    <w:rsid w:val="00B9560A"/>
    <w:rsid w:val="00B95A0F"/>
    <w:rsid w:val="00BA0F13"/>
    <w:rsid w:val="00BA1901"/>
    <w:rsid w:val="00BA2B7B"/>
    <w:rsid w:val="00BA459B"/>
    <w:rsid w:val="00BA55AC"/>
    <w:rsid w:val="00BA7C70"/>
    <w:rsid w:val="00BB054E"/>
    <w:rsid w:val="00BB0BBE"/>
    <w:rsid w:val="00BB1C50"/>
    <w:rsid w:val="00BB1E94"/>
    <w:rsid w:val="00BB21BC"/>
    <w:rsid w:val="00BB4C68"/>
    <w:rsid w:val="00BB5280"/>
    <w:rsid w:val="00BC076F"/>
    <w:rsid w:val="00BC0B3B"/>
    <w:rsid w:val="00BC17BF"/>
    <w:rsid w:val="00BC2AFA"/>
    <w:rsid w:val="00BC3260"/>
    <w:rsid w:val="00BC3B85"/>
    <w:rsid w:val="00BC3F24"/>
    <w:rsid w:val="00BC3FF1"/>
    <w:rsid w:val="00BC4D09"/>
    <w:rsid w:val="00BC57DB"/>
    <w:rsid w:val="00BC58A4"/>
    <w:rsid w:val="00BC5CA8"/>
    <w:rsid w:val="00BC6EFD"/>
    <w:rsid w:val="00BC705D"/>
    <w:rsid w:val="00BD0B42"/>
    <w:rsid w:val="00BD2DA4"/>
    <w:rsid w:val="00BD368D"/>
    <w:rsid w:val="00BD372B"/>
    <w:rsid w:val="00BD3AD0"/>
    <w:rsid w:val="00BD44A5"/>
    <w:rsid w:val="00BD4D48"/>
    <w:rsid w:val="00BD5C6F"/>
    <w:rsid w:val="00BD6CF7"/>
    <w:rsid w:val="00BD6E86"/>
    <w:rsid w:val="00BD7821"/>
    <w:rsid w:val="00BD7C40"/>
    <w:rsid w:val="00BE4C5B"/>
    <w:rsid w:val="00BE5191"/>
    <w:rsid w:val="00BE5FC8"/>
    <w:rsid w:val="00BE6876"/>
    <w:rsid w:val="00BE6F81"/>
    <w:rsid w:val="00BE728B"/>
    <w:rsid w:val="00BE7EE7"/>
    <w:rsid w:val="00BF13F4"/>
    <w:rsid w:val="00BF1A47"/>
    <w:rsid w:val="00BF2B98"/>
    <w:rsid w:val="00BF31C7"/>
    <w:rsid w:val="00BF3FB0"/>
    <w:rsid w:val="00BF42C3"/>
    <w:rsid w:val="00BF4769"/>
    <w:rsid w:val="00BF53A0"/>
    <w:rsid w:val="00BF5959"/>
    <w:rsid w:val="00BF6257"/>
    <w:rsid w:val="00BF6DB8"/>
    <w:rsid w:val="00C001AA"/>
    <w:rsid w:val="00C01BB0"/>
    <w:rsid w:val="00C02429"/>
    <w:rsid w:val="00C02574"/>
    <w:rsid w:val="00C03E96"/>
    <w:rsid w:val="00C048C8"/>
    <w:rsid w:val="00C0561A"/>
    <w:rsid w:val="00C06B0A"/>
    <w:rsid w:val="00C06DF5"/>
    <w:rsid w:val="00C07111"/>
    <w:rsid w:val="00C07AC2"/>
    <w:rsid w:val="00C10019"/>
    <w:rsid w:val="00C11793"/>
    <w:rsid w:val="00C11EB5"/>
    <w:rsid w:val="00C124AE"/>
    <w:rsid w:val="00C12746"/>
    <w:rsid w:val="00C13042"/>
    <w:rsid w:val="00C150B7"/>
    <w:rsid w:val="00C16FE2"/>
    <w:rsid w:val="00C178F7"/>
    <w:rsid w:val="00C20793"/>
    <w:rsid w:val="00C20E01"/>
    <w:rsid w:val="00C217C7"/>
    <w:rsid w:val="00C23605"/>
    <w:rsid w:val="00C23CB6"/>
    <w:rsid w:val="00C25314"/>
    <w:rsid w:val="00C26581"/>
    <w:rsid w:val="00C2694F"/>
    <w:rsid w:val="00C2718A"/>
    <w:rsid w:val="00C27B4E"/>
    <w:rsid w:val="00C27DC2"/>
    <w:rsid w:val="00C315DF"/>
    <w:rsid w:val="00C361BD"/>
    <w:rsid w:val="00C40033"/>
    <w:rsid w:val="00C40C27"/>
    <w:rsid w:val="00C40DE3"/>
    <w:rsid w:val="00C423C3"/>
    <w:rsid w:val="00C43348"/>
    <w:rsid w:val="00C43558"/>
    <w:rsid w:val="00C43772"/>
    <w:rsid w:val="00C43C1D"/>
    <w:rsid w:val="00C44C0C"/>
    <w:rsid w:val="00C45035"/>
    <w:rsid w:val="00C46A9C"/>
    <w:rsid w:val="00C46BDF"/>
    <w:rsid w:val="00C47AD6"/>
    <w:rsid w:val="00C47FF0"/>
    <w:rsid w:val="00C5029A"/>
    <w:rsid w:val="00C5203E"/>
    <w:rsid w:val="00C527EF"/>
    <w:rsid w:val="00C52DB8"/>
    <w:rsid w:val="00C54BEC"/>
    <w:rsid w:val="00C55052"/>
    <w:rsid w:val="00C55AB5"/>
    <w:rsid w:val="00C5624D"/>
    <w:rsid w:val="00C5672B"/>
    <w:rsid w:val="00C6250E"/>
    <w:rsid w:val="00C63626"/>
    <w:rsid w:val="00C6382C"/>
    <w:rsid w:val="00C64202"/>
    <w:rsid w:val="00C65BAA"/>
    <w:rsid w:val="00C66149"/>
    <w:rsid w:val="00C70692"/>
    <w:rsid w:val="00C708AD"/>
    <w:rsid w:val="00C708F5"/>
    <w:rsid w:val="00C71E4B"/>
    <w:rsid w:val="00C7266B"/>
    <w:rsid w:val="00C72ADE"/>
    <w:rsid w:val="00C72E4D"/>
    <w:rsid w:val="00C75B72"/>
    <w:rsid w:val="00C801FA"/>
    <w:rsid w:val="00C81E76"/>
    <w:rsid w:val="00C84CA1"/>
    <w:rsid w:val="00C86018"/>
    <w:rsid w:val="00C86516"/>
    <w:rsid w:val="00C86C0D"/>
    <w:rsid w:val="00C91C2F"/>
    <w:rsid w:val="00C91EDB"/>
    <w:rsid w:val="00C93F78"/>
    <w:rsid w:val="00C9598C"/>
    <w:rsid w:val="00C96506"/>
    <w:rsid w:val="00CA03C9"/>
    <w:rsid w:val="00CA1640"/>
    <w:rsid w:val="00CA2444"/>
    <w:rsid w:val="00CA7329"/>
    <w:rsid w:val="00CB1DF4"/>
    <w:rsid w:val="00CB20DB"/>
    <w:rsid w:val="00CB2B3F"/>
    <w:rsid w:val="00CB40EB"/>
    <w:rsid w:val="00CB4822"/>
    <w:rsid w:val="00CB4C42"/>
    <w:rsid w:val="00CB4E71"/>
    <w:rsid w:val="00CB6CBF"/>
    <w:rsid w:val="00CB6E62"/>
    <w:rsid w:val="00CB6EB5"/>
    <w:rsid w:val="00CB7373"/>
    <w:rsid w:val="00CB7862"/>
    <w:rsid w:val="00CB78DD"/>
    <w:rsid w:val="00CB7B47"/>
    <w:rsid w:val="00CB7F0C"/>
    <w:rsid w:val="00CC00BA"/>
    <w:rsid w:val="00CC0E02"/>
    <w:rsid w:val="00CC3B83"/>
    <w:rsid w:val="00CC47BB"/>
    <w:rsid w:val="00CC6061"/>
    <w:rsid w:val="00CC632C"/>
    <w:rsid w:val="00CC7828"/>
    <w:rsid w:val="00CD03B7"/>
    <w:rsid w:val="00CD08D4"/>
    <w:rsid w:val="00CD3349"/>
    <w:rsid w:val="00CD3928"/>
    <w:rsid w:val="00CD4238"/>
    <w:rsid w:val="00CD5267"/>
    <w:rsid w:val="00CE3775"/>
    <w:rsid w:val="00CE5146"/>
    <w:rsid w:val="00CE53EB"/>
    <w:rsid w:val="00CE56F3"/>
    <w:rsid w:val="00CE59F1"/>
    <w:rsid w:val="00CE5C5A"/>
    <w:rsid w:val="00CE7EC2"/>
    <w:rsid w:val="00CF11E1"/>
    <w:rsid w:val="00CF33B8"/>
    <w:rsid w:val="00CF3876"/>
    <w:rsid w:val="00CF3C3B"/>
    <w:rsid w:val="00CF5149"/>
    <w:rsid w:val="00CF6258"/>
    <w:rsid w:val="00CF75C1"/>
    <w:rsid w:val="00D001D2"/>
    <w:rsid w:val="00D00305"/>
    <w:rsid w:val="00D033ED"/>
    <w:rsid w:val="00D04006"/>
    <w:rsid w:val="00D06043"/>
    <w:rsid w:val="00D1121B"/>
    <w:rsid w:val="00D113EC"/>
    <w:rsid w:val="00D1317B"/>
    <w:rsid w:val="00D13291"/>
    <w:rsid w:val="00D13CCD"/>
    <w:rsid w:val="00D1498A"/>
    <w:rsid w:val="00D14F4D"/>
    <w:rsid w:val="00D15139"/>
    <w:rsid w:val="00D152F8"/>
    <w:rsid w:val="00D15F94"/>
    <w:rsid w:val="00D16B9B"/>
    <w:rsid w:val="00D178DD"/>
    <w:rsid w:val="00D17B11"/>
    <w:rsid w:val="00D17DF5"/>
    <w:rsid w:val="00D21E0A"/>
    <w:rsid w:val="00D21E8B"/>
    <w:rsid w:val="00D21EF6"/>
    <w:rsid w:val="00D225C1"/>
    <w:rsid w:val="00D23AB7"/>
    <w:rsid w:val="00D23F4F"/>
    <w:rsid w:val="00D23F53"/>
    <w:rsid w:val="00D24F44"/>
    <w:rsid w:val="00D2532B"/>
    <w:rsid w:val="00D25C20"/>
    <w:rsid w:val="00D25C8F"/>
    <w:rsid w:val="00D27A9A"/>
    <w:rsid w:val="00D3000E"/>
    <w:rsid w:val="00D30BAB"/>
    <w:rsid w:val="00D317A3"/>
    <w:rsid w:val="00D31EA0"/>
    <w:rsid w:val="00D32DF1"/>
    <w:rsid w:val="00D33AA6"/>
    <w:rsid w:val="00D34024"/>
    <w:rsid w:val="00D34463"/>
    <w:rsid w:val="00D35A67"/>
    <w:rsid w:val="00D37643"/>
    <w:rsid w:val="00D408A7"/>
    <w:rsid w:val="00D41224"/>
    <w:rsid w:val="00D41EE7"/>
    <w:rsid w:val="00D42850"/>
    <w:rsid w:val="00D42CA7"/>
    <w:rsid w:val="00D43F27"/>
    <w:rsid w:val="00D45D2C"/>
    <w:rsid w:val="00D46474"/>
    <w:rsid w:val="00D46625"/>
    <w:rsid w:val="00D50FB2"/>
    <w:rsid w:val="00D51DE2"/>
    <w:rsid w:val="00D51F7C"/>
    <w:rsid w:val="00D57CDE"/>
    <w:rsid w:val="00D57EFA"/>
    <w:rsid w:val="00D61BC6"/>
    <w:rsid w:val="00D62B80"/>
    <w:rsid w:val="00D63D28"/>
    <w:rsid w:val="00D63E2F"/>
    <w:rsid w:val="00D64898"/>
    <w:rsid w:val="00D70B56"/>
    <w:rsid w:val="00D71868"/>
    <w:rsid w:val="00D733D8"/>
    <w:rsid w:val="00D73BAB"/>
    <w:rsid w:val="00D74A61"/>
    <w:rsid w:val="00D754D9"/>
    <w:rsid w:val="00D75706"/>
    <w:rsid w:val="00D7610F"/>
    <w:rsid w:val="00D81046"/>
    <w:rsid w:val="00D812D8"/>
    <w:rsid w:val="00D83FE6"/>
    <w:rsid w:val="00D843D8"/>
    <w:rsid w:val="00D84D9A"/>
    <w:rsid w:val="00D85F4B"/>
    <w:rsid w:val="00D86445"/>
    <w:rsid w:val="00D872D8"/>
    <w:rsid w:val="00D878E1"/>
    <w:rsid w:val="00D92489"/>
    <w:rsid w:val="00D92518"/>
    <w:rsid w:val="00D93CF2"/>
    <w:rsid w:val="00D94C44"/>
    <w:rsid w:val="00D95224"/>
    <w:rsid w:val="00D969DE"/>
    <w:rsid w:val="00D97FEC"/>
    <w:rsid w:val="00DA469E"/>
    <w:rsid w:val="00DA4F1D"/>
    <w:rsid w:val="00DB0824"/>
    <w:rsid w:val="00DB1D33"/>
    <w:rsid w:val="00DB28CF"/>
    <w:rsid w:val="00DB2DC7"/>
    <w:rsid w:val="00DB387D"/>
    <w:rsid w:val="00DB3A05"/>
    <w:rsid w:val="00DB4EF7"/>
    <w:rsid w:val="00DB58F3"/>
    <w:rsid w:val="00DB6146"/>
    <w:rsid w:val="00DC2420"/>
    <w:rsid w:val="00DC42DF"/>
    <w:rsid w:val="00DC5320"/>
    <w:rsid w:val="00DC5DEA"/>
    <w:rsid w:val="00DC7257"/>
    <w:rsid w:val="00DD087F"/>
    <w:rsid w:val="00DD1056"/>
    <w:rsid w:val="00DD1214"/>
    <w:rsid w:val="00DD1F9D"/>
    <w:rsid w:val="00DD2444"/>
    <w:rsid w:val="00DD26B5"/>
    <w:rsid w:val="00DD4259"/>
    <w:rsid w:val="00DE05BE"/>
    <w:rsid w:val="00DE3723"/>
    <w:rsid w:val="00DE391E"/>
    <w:rsid w:val="00DE56A0"/>
    <w:rsid w:val="00DE57FE"/>
    <w:rsid w:val="00DE7CB8"/>
    <w:rsid w:val="00DF0BF7"/>
    <w:rsid w:val="00DF1D30"/>
    <w:rsid w:val="00DF2B46"/>
    <w:rsid w:val="00DF3431"/>
    <w:rsid w:val="00DF493D"/>
    <w:rsid w:val="00DF58CB"/>
    <w:rsid w:val="00DF59E9"/>
    <w:rsid w:val="00DF7CF4"/>
    <w:rsid w:val="00E0007F"/>
    <w:rsid w:val="00E00B66"/>
    <w:rsid w:val="00E0123D"/>
    <w:rsid w:val="00E03780"/>
    <w:rsid w:val="00E043EC"/>
    <w:rsid w:val="00E046E4"/>
    <w:rsid w:val="00E048D8"/>
    <w:rsid w:val="00E05ABC"/>
    <w:rsid w:val="00E07CDD"/>
    <w:rsid w:val="00E133B7"/>
    <w:rsid w:val="00E13D75"/>
    <w:rsid w:val="00E14808"/>
    <w:rsid w:val="00E14D79"/>
    <w:rsid w:val="00E15085"/>
    <w:rsid w:val="00E1558D"/>
    <w:rsid w:val="00E16F00"/>
    <w:rsid w:val="00E17D85"/>
    <w:rsid w:val="00E21AA7"/>
    <w:rsid w:val="00E21D5D"/>
    <w:rsid w:val="00E2375E"/>
    <w:rsid w:val="00E268E2"/>
    <w:rsid w:val="00E26DC9"/>
    <w:rsid w:val="00E273AA"/>
    <w:rsid w:val="00E27466"/>
    <w:rsid w:val="00E305A7"/>
    <w:rsid w:val="00E312D1"/>
    <w:rsid w:val="00E31EC0"/>
    <w:rsid w:val="00E322D8"/>
    <w:rsid w:val="00E337F9"/>
    <w:rsid w:val="00E341A1"/>
    <w:rsid w:val="00E35399"/>
    <w:rsid w:val="00E35F3C"/>
    <w:rsid w:val="00E402CD"/>
    <w:rsid w:val="00E408B8"/>
    <w:rsid w:val="00E41000"/>
    <w:rsid w:val="00E41D04"/>
    <w:rsid w:val="00E42859"/>
    <w:rsid w:val="00E43FFA"/>
    <w:rsid w:val="00E445BD"/>
    <w:rsid w:val="00E44CB9"/>
    <w:rsid w:val="00E45A4D"/>
    <w:rsid w:val="00E460B7"/>
    <w:rsid w:val="00E51668"/>
    <w:rsid w:val="00E544C7"/>
    <w:rsid w:val="00E54ED4"/>
    <w:rsid w:val="00E553B6"/>
    <w:rsid w:val="00E579D4"/>
    <w:rsid w:val="00E620C2"/>
    <w:rsid w:val="00E641D4"/>
    <w:rsid w:val="00E645C6"/>
    <w:rsid w:val="00E657C6"/>
    <w:rsid w:val="00E67CD5"/>
    <w:rsid w:val="00E702D4"/>
    <w:rsid w:val="00E70D31"/>
    <w:rsid w:val="00E718F5"/>
    <w:rsid w:val="00E735CD"/>
    <w:rsid w:val="00E8030A"/>
    <w:rsid w:val="00E805E5"/>
    <w:rsid w:val="00E80B25"/>
    <w:rsid w:val="00E80D54"/>
    <w:rsid w:val="00E8156A"/>
    <w:rsid w:val="00E8193B"/>
    <w:rsid w:val="00E81E1E"/>
    <w:rsid w:val="00E8290A"/>
    <w:rsid w:val="00E835BE"/>
    <w:rsid w:val="00E83C70"/>
    <w:rsid w:val="00E84995"/>
    <w:rsid w:val="00E85574"/>
    <w:rsid w:val="00E86197"/>
    <w:rsid w:val="00E86BA1"/>
    <w:rsid w:val="00E87FF3"/>
    <w:rsid w:val="00E90947"/>
    <w:rsid w:val="00E91E7F"/>
    <w:rsid w:val="00E9203B"/>
    <w:rsid w:val="00E92AEE"/>
    <w:rsid w:val="00E92E3D"/>
    <w:rsid w:val="00E92EA7"/>
    <w:rsid w:val="00E9329E"/>
    <w:rsid w:val="00E94253"/>
    <w:rsid w:val="00E942DC"/>
    <w:rsid w:val="00E950BC"/>
    <w:rsid w:val="00E9599A"/>
    <w:rsid w:val="00E9649D"/>
    <w:rsid w:val="00E96C0D"/>
    <w:rsid w:val="00E97B5E"/>
    <w:rsid w:val="00E97BBE"/>
    <w:rsid w:val="00EA19AC"/>
    <w:rsid w:val="00EA1D02"/>
    <w:rsid w:val="00EA2CAA"/>
    <w:rsid w:val="00EA3471"/>
    <w:rsid w:val="00EA48BF"/>
    <w:rsid w:val="00EA6CBD"/>
    <w:rsid w:val="00EA78C3"/>
    <w:rsid w:val="00EA7A05"/>
    <w:rsid w:val="00EB0E18"/>
    <w:rsid w:val="00EB1393"/>
    <w:rsid w:val="00EB2022"/>
    <w:rsid w:val="00EB4522"/>
    <w:rsid w:val="00EB4E50"/>
    <w:rsid w:val="00EB5CE5"/>
    <w:rsid w:val="00EB68E8"/>
    <w:rsid w:val="00EB6FEB"/>
    <w:rsid w:val="00EB70F7"/>
    <w:rsid w:val="00EC255E"/>
    <w:rsid w:val="00EC38D0"/>
    <w:rsid w:val="00EC3A11"/>
    <w:rsid w:val="00EC4F23"/>
    <w:rsid w:val="00EC7688"/>
    <w:rsid w:val="00ED0AF8"/>
    <w:rsid w:val="00ED205C"/>
    <w:rsid w:val="00ED309E"/>
    <w:rsid w:val="00ED492D"/>
    <w:rsid w:val="00ED4F69"/>
    <w:rsid w:val="00ED5317"/>
    <w:rsid w:val="00EE1AA3"/>
    <w:rsid w:val="00EE2174"/>
    <w:rsid w:val="00EE3671"/>
    <w:rsid w:val="00EE3A15"/>
    <w:rsid w:val="00EE3BF0"/>
    <w:rsid w:val="00EF1365"/>
    <w:rsid w:val="00EF146D"/>
    <w:rsid w:val="00EF1B20"/>
    <w:rsid w:val="00EF1F69"/>
    <w:rsid w:val="00EF2541"/>
    <w:rsid w:val="00EF3C8F"/>
    <w:rsid w:val="00EF4028"/>
    <w:rsid w:val="00EF5229"/>
    <w:rsid w:val="00EF72C8"/>
    <w:rsid w:val="00EF7B0B"/>
    <w:rsid w:val="00F003A3"/>
    <w:rsid w:val="00F043E8"/>
    <w:rsid w:val="00F05C47"/>
    <w:rsid w:val="00F05FDE"/>
    <w:rsid w:val="00F07C51"/>
    <w:rsid w:val="00F103E5"/>
    <w:rsid w:val="00F12967"/>
    <w:rsid w:val="00F12DD8"/>
    <w:rsid w:val="00F14BD9"/>
    <w:rsid w:val="00F17D97"/>
    <w:rsid w:val="00F20584"/>
    <w:rsid w:val="00F20735"/>
    <w:rsid w:val="00F21623"/>
    <w:rsid w:val="00F22C8F"/>
    <w:rsid w:val="00F23A92"/>
    <w:rsid w:val="00F23C32"/>
    <w:rsid w:val="00F244F2"/>
    <w:rsid w:val="00F24A24"/>
    <w:rsid w:val="00F30C10"/>
    <w:rsid w:val="00F34623"/>
    <w:rsid w:val="00F35F3B"/>
    <w:rsid w:val="00F369B6"/>
    <w:rsid w:val="00F36A62"/>
    <w:rsid w:val="00F371CC"/>
    <w:rsid w:val="00F377B4"/>
    <w:rsid w:val="00F37C3E"/>
    <w:rsid w:val="00F40A09"/>
    <w:rsid w:val="00F417E3"/>
    <w:rsid w:val="00F42CF8"/>
    <w:rsid w:val="00F430F3"/>
    <w:rsid w:val="00F45967"/>
    <w:rsid w:val="00F47CC7"/>
    <w:rsid w:val="00F5031C"/>
    <w:rsid w:val="00F505F2"/>
    <w:rsid w:val="00F51431"/>
    <w:rsid w:val="00F51A44"/>
    <w:rsid w:val="00F51AFA"/>
    <w:rsid w:val="00F521B2"/>
    <w:rsid w:val="00F56423"/>
    <w:rsid w:val="00F56FEB"/>
    <w:rsid w:val="00F5725C"/>
    <w:rsid w:val="00F57477"/>
    <w:rsid w:val="00F578F4"/>
    <w:rsid w:val="00F60FBA"/>
    <w:rsid w:val="00F610C6"/>
    <w:rsid w:val="00F6191F"/>
    <w:rsid w:val="00F626A4"/>
    <w:rsid w:val="00F679D7"/>
    <w:rsid w:val="00F70E83"/>
    <w:rsid w:val="00F71665"/>
    <w:rsid w:val="00F71ABC"/>
    <w:rsid w:val="00F71BE8"/>
    <w:rsid w:val="00F720AD"/>
    <w:rsid w:val="00F721E0"/>
    <w:rsid w:val="00F72545"/>
    <w:rsid w:val="00F773C7"/>
    <w:rsid w:val="00F803F2"/>
    <w:rsid w:val="00F81ABB"/>
    <w:rsid w:val="00F8275A"/>
    <w:rsid w:val="00F82845"/>
    <w:rsid w:val="00F82D43"/>
    <w:rsid w:val="00F83B02"/>
    <w:rsid w:val="00F84A86"/>
    <w:rsid w:val="00F85CB9"/>
    <w:rsid w:val="00F86B9D"/>
    <w:rsid w:val="00F86EB4"/>
    <w:rsid w:val="00F903D3"/>
    <w:rsid w:val="00F914DE"/>
    <w:rsid w:val="00F9212E"/>
    <w:rsid w:val="00F93842"/>
    <w:rsid w:val="00F93987"/>
    <w:rsid w:val="00F94C82"/>
    <w:rsid w:val="00F956DC"/>
    <w:rsid w:val="00F973A3"/>
    <w:rsid w:val="00FA0476"/>
    <w:rsid w:val="00FA19FD"/>
    <w:rsid w:val="00FA1AD9"/>
    <w:rsid w:val="00FA267D"/>
    <w:rsid w:val="00FA4949"/>
    <w:rsid w:val="00FA6215"/>
    <w:rsid w:val="00FA7BFF"/>
    <w:rsid w:val="00FA7CC9"/>
    <w:rsid w:val="00FB00E2"/>
    <w:rsid w:val="00FB0E4A"/>
    <w:rsid w:val="00FB0F74"/>
    <w:rsid w:val="00FB2A97"/>
    <w:rsid w:val="00FB310D"/>
    <w:rsid w:val="00FB38E1"/>
    <w:rsid w:val="00FB42EF"/>
    <w:rsid w:val="00FB46ED"/>
    <w:rsid w:val="00FB5D64"/>
    <w:rsid w:val="00FB6535"/>
    <w:rsid w:val="00FB79D1"/>
    <w:rsid w:val="00FC21C3"/>
    <w:rsid w:val="00FC348B"/>
    <w:rsid w:val="00FC46CF"/>
    <w:rsid w:val="00FC4EC3"/>
    <w:rsid w:val="00FC643F"/>
    <w:rsid w:val="00FC67D6"/>
    <w:rsid w:val="00FC7099"/>
    <w:rsid w:val="00FD298F"/>
    <w:rsid w:val="00FD2B5D"/>
    <w:rsid w:val="00FD3719"/>
    <w:rsid w:val="00FD4430"/>
    <w:rsid w:val="00FD5301"/>
    <w:rsid w:val="00FD5489"/>
    <w:rsid w:val="00FD6688"/>
    <w:rsid w:val="00FD781E"/>
    <w:rsid w:val="00FD7B56"/>
    <w:rsid w:val="00FE215F"/>
    <w:rsid w:val="00FE2D90"/>
    <w:rsid w:val="00FE4810"/>
    <w:rsid w:val="00FE5DF4"/>
    <w:rsid w:val="00FE789A"/>
    <w:rsid w:val="00FE7A88"/>
    <w:rsid w:val="00FF2A94"/>
    <w:rsid w:val="00FF3297"/>
    <w:rsid w:val="00FF5975"/>
    <w:rsid w:val="00FF5BBF"/>
    <w:rsid w:val="00FF5F15"/>
    <w:rsid w:val="00FF6AFB"/>
    <w:rsid w:val="01A02E74"/>
    <w:rsid w:val="02589A68"/>
    <w:rsid w:val="06B8E206"/>
    <w:rsid w:val="07A1702D"/>
    <w:rsid w:val="07C5478F"/>
    <w:rsid w:val="07C93906"/>
    <w:rsid w:val="082BAED2"/>
    <w:rsid w:val="0A4C33A0"/>
    <w:rsid w:val="0B46B6F8"/>
    <w:rsid w:val="0C477F1A"/>
    <w:rsid w:val="0ECD843F"/>
    <w:rsid w:val="0EEDEC12"/>
    <w:rsid w:val="0FA3801F"/>
    <w:rsid w:val="1076D34B"/>
    <w:rsid w:val="110DA6CD"/>
    <w:rsid w:val="11EC1B11"/>
    <w:rsid w:val="12DBA396"/>
    <w:rsid w:val="13E519EA"/>
    <w:rsid w:val="13F3C815"/>
    <w:rsid w:val="15527014"/>
    <w:rsid w:val="15560B92"/>
    <w:rsid w:val="1AF9727C"/>
    <w:rsid w:val="1B5D8818"/>
    <w:rsid w:val="1BFBED2B"/>
    <w:rsid w:val="1C8E5F0C"/>
    <w:rsid w:val="1DB1AC93"/>
    <w:rsid w:val="1DB7E816"/>
    <w:rsid w:val="207B921F"/>
    <w:rsid w:val="212A8842"/>
    <w:rsid w:val="224BC828"/>
    <w:rsid w:val="22C733FF"/>
    <w:rsid w:val="248E1D42"/>
    <w:rsid w:val="2495DE9A"/>
    <w:rsid w:val="256A5D0D"/>
    <w:rsid w:val="27329BBC"/>
    <w:rsid w:val="2991CB4C"/>
    <w:rsid w:val="2CAAC5A3"/>
    <w:rsid w:val="2F2FBD0D"/>
    <w:rsid w:val="307DB41B"/>
    <w:rsid w:val="30ACB815"/>
    <w:rsid w:val="31606261"/>
    <w:rsid w:val="354D4D97"/>
    <w:rsid w:val="35C56D98"/>
    <w:rsid w:val="360C0A15"/>
    <w:rsid w:val="3615E397"/>
    <w:rsid w:val="3745BE6C"/>
    <w:rsid w:val="3936D775"/>
    <w:rsid w:val="3A8068FF"/>
    <w:rsid w:val="3BD7CB09"/>
    <w:rsid w:val="3C414BF7"/>
    <w:rsid w:val="3CE3D13F"/>
    <w:rsid w:val="3D10CDCE"/>
    <w:rsid w:val="3DA67D86"/>
    <w:rsid w:val="3DDEBC3F"/>
    <w:rsid w:val="416CBAC1"/>
    <w:rsid w:val="41B682B9"/>
    <w:rsid w:val="42B45345"/>
    <w:rsid w:val="43B4A518"/>
    <w:rsid w:val="43F44402"/>
    <w:rsid w:val="4520E279"/>
    <w:rsid w:val="471F5A1A"/>
    <w:rsid w:val="49B1C4B0"/>
    <w:rsid w:val="4A3EDF27"/>
    <w:rsid w:val="4AC74385"/>
    <w:rsid w:val="4C048761"/>
    <w:rsid w:val="4C802D61"/>
    <w:rsid w:val="4D7F31C7"/>
    <w:rsid w:val="4DFB8765"/>
    <w:rsid w:val="4F047C0C"/>
    <w:rsid w:val="536993C6"/>
    <w:rsid w:val="54E764B8"/>
    <w:rsid w:val="5586479D"/>
    <w:rsid w:val="561A13C9"/>
    <w:rsid w:val="581EA6F5"/>
    <w:rsid w:val="58218622"/>
    <w:rsid w:val="5841120B"/>
    <w:rsid w:val="5851B259"/>
    <w:rsid w:val="595A64F1"/>
    <w:rsid w:val="5C1F2CA4"/>
    <w:rsid w:val="5C9F678F"/>
    <w:rsid w:val="5CD8DC4A"/>
    <w:rsid w:val="5D96FA3B"/>
    <w:rsid w:val="5DD13105"/>
    <w:rsid w:val="5F938BD2"/>
    <w:rsid w:val="6010A460"/>
    <w:rsid w:val="6084A565"/>
    <w:rsid w:val="615E1C9E"/>
    <w:rsid w:val="63A2E15C"/>
    <w:rsid w:val="63F87F81"/>
    <w:rsid w:val="63FC3A37"/>
    <w:rsid w:val="64E0068C"/>
    <w:rsid w:val="6633C381"/>
    <w:rsid w:val="6768ED3A"/>
    <w:rsid w:val="68A264F5"/>
    <w:rsid w:val="69238AEC"/>
    <w:rsid w:val="6958C941"/>
    <w:rsid w:val="699810B6"/>
    <w:rsid w:val="6BC7D2DE"/>
    <w:rsid w:val="6C4FA2F5"/>
    <w:rsid w:val="6C8EF34C"/>
    <w:rsid w:val="6DC962AD"/>
    <w:rsid w:val="6E73E08F"/>
    <w:rsid w:val="6FF3C373"/>
    <w:rsid w:val="7091CCA8"/>
    <w:rsid w:val="71BF8DC0"/>
    <w:rsid w:val="73C25E0A"/>
    <w:rsid w:val="76EC1CF9"/>
    <w:rsid w:val="7773A9B3"/>
    <w:rsid w:val="78D332A5"/>
    <w:rsid w:val="7A9D91DC"/>
    <w:rsid w:val="7BB798CA"/>
    <w:rsid w:val="7C4CE091"/>
    <w:rsid w:val="7DBF67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6C2A11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536A"/>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locked/>
    <w:rsid w:val="00035D9B"/>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85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5574"/>
    <w:pPr>
      <w:ind w:left="720"/>
      <w:contextualSpacing/>
    </w:pPr>
  </w:style>
  <w:style w:type="paragraph" w:styleId="Kopfzeile">
    <w:name w:val="header"/>
    <w:basedOn w:val="Standard"/>
    <w:link w:val="KopfzeileZchn"/>
    <w:uiPriority w:val="99"/>
    <w:rsid w:val="008A03F5"/>
    <w:pPr>
      <w:tabs>
        <w:tab w:val="center" w:pos="4536"/>
        <w:tab w:val="right" w:pos="9072"/>
      </w:tabs>
      <w:spacing w:after="0" w:line="240" w:lineRule="auto"/>
    </w:pPr>
  </w:style>
  <w:style w:type="character" w:customStyle="1" w:styleId="KopfzeileZchn">
    <w:name w:val="Kopfzeile Zchn"/>
    <w:link w:val="Kopfzeile"/>
    <w:uiPriority w:val="99"/>
    <w:locked/>
    <w:rsid w:val="008A03F5"/>
    <w:rPr>
      <w:rFonts w:cs="Times New Roman"/>
    </w:rPr>
  </w:style>
  <w:style w:type="paragraph" w:styleId="Fuzeile">
    <w:name w:val="footer"/>
    <w:basedOn w:val="Standard"/>
    <w:link w:val="FuzeileZchn"/>
    <w:uiPriority w:val="99"/>
    <w:rsid w:val="008A03F5"/>
    <w:pPr>
      <w:tabs>
        <w:tab w:val="center" w:pos="4536"/>
        <w:tab w:val="right" w:pos="9072"/>
      </w:tabs>
      <w:spacing w:after="0" w:line="240" w:lineRule="auto"/>
    </w:pPr>
  </w:style>
  <w:style w:type="character" w:customStyle="1" w:styleId="FuzeileZchn">
    <w:name w:val="Fußzeile Zchn"/>
    <w:link w:val="Fuzeile"/>
    <w:uiPriority w:val="99"/>
    <w:locked/>
    <w:rsid w:val="008A03F5"/>
    <w:rPr>
      <w:rFonts w:cs="Times New Roman"/>
    </w:rPr>
  </w:style>
  <w:style w:type="character" w:styleId="Kommentarzeichen">
    <w:name w:val="annotation reference"/>
    <w:uiPriority w:val="99"/>
    <w:semiHidden/>
    <w:rsid w:val="005A2C65"/>
    <w:rPr>
      <w:rFonts w:cs="Times New Roman"/>
      <w:sz w:val="16"/>
      <w:szCs w:val="16"/>
    </w:rPr>
  </w:style>
  <w:style w:type="paragraph" w:styleId="Kommentartext">
    <w:name w:val="annotation text"/>
    <w:basedOn w:val="Standard"/>
    <w:link w:val="KommentartextZchn"/>
    <w:uiPriority w:val="99"/>
    <w:rsid w:val="005A2C65"/>
    <w:pPr>
      <w:spacing w:line="240" w:lineRule="auto"/>
    </w:pPr>
    <w:rPr>
      <w:sz w:val="20"/>
      <w:szCs w:val="20"/>
    </w:rPr>
  </w:style>
  <w:style w:type="character" w:customStyle="1" w:styleId="KommentartextZchn">
    <w:name w:val="Kommentartext Zchn"/>
    <w:link w:val="Kommentartext"/>
    <w:uiPriority w:val="99"/>
    <w:locked/>
    <w:rsid w:val="005A2C65"/>
    <w:rPr>
      <w:rFonts w:cs="Times New Roman"/>
      <w:sz w:val="20"/>
      <w:szCs w:val="20"/>
    </w:rPr>
  </w:style>
  <w:style w:type="paragraph" w:styleId="Kommentarthema">
    <w:name w:val="annotation subject"/>
    <w:basedOn w:val="Kommentartext"/>
    <w:next w:val="Kommentartext"/>
    <w:link w:val="KommentarthemaZchn"/>
    <w:uiPriority w:val="99"/>
    <w:semiHidden/>
    <w:rsid w:val="005A2C65"/>
    <w:rPr>
      <w:b/>
      <w:bCs/>
    </w:rPr>
  </w:style>
  <w:style w:type="character" w:customStyle="1" w:styleId="KommentarthemaZchn">
    <w:name w:val="Kommentarthema Zchn"/>
    <w:link w:val="Kommentarthema"/>
    <w:uiPriority w:val="99"/>
    <w:semiHidden/>
    <w:locked/>
    <w:rsid w:val="005A2C65"/>
    <w:rPr>
      <w:rFonts w:cs="Times New Roman"/>
      <w:b/>
      <w:bCs/>
      <w:sz w:val="20"/>
      <w:szCs w:val="20"/>
    </w:rPr>
  </w:style>
  <w:style w:type="paragraph" w:styleId="Sprechblasentext">
    <w:name w:val="Balloon Text"/>
    <w:basedOn w:val="Standard"/>
    <w:link w:val="SprechblasentextZchn"/>
    <w:uiPriority w:val="99"/>
    <w:semiHidden/>
    <w:rsid w:val="005A2C6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5A2C65"/>
    <w:rPr>
      <w:rFonts w:ascii="Tahoma" w:hAnsi="Tahoma" w:cs="Tahoma"/>
      <w:sz w:val="16"/>
      <w:szCs w:val="16"/>
    </w:rPr>
  </w:style>
  <w:style w:type="paragraph" w:styleId="berarbeitung">
    <w:name w:val="Revision"/>
    <w:hidden/>
    <w:uiPriority w:val="99"/>
    <w:semiHidden/>
    <w:rsid w:val="00180691"/>
    <w:rPr>
      <w:sz w:val="22"/>
      <w:szCs w:val="22"/>
      <w:lang w:val="de-DE" w:eastAsia="en-US"/>
    </w:rPr>
  </w:style>
  <w:style w:type="character" w:styleId="Hyperlink">
    <w:name w:val="Hyperlink"/>
    <w:uiPriority w:val="99"/>
    <w:unhideWhenUsed/>
    <w:rsid w:val="00E00B66"/>
    <w:rPr>
      <w:color w:val="0000FF"/>
      <w:u w:val="single"/>
    </w:rPr>
  </w:style>
  <w:style w:type="character" w:customStyle="1" w:styleId="berschrift1Zchn">
    <w:name w:val="Überschrift 1 Zchn"/>
    <w:link w:val="berschrift1"/>
    <w:uiPriority w:val="9"/>
    <w:rsid w:val="00035D9B"/>
    <w:rPr>
      <w:rFonts w:ascii="Cambria" w:eastAsia="Times New Roman" w:hAnsi="Cambria" w:cs="Times New Roman"/>
      <w:b/>
      <w:bCs/>
      <w:color w:val="365F91"/>
      <w:sz w:val="28"/>
      <w:szCs w:val="28"/>
      <w:lang w:eastAsia="en-US"/>
    </w:rPr>
  </w:style>
  <w:style w:type="character" w:styleId="Funotenzeichen">
    <w:name w:val="footnote reference"/>
    <w:uiPriority w:val="99"/>
    <w:semiHidden/>
    <w:rsid w:val="00035D9B"/>
    <w:rPr>
      <w:rFonts w:cs="Times New Roman"/>
      <w:position w:val="6"/>
      <w:sz w:val="16"/>
      <w:szCs w:val="16"/>
    </w:rPr>
  </w:style>
  <w:style w:type="paragraph" w:styleId="Funotentext">
    <w:name w:val="footnote text"/>
    <w:basedOn w:val="Standard"/>
    <w:link w:val="FunotentextZchn"/>
    <w:uiPriority w:val="99"/>
    <w:semiHidden/>
    <w:rsid w:val="00035D9B"/>
    <w:pPr>
      <w:spacing w:after="0" w:line="240" w:lineRule="auto"/>
    </w:pPr>
    <w:rPr>
      <w:rFonts w:ascii="Arial" w:eastAsia="Times New Roman" w:hAnsi="Arial" w:cs="Arial"/>
      <w:lang w:eastAsia="de-DE"/>
    </w:rPr>
  </w:style>
  <w:style w:type="character" w:customStyle="1" w:styleId="FunotentextZchn">
    <w:name w:val="Fußnotentext Zchn"/>
    <w:link w:val="Funotentext"/>
    <w:uiPriority w:val="99"/>
    <w:semiHidden/>
    <w:rsid w:val="00035D9B"/>
    <w:rPr>
      <w:rFonts w:ascii="Arial" w:eastAsia="Times New Roman" w:hAnsi="Arial" w:cs="Arial"/>
    </w:rPr>
  </w:style>
  <w:style w:type="paragraph" w:styleId="Beschriftung">
    <w:name w:val="caption"/>
    <w:basedOn w:val="Standard"/>
    <w:next w:val="Standard"/>
    <w:unhideWhenUsed/>
    <w:qFormat/>
    <w:locked/>
    <w:rsid w:val="001B40D1"/>
    <w:rPr>
      <w:b/>
      <w:bCs/>
      <w:sz w:val="20"/>
      <w:szCs w:val="20"/>
    </w:rPr>
  </w:style>
  <w:style w:type="paragraph" w:customStyle="1" w:styleId="Default">
    <w:name w:val="Default"/>
    <w:rsid w:val="00CB2B3F"/>
    <w:pPr>
      <w:autoSpaceDE w:val="0"/>
      <w:autoSpaceDN w:val="0"/>
      <w:adjustRightInd w:val="0"/>
    </w:pPr>
    <w:rPr>
      <w:rFonts w:cs="Calibri"/>
      <w:color w:val="000000"/>
      <w:sz w:val="24"/>
      <w:szCs w:val="24"/>
      <w:lang w:val="de-DE" w:eastAsia="de-DE"/>
    </w:rPr>
  </w:style>
  <w:style w:type="table" w:styleId="TabellemithellemGitternetz">
    <w:name w:val="Grid Table Light"/>
    <w:basedOn w:val="NormaleTabelle"/>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Standard"/>
    <w:rsid w:val="00D21E0A"/>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normaltextrun">
    <w:name w:val="normaltextrun"/>
    <w:basedOn w:val="Absatz-Standardschriftart"/>
    <w:rsid w:val="00D21E0A"/>
  </w:style>
  <w:style w:type="paragraph" w:styleId="StandardWeb">
    <w:name w:val="Normal (Web)"/>
    <w:basedOn w:val="Standard"/>
    <w:uiPriority w:val="99"/>
    <w:unhideWhenUsed/>
    <w:rsid w:val="00BE6F81"/>
    <w:pPr>
      <w:spacing w:before="100" w:beforeAutospacing="1" w:after="100" w:afterAutospacing="1" w:line="240" w:lineRule="auto"/>
    </w:pPr>
    <w:rPr>
      <w:rFonts w:ascii="Times New Roman" w:eastAsia="Times New Roman" w:hAnsi="Times New Roman"/>
      <w:sz w:val="24"/>
      <w:szCs w:val="24"/>
      <w:lang w:val="en-US"/>
    </w:rPr>
  </w:style>
  <w:style w:type="table" w:styleId="HelleListe-Akzent1">
    <w:name w:val="Light List Accent 1"/>
    <w:basedOn w:val="NormaleTabelle"/>
    <w:uiPriority w:val="61"/>
    <w:rsid w:val="00BE6F81"/>
    <w:rPr>
      <w:rFonts w:asciiTheme="minorHAnsi" w:eastAsiaTheme="minorHAnsi" w:hAnsiTheme="minorHAnsi" w:cstheme="minorBidi"/>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6210">
      <w:bodyDiv w:val="1"/>
      <w:marLeft w:val="0"/>
      <w:marRight w:val="0"/>
      <w:marTop w:val="0"/>
      <w:marBottom w:val="0"/>
      <w:divBdr>
        <w:top w:val="none" w:sz="0" w:space="0" w:color="auto"/>
        <w:left w:val="none" w:sz="0" w:space="0" w:color="auto"/>
        <w:bottom w:val="none" w:sz="0" w:space="0" w:color="auto"/>
        <w:right w:val="none" w:sz="0" w:space="0" w:color="auto"/>
      </w:divBdr>
    </w:div>
    <w:div w:id="127282217">
      <w:bodyDiv w:val="1"/>
      <w:marLeft w:val="0"/>
      <w:marRight w:val="0"/>
      <w:marTop w:val="0"/>
      <w:marBottom w:val="0"/>
      <w:divBdr>
        <w:top w:val="none" w:sz="0" w:space="0" w:color="auto"/>
        <w:left w:val="none" w:sz="0" w:space="0" w:color="auto"/>
        <w:bottom w:val="none" w:sz="0" w:space="0" w:color="auto"/>
        <w:right w:val="none" w:sz="0" w:space="0" w:color="auto"/>
      </w:divBdr>
    </w:div>
    <w:div w:id="194391147">
      <w:bodyDiv w:val="1"/>
      <w:marLeft w:val="0"/>
      <w:marRight w:val="0"/>
      <w:marTop w:val="0"/>
      <w:marBottom w:val="0"/>
      <w:divBdr>
        <w:top w:val="none" w:sz="0" w:space="0" w:color="auto"/>
        <w:left w:val="none" w:sz="0" w:space="0" w:color="auto"/>
        <w:bottom w:val="none" w:sz="0" w:space="0" w:color="auto"/>
        <w:right w:val="none" w:sz="0" w:space="0" w:color="auto"/>
      </w:divBdr>
    </w:div>
    <w:div w:id="395982013">
      <w:bodyDiv w:val="1"/>
      <w:marLeft w:val="0"/>
      <w:marRight w:val="0"/>
      <w:marTop w:val="0"/>
      <w:marBottom w:val="0"/>
      <w:divBdr>
        <w:top w:val="none" w:sz="0" w:space="0" w:color="auto"/>
        <w:left w:val="none" w:sz="0" w:space="0" w:color="auto"/>
        <w:bottom w:val="none" w:sz="0" w:space="0" w:color="auto"/>
        <w:right w:val="none" w:sz="0" w:space="0" w:color="auto"/>
      </w:divBdr>
    </w:div>
    <w:div w:id="473982863">
      <w:bodyDiv w:val="1"/>
      <w:marLeft w:val="0"/>
      <w:marRight w:val="0"/>
      <w:marTop w:val="0"/>
      <w:marBottom w:val="0"/>
      <w:divBdr>
        <w:top w:val="none" w:sz="0" w:space="0" w:color="auto"/>
        <w:left w:val="none" w:sz="0" w:space="0" w:color="auto"/>
        <w:bottom w:val="none" w:sz="0" w:space="0" w:color="auto"/>
        <w:right w:val="none" w:sz="0" w:space="0" w:color="auto"/>
      </w:divBdr>
    </w:div>
    <w:div w:id="538248756">
      <w:bodyDiv w:val="1"/>
      <w:marLeft w:val="0"/>
      <w:marRight w:val="0"/>
      <w:marTop w:val="0"/>
      <w:marBottom w:val="0"/>
      <w:divBdr>
        <w:top w:val="none" w:sz="0" w:space="0" w:color="auto"/>
        <w:left w:val="none" w:sz="0" w:space="0" w:color="auto"/>
        <w:bottom w:val="none" w:sz="0" w:space="0" w:color="auto"/>
        <w:right w:val="none" w:sz="0" w:space="0" w:color="auto"/>
      </w:divBdr>
    </w:div>
    <w:div w:id="670836891">
      <w:bodyDiv w:val="1"/>
      <w:marLeft w:val="0"/>
      <w:marRight w:val="0"/>
      <w:marTop w:val="0"/>
      <w:marBottom w:val="0"/>
      <w:divBdr>
        <w:top w:val="none" w:sz="0" w:space="0" w:color="auto"/>
        <w:left w:val="none" w:sz="0" w:space="0" w:color="auto"/>
        <w:bottom w:val="none" w:sz="0" w:space="0" w:color="auto"/>
        <w:right w:val="none" w:sz="0" w:space="0" w:color="auto"/>
      </w:divBdr>
    </w:div>
    <w:div w:id="710886651">
      <w:bodyDiv w:val="1"/>
      <w:marLeft w:val="0"/>
      <w:marRight w:val="0"/>
      <w:marTop w:val="0"/>
      <w:marBottom w:val="0"/>
      <w:divBdr>
        <w:top w:val="none" w:sz="0" w:space="0" w:color="auto"/>
        <w:left w:val="none" w:sz="0" w:space="0" w:color="auto"/>
        <w:bottom w:val="none" w:sz="0" w:space="0" w:color="auto"/>
        <w:right w:val="none" w:sz="0" w:space="0" w:color="auto"/>
      </w:divBdr>
    </w:div>
    <w:div w:id="711884596">
      <w:bodyDiv w:val="1"/>
      <w:marLeft w:val="0"/>
      <w:marRight w:val="0"/>
      <w:marTop w:val="0"/>
      <w:marBottom w:val="0"/>
      <w:divBdr>
        <w:top w:val="none" w:sz="0" w:space="0" w:color="auto"/>
        <w:left w:val="none" w:sz="0" w:space="0" w:color="auto"/>
        <w:bottom w:val="none" w:sz="0" w:space="0" w:color="auto"/>
        <w:right w:val="none" w:sz="0" w:space="0" w:color="auto"/>
      </w:divBdr>
    </w:div>
    <w:div w:id="730810555">
      <w:bodyDiv w:val="1"/>
      <w:marLeft w:val="0"/>
      <w:marRight w:val="0"/>
      <w:marTop w:val="0"/>
      <w:marBottom w:val="0"/>
      <w:divBdr>
        <w:top w:val="none" w:sz="0" w:space="0" w:color="auto"/>
        <w:left w:val="none" w:sz="0" w:space="0" w:color="auto"/>
        <w:bottom w:val="none" w:sz="0" w:space="0" w:color="auto"/>
        <w:right w:val="none" w:sz="0" w:space="0" w:color="auto"/>
      </w:divBdr>
    </w:div>
    <w:div w:id="781268707">
      <w:bodyDiv w:val="1"/>
      <w:marLeft w:val="0"/>
      <w:marRight w:val="0"/>
      <w:marTop w:val="0"/>
      <w:marBottom w:val="0"/>
      <w:divBdr>
        <w:top w:val="none" w:sz="0" w:space="0" w:color="auto"/>
        <w:left w:val="none" w:sz="0" w:space="0" w:color="auto"/>
        <w:bottom w:val="none" w:sz="0" w:space="0" w:color="auto"/>
        <w:right w:val="none" w:sz="0" w:space="0" w:color="auto"/>
      </w:divBdr>
    </w:div>
    <w:div w:id="896208452">
      <w:bodyDiv w:val="1"/>
      <w:marLeft w:val="0"/>
      <w:marRight w:val="0"/>
      <w:marTop w:val="0"/>
      <w:marBottom w:val="0"/>
      <w:divBdr>
        <w:top w:val="none" w:sz="0" w:space="0" w:color="auto"/>
        <w:left w:val="none" w:sz="0" w:space="0" w:color="auto"/>
        <w:bottom w:val="none" w:sz="0" w:space="0" w:color="auto"/>
        <w:right w:val="none" w:sz="0" w:space="0" w:color="auto"/>
      </w:divBdr>
    </w:div>
    <w:div w:id="909733531">
      <w:bodyDiv w:val="1"/>
      <w:marLeft w:val="0"/>
      <w:marRight w:val="0"/>
      <w:marTop w:val="0"/>
      <w:marBottom w:val="0"/>
      <w:divBdr>
        <w:top w:val="none" w:sz="0" w:space="0" w:color="auto"/>
        <w:left w:val="none" w:sz="0" w:space="0" w:color="auto"/>
        <w:bottom w:val="none" w:sz="0" w:space="0" w:color="auto"/>
        <w:right w:val="none" w:sz="0" w:space="0" w:color="auto"/>
      </w:divBdr>
    </w:div>
    <w:div w:id="953100023">
      <w:bodyDiv w:val="1"/>
      <w:marLeft w:val="0"/>
      <w:marRight w:val="0"/>
      <w:marTop w:val="0"/>
      <w:marBottom w:val="0"/>
      <w:divBdr>
        <w:top w:val="none" w:sz="0" w:space="0" w:color="auto"/>
        <w:left w:val="none" w:sz="0" w:space="0" w:color="auto"/>
        <w:bottom w:val="none" w:sz="0" w:space="0" w:color="auto"/>
        <w:right w:val="none" w:sz="0" w:space="0" w:color="auto"/>
      </w:divBdr>
    </w:div>
    <w:div w:id="970751227">
      <w:bodyDiv w:val="1"/>
      <w:marLeft w:val="0"/>
      <w:marRight w:val="0"/>
      <w:marTop w:val="0"/>
      <w:marBottom w:val="0"/>
      <w:divBdr>
        <w:top w:val="none" w:sz="0" w:space="0" w:color="auto"/>
        <w:left w:val="none" w:sz="0" w:space="0" w:color="auto"/>
        <w:bottom w:val="none" w:sz="0" w:space="0" w:color="auto"/>
        <w:right w:val="none" w:sz="0" w:space="0" w:color="auto"/>
      </w:divBdr>
    </w:div>
    <w:div w:id="1105265993">
      <w:bodyDiv w:val="1"/>
      <w:marLeft w:val="0"/>
      <w:marRight w:val="0"/>
      <w:marTop w:val="0"/>
      <w:marBottom w:val="0"/>
      <w:divBdr>
        <w:top w:val="none" w:sz="0" w:space="0" w:color="auto"/>
        <w:left w:val="none" w:sz="0" w:space="0" w:color="auto"/>
        <w:bottom w:val="none" w:sz="0" w:space="0" w:color="auto"/>
        <w:right w:val="none" w:sz="0" w:space="0" w:color="auto"/>
      </w:divBdr>
    </w:div>
    <w:div w:id="1128813598">
      <w:bodyDiv w:val="1"/>
      <w:marLeft w:val="0"/>
      <w:marRight w:val="0"/>
      <w:marTop w:val="0"/>
      <w:marBottom w:val="0"/>
      <w:divBdr>
        <w:top w:val="none" w:sz="0" w:space="0" w:color="auto"/>
        <w:left w:val="none" w:sz="0" w:space="0" w:color="auto"/>
        <w:bottom w:val="none" w:sz="0" w:space="0" w:color="auto"/>
        <w:right w:val="none" w:sz="0" w:space="0" w:color="auto"/>
      </w:divBdr>
    </w:div>
    <w:div w:id="1281955147">
      <w:bodyDiv w:val="1"/>
      <w:marLeft w:val="0"/>
      <w:marRight w:val="0"/>
      <w:marTop w:val="0"/>
      <w:marBottom w:val="0"/>
      <w:divBdr>
        <w:top w:val="none" w:sz="0" w:space="0" w:color="auto"/>
        <w:left w:val="none" w:sz="0" w:space="0" w:color="auto"/>
        <w:bottom w:val="none" w:sz="0" w:space="0" w:color="auto"/>
        <w:right w:val="none" w:sz="0" w:space="0" w:color="auto"/>
      </w:divBdr>
    </w:div>
    <w:div w:id="1479885959">
      <w:bodyDiv w:val="1"/>
      <w:marLeft w:val="0"/>
      <w:marRight w:val="0"/>
      <w:marTop w:val="0"/>
      <w:marBottom w:val="0"/>
      <w:divBdr>
        <w:top w:val="none" w:sz="0" w:space="0" w:color="auto"/>
        <w:left w:val="none" w:sz="0" w:space="0" w:color="auto"/>
        <w:bottom w:val="none" w:sz="0" w:space="0" w:color="auto"/>
        <w:right w:val="none" w:sz="0" w:space="0" w:color="auto"/>
      </w:divBdr>
    </w:div>
    <w:div w:id="1531262839">
      <w:bodyDiv w:val="1"/>
      <w:marLeft w:val="0"/>
      <w:marRight w:val="0"/>
      <w:marTop w:val="0"/>
      <w:marBottom w:val="0"/>
      <w:divBdr>
        <w:top w:val="none" w:sz="0" w:space="0" w:color="auto"/>
        <w:left w:val="none" w:sz="0" w:space="0" w:color="auto"/>
        <w:bottom w:val="none" w:sz="0" w:space="0" w:color="auto"/>
        <w:right w:val="none" w:sz="0" w:space="0" w:color="auto"/>
      </w:divBdr>
    </w:div>
    <w:div w:id="1555001848">
      <w:bodyDiv w:val="1"/>
      <w:marLeft w:val="0"/>
      <w:marRight w:val="0"/>
      <w:marTop w:val="0"/>
      <w:marBottom w:val="0"/>
      <w:divBdr>
        <w:top w:val="none" w:sz="0" w:space="0" w:color="auto"/>
        <w:left w:val="none" w:sz="0" w:space="0" w:color="auto"/>
        <w:bottom w:val="none" w:sz="0" w:space="0" w:color="auto"/>
        <w:right w:val="none" w:sz="0" w:space="0" w:color="auto"/>
      </w:divBdr>
    </w:div>
    <w:div w:id="1671761913">
      <w:bodyDiv w:val="1"/>
      <w:marLeft w:val="0"/>
      <w:marRight w:val="0"/>
      <w:marTop w:val="0"/>
      <w:marBottom w:val="0"/>
      <w:divBdr>
        <w:top w:val="none" w:sz="0" w:space="0" w:color="auto"/>
        <w:left w:val="none" w:sz="0" w:space="0" w:color="auto"/>
        <w:bottom w:val="none" w:sz="0" w:space="0" w:color="auto"/>
        <w:right w:val="none" w:sz="0" w:space="0" w:color="auto"/>
      </w:divBdr>
    </w:div>
    <w:div w:id="1680618335">
      <w:bodyDiv w:val="1"/>
      <w:marLeft w:val="0"/>
      <w:marRight w:val="0"/>
      <w:marTop w:val="0"/>
      <w:marBottom w:val="0"/>
      <w:divBdr>
        <w:top w:val="none" w:sz="0" w:space="0" w:color="auto"/>
        <w:left w:val="none" w:sz="0" w:space="0" w:color="auto"/>
        <w:bottom w:val="none" w:sz="0" w:space="0" w:color="auto"/>
        <w:right w:val="none" w:sz="0" w:space="0" w:color="auto"/>
      </w:divBdr>
    </w:div>
    <w:div w:id="1693413993">
      <w:bodyDiv w:val="1"/>
      <w:marLeft w:val="0"/>
      <w:marRight w:val="0"/>
      <w:marTop w:val="0"/>
      <w:marBottom w:val="0"/>
      <w:divBdr>
        <w:top w:val="none" w:sz="0" w:space="0" w:color="auto"/>
        <w:left w:val="none" w:sz="0" w:space="0" w:color="auto"/>
        <w:bottom w:val="none" w:sz="0" w:space="0" w:color="auto"/>
        <w:right w:val="none" w:sz="0" w:space="0" w:color="auto"/>
      </w:divBdr>
    </w:div>
    <w:div w:id="1739357629">
      <w:bodyDiv w:val="1"/>
      <w:marLeft w:val="0"/>
      <w:marRight w:val="0"/>
      <w:marTop w:val="0"/>
      <w:marBottom w:val="0"/>
      <w:divBdr>
        <w:top w:val="none" w:sz="0" w:space="0" w:color="auto"/>
        <w:left w:val="none" w:sz="0" w:space="0" w:color="auto"/>
        <w:bottom w:val="none" w:sz="0" w:space="0" w:color="auto"/>
        <w:right w:val="none" w:sz="0" w:space="0" w:color="auto"/>
      </w:divBdr>
    </w:div>
    <w:div w:id="1763263413">
      <w:bodyDiv w:val="1"/>
      <w:marLeft w:val="0"/>
      <w:marRight w:val="0"/>
      <w:marTop w:val="0"/>
      <w:marBottom w:val="0"/>
      <w:divBdr>
        <w:top w:val="none" w:sz="0" w:space="0" w:color="auto"/>
        <w:left w:val="none" w:sz="0" w:space="0" w:color="auto"/>
        <w:bottom w:val="none" w:sz="0" w:space="0" w:color="auto"/>
        <w:right w:val="none" w:sz="0" w:space="0" w:color="auto"/>
      </w:divBdr>
    </w:div>
    <w:div w:id="1834564423">
      <w:bodyDiv w:val="1"/>
      <w:marLeft w:val="0"/>
      <w:marRight w:val="0"/>
      <w:marTop w:val="0"/>
      <w:marBottom w:val="0"/>
      <w:divBdr>
        <w:top w:val="none" w:sz="0" w:space="0" w:color="auto"/>
        <w:left w:val="none" w:sz="0" w:space="0" w:color="auto"/>
        <w:bottom w:val="none" w:sz="0" w:space="0" w:color="auto"/>
        <w:right w:val="none" w:sz="0" w:space="0" w:color="auto"/>
      </w:divBdr>
    </w:div>
    <w:div w:id="1834758051">
      <w:bodyDiv w:val="1"/>
      <w:marLeft w:val="0"/>
      <w:marRight w:val="0"/>
      <w:marTop w:val="0"/>
      <w:marBottom w:val="0"/>
      <w:divBdr>
        <w:top w:val="none" w:sz="0" w:space="0" w:color="auto"/>
        <w:left w:val="none" w:sz="0" w:space="0" w:color="auto"/>
        <w:bottom w:val="none" w:sz="0" w:space="0" w:color="auto"/>
        <w:right w:val="none" w:sz="0" w:space="0" w:color="auto"/>
      </w:divBdr>
    </w:div>
    <w:div w:id="1835219374">
      <w:bodyDiv w:val="1"/>
      <w:marLeft w:val="0"/>
      <w:marRight w:val="0"/>
      <w:marTop w:val="0"/>
      <w:marBottom w:val="0"/>
      <w:divBdr>
        <w:top w:val="none" w:sz="0" w:space="0" w:color="auto"/>
        <w:left w:val="none" w:sz="0" w:space="0" w:color="auto"/>
        <w:bottom w:val="none" w:sz="0" w:space="0" w:color="auto"/>
        <w:right w:val="none" w:sz="0" w:space="0" w:color="auto"/>
      </w:divBdr>
    </w:div>
    <w:div w:id="1902524227">
      <w:bodyDiv w:val="1"/>
      <w:marLeft w:val="0"/>
      <w:marRight w:val="0"/>
      <w:marTop w:val="0"/>
      <w:marBottom w:val="0"/>
      <w:divBdr>
        <w:top w:val="none" w:sz="0" w:space="0" w:color="auto"/>
        <w:left w:val="none" w:sz="0" w:space="0" w:color="auto"/>
        <w:bottom w:val="none" w:sz="0" w:space="0" w:color="auto"/>
        <w:right w:val="none" w:sz="0" w:space="0" w:color="auto"/>
      </w:divBdr>
    </w:div>
    <w:div w:id="2031106084">
      <w:bodyDiv w:val="1"/>
      <w:marLeft w:val="0"/>
      <w:marRight w:val="0"/>
      <w:marTop w:val="0"/>
      <w:marBottom w:val="0"/>
      <w:divBdr>
        <w:top w:val="none" w:sz="0" w:space="0" w:color="auto"/>
        <w:left w:val="none" w:sz="0" w:space="0" w:color="auto"/>
        <w:bottom w:val="none" w:sz="0" w:space="0" w:color="auto"/>
        <w:right w:val="none" w:sz="0" w:space="0" w:color="auto"/>
      </w:divBdr>
    </w:div>
    <w:div w:id="204343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bm.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isa.wuest@cbm.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ntragsportal.d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reliefweb.int/country/z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560B9A-B42C-4AF6-B53C-6C238A1AD056}">
  <ds:schemaRefs>
    <ds:schemaRef ds:uri="http://schemas.openxmlformats.org/officeDocument/2006/bibliography"/>
  </ds:schemaRefs>
</ds:datastoreItem>
</file>

<file path=customXml/itemProps2.xml><?xml version="1.0" encoding="utf-8"?>
<ds:datastoreItem xmlns:ds="http://schemas.openxmlformats.org/officeDocument/2006/customXml" ds:itemID="{40D4B8DE-7937-46CD-9704-6D3BB7143201}">
  <ds:schemaRefs>
    <ds:schemaRef ds:uri="http://schemas.microsoft.com/office/2006/metadata/properties"/>
    <ds:schemaRef ds:uri="http://schemas.microsoft.com/office/infopath/2007/PartnerControls"/>
    <ds:schemaRef ds:uri="http://schemas.microsoft.com/sharepoint/v3"/>
    <ds:schemaRef ds:uri="118d96c3-5fa1-4bb6-8f55-b0a310b8f5f8"/>
  </ds:schemaRefs>
</ds:datastoreItem>
</file>

<file path=customXml/itemProps3.xml><?xml version="1.0" encoding="utf-8"?>
<ds:datastoreItem xmlns:ds="http://schemas.openxmlformats.org/officeDocument/2006/customXml" ds:itemID="{62363AC3-AD4C-45EC-A957-70A5FE0C33A9}"/>
</file>

<file path=customXml/itemProps4.xml><?xml version="1.0" encoding="utf-8"?>
<ds:datastoreItem xmlns:ds="http://schemas.openxmlformats.org/officeDocument/2006/customXml" ds:itemID="{2351A538-15F2-4A9C-9B18-ED47AFD37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4097</Words>
  <Characters>25814</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2021-03-18T13:20:00Z</dcterms:created>
  <dcterms:modified xsi:type="dcterms:W3CDTF">2021-03-19T08:18:00Z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ip_UnifiedCompliancePolicyUIAction">
    <vt:lpwstr/>
  </property>
  <property fmtid="{D5CDD505-2E9C-101B-9397-08002B2CF9AE}" pid="3" name="_ip_UnifiedCompliancePolicyProperties">
    <vt:lpwstr/>
  </property>
  <property fmtid="{D5CDD505-2E9C-101B-9397-08002B2CF9AE}" pid="4" name="Portfolio">
    <vt:lpwstr>Öffentliche Geber</vt:lpwstr>
  </property>
  <property fmtid="{D5CDD505-2E9C-101B-9397-08002B2CF9AE}" pid="5" name="ContentTypeId">
    <vt:lpwstr>0x0101002A2DB23D81B146548380C2D46D076609008F66855BCAE044D0AA257A55333F2A2E0020A00D6D716FCB4685417912453B637B</vt:lpwstr>
  </property>
  <property fmtid="{D5CDD505-2E9C-101B-9397-08002B2CF9AE}" pid="6" name="Order">
    <vt:r8>190600</vt:r8>
  </property>
  <property fmtid="{D5CDD505-2E9C-101B-9397-08002B2CF9AE}" pid="7" name="URL">
    <vt:lpwstr/>
  </property>
  <property fmtid="{D5CDD505-2E9C-101B-9397-08002B2CF9AE}" pid="8" name="NGOOnlineDocumentOwner">
    <vt:lpwstr/>
  </property>
  <property fmtid="{D5CDD505-2E9C-101B-9397-08002B2CF9AE}" pid="9" name="xd_Signature">
    <vt:bool>false</vt:bool>
  </property>
  <property fmtid="{D5CDD505-2E9C-101B-9397-08002B2CF9AE}" pid="10" name="NGOOnlinePriorityGroup">
    <vt:lpwstr/>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NGOOnlineKeywords">
    <vt:lpwstr/>
  </property>
  <property fmtid="{D5CDD505-2E9C-101B-9397-08002B2CF9AE}" pid="16" name="ComplianceAssetId">
    <vt:lpwstr/>
  </property>
  <property fmtid="{D5CDD505-2E9C-101B-9397-08002B2CF9AE}" pid="17" name="TemplateUrl">
    <vt:lpwstr/>
  </property>
  <property fmtid="{D5CDD505-2E9C-101B-9397-08002B2CF9AE}" pid="19" name="NGOOnlineDocumentType">
    <vt:lpwstr/>
  </property>
  <property fmtid="{D5CDD505-2E9C-101B-9397-08002B2CF9AE}" pid="20" name="_ExtendedDescription">
    <vt:lpwstr/>
  </property>
  <property fmtid="{D5CDD505-2E9C-101B-9397-08002B2CF9AE}" pid="22" name="p75d8c1866154d169f9787e2f8ad3758">
    <vt:lpwstr/>
  </property>
  <property fmtid="{D5CDD505-2E9C-101B-9397-08002B2CF9AE}" pid="23" name="TriggerFlowInfo">
    <vt:lpwstr/>
  </property>
</Properties>
</file>