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C50AF" w14:textId="17072D4F" w:rsidR="00A51E15" w:rsidRDefault="006F4989">
      <w:pPr>
        <w:pStyle w:val="berschrift1"/>
        <w:rPr>
          <w:color w:val="auto"/>
          <w:lang w:val="de-DE"/>
        </w:rPr>
      </w:pPr>
      <w:bookmarkStart w:id="0" w:name="_Toc152231602"/>
      <w:r w:rsidRPr="006F4989">
        <w:rPr>
          <w:color w:val="auto"/>
          <w:lang w:val="de-DE"/>
        </w:rPr>
        <w:t xml:space="preserve">Deutsche </w:t>
      </w:r>
      <w:bookmarkEnd w:id="0"/>
      <w:r w:rsidRPr="006F4989">
        <w:rPr>
          <w:color w:val="auto"/>
          <w:lang w:val="de-DE"/>
        </w:rPr>
        <w:t xml:space="preserve">Zusammenfassung der Evaluierung für das Vorhaben </w:t>
      </w:r>
      <w:r w:rsidR="00F357E6" w:rsidRPr="00F357E6">
        <w:rPr>
          <w:color w:val="auto"/>
          <w:lang w:val="de-DE"/>
        </w:rPr>
        <w:t>"Verbesserung der bürgernahen Ohr- und Hörgesundheitsversorgung in Sambia"</w:t>
      </w:r>
      <w:r w:rsidR="00DD2480">
        <w:rPr>
          <w:color w:val="auto"/>
          <w:lang w:val="de-DE"/>
        </w:rPr>
        <w:t xml:space="preserve"> 2024-106004-01</w:t>
      </w:r>
    </w:p>
    <w:p w14:paraId="425B7F71" w14:textId="77777777" w:rsidR="001D3703" w:rsidRPr="001D3703" w:rsidRDefault="001D3703" w:rsidP="001D3703">
      <w:pPr>
        <w:rPr>
          <w:lang w:val="de-DE"/>
        </w:rPr>
      </w:pPr>
    </w:p>
    <w:p w14:paraId="6C066548" w14:textId="2996EF85" w:rsidR="00D17151" w:rsidRPr="00F01372" w:rsidRDefault="00C43880" w:rsidP="00D17151">
      <w:pPr>
        <w:rPr>
          <w:rFonts w:eastAsia="Calibri" w:cs="Arial"/>
          <w:lang w:val="de-DE"/>
        </w:rPr>
      </w:pPr>
      <w:r>
        <w:rPr>
          <w:rFonts w:eastAsia="Calibri" w:cs="Arial"/>
          <w:lang w:val="de-DE"/>
        </w:rPr>
        <w:t xml:space="preserve">Die </w:t>
      </w:r>
      <w:r w:rsidR="004A5A49">
        <w:rPr>
          <w:rFonts w:eastAsia="Calibri" w:cs="Arial"/>
          <w:lang w:val="de-DE"/>
        </w:rPr>
        <w:t xml:space="preserve">vorliegende </w:t>
      </w:r>
      <w:r w:rsidR="00F01372" w:rsidRPr="00F01372">
        <w:rPr>
          <w:rFonts w:eastAsia="Calibri" w:cs="Arial"/>
          <w:lang w:val="de-DE"/>
        </w:rPr>
        <w:t>Ma</w:t>
      </w:r>
      <w:r w:rsidR="00F01372">
        <w:rPr>
          <w:rFonts w:eastAsia="Calibri" w:cs="Arial"/>
          <w:lang w:val="de-DE"/>
        </w:rPr>
        <w:t>chbarkeitsstudie</w:t>
      </w:r>
      <w:r w:rsidRPr="00F01372">
        <w:rPr>
          <w:rFonts w:eastAsia="Calibri" w:cs="Arial"/>
          <w:lang w:val="de-DE"/>
        </w:rPr>
        <w:t xml:space="preserve"> bewertet das Projekt "</w:t>
      </w:r>
      <w:r w:rsidR="00FE49A3">
        <w:rPr>
          <w:rFonts w:eastAsia="Calibri" w:cs="Arial"/>
          <w:lang w:val="de-DE"/>
        </w:rPr>
        <w:t>Verbesserung der bürgernahen Ohr-</w:t>
      </w:r>
      <w:r w:rsidR="004A5A49">
        <w:rPr>
          <w:rFonts w:eastAsia="Calibri" w:cs="Arial"/>
          <w:lang w:val="de-DE"/>
        </w:rPr>
        <w:t xml:space="preserve"> </w:t>
      </w:r>
      <w:r w:rsidR="00FE49A3">
        <w:rPr>
          <w:rFonts w:eastAsia="Calibri" w:cs="Arial"/>
          <w:lang w:val="de-DE"/>
        </w:rPr>
        <w:t>und Hörgesundheitsversorgung in</w:t>
      </w:r>
      <w:r w:rsidRPr="00F01372">
        <w:rPr>
          <w:rFonts w:eastAsia="Calibri" w:cs="Arial"/>
          <w:lang w:val="de-DE"/>
        </w:rPr>
        <w:t xml:space="preserve"> </w:t>
      </w:r>
      <w:r w:rsidR="0023747C">
        <w:rPr>
          <w:rFonts w:eastAsia="Calibri" w:cs="Arial"/>
          <w:lang w:val="de-DE"/>
        </w:rPr>
        <w:t>S</w:t>
      </w:r>
      <w:r w:rsidRPr="00F01372">
        <w:rPr>
          <w:rFonts w:eastAsia="Calibri" w:cs="Arial"/>
          <w:lang w:val="de-DE"/>
        </w:rPr>
        <w:t xml:space="preserve">ambia", das von der </w:t>
      </w:r>
      <w:r w:rsidR="005A0148">
        <w:rPr>
          <w:rFonts w:eastAsia="Calibri" w:cs="Arial"/>
          <w:lang w:val="de-DE"/>
        </w:rPr>
        <w:t>Christoffel Blindenmission</w:t>
      </w:r>
      <w:r w:rsidRPr="00F01372">
        <w:rPr>
          <w:rFonts w:eastAsia="Calibri" w:cs="Arial"/>
          <w:lang w:val="de-DE"/>
        </w:rPr>
        <w:t xml:space="preserve"> und dem Beit CURE Hospital für den Zeitraum 2024-2028 geplant ist und vom deutschen Bundesministerium für wirtschaftliche Zusammenarbeit und Entwicklung </w:t>
      </w:r>
      <w:r w:rsidR="000D7227">
        <w:rPr>
          <w:rFonts w:eastAsia="Calibri" w:cs="Arial"/>
          <w:lang w:val="de-DE"/>
        </w:rPr>
        <w:t>ko</w:t>
      </w:r>
      <w:r w:rsidR="000D7227" w:rsidRPr="00F01372">
        <w:rPr>
          <w:rFonts w:eastAsia="Calibri" w:cs="Arial"/>
          <w:lang w:val="de-DE"/>
        </w:rPr>
        <w:t>finanziert</w:t>
      </w:r>
      <w:r w:rsidRPr="00F01372">
        <w:rPr>
          <w:rFonts w:eastAsia="Calibri" w:cs="Arial"/>
          <w:lang w:val="de-DE"/>
        </w:rPr>
        <w:t xml:space="preserve"> werden könnte. </w:t>
      </w:r>
    </w:p>
    <w:p w14:paraId="5B045BA0" w14:textId="77E8FC3E" w:rsidR="00D17151" w:rsidRPr="00F01372" w:rsidRDefault="00F2665B" w:rsidP="00D17151">
      <w:pPr>
        <w:rPr>
          <w:rFonts w:eastAsia="Calibri" w:cs="Arial"/>
          <w:b/>
          <w:bCs/>
          <w:lang w:val="de-DE"/>
        </w:rPr>
      </w:pPr>
      <w:r w:rsidRPr="00F01372">
        <w:rPr>
          <w:rFonts w:eastAsia="Calibri" w:cs="Arial"/>
          <w:lang w:val="de-DE"/>
        </w:rPr>
        <w:t xml:space="preserve">Das geplante Projekt, das </w:t>
      </w:r>
      <w:r w:rsidR="00181761">
        <w:rPr>
          <w:rFonts w:eastAsia="Calibri" w:cs="Arial"/>
          <w:lang w:val="de-DE"/>
        </w:rPr>
        <w:t xml:space="preserve">in </w:t>
      </w:r>
      <w:r w:rsidRPr="00F01372">
        <w:rPr>
          <w:rFonts w:eastAsia="Calibri" w:cs="Arial"/>
          <w:lang w:val="de-DE"/>
        </w:rPr>
        <w:t xml:space="preserve">sieben Provinzen </w:t>
      </w:r>
      <w:r w:rsidR="0002280F">
        <w:rPr>
          <w:rFonts w:eastAsia="Calibri" w:cs="Arial"/>
          <w:lang w:val="de-DE"/>
        </w:rPr>
        <w:t xml:space="preserve">Sambias durchgeführt </w:t>
      </w:r>
      <w:r w:rsidRPr="00F01372">
        <w:rPr>
          <w:rFonts w:eastAsia="Calibri" w:cs="Arial"/>
          <w:lang w:val="de-DE"/>
        </w:rPr>
        <w:t xml:space="preserve">und 4,2 Millionen Menschen in städtischen und ländlichen Gebieten Sambias erreichen soll, zielt darauf ab, </w:t>
      </w:r>
      <w:r w:rsidR="001216BC">
        <w:rPr>
          <w:rFonts w:eastAsia="Calibri" w:cs="Arial"/>
          <w:lang w:val="de-DE"/>
        </w:rPr>
        <w:t>die Unterversorgung im Bereich Ohr- und Hörgesun</w:t>
      </w:r>
      <w:r w:rsidR="0078556E">
        <w:rPr>
          <w:rFonts w:eastAsia="Calibri" w:cs="Arial"/>
          <w:lang w:val="de-DE"/>
        </w:rPr>
        <w:t>dheitsversorgung zu reduzieren</w:t>
      </w:r>
      <w:r w:rsidRPr="00F01372">
        <w:rPr>
          <w:rFonts w:eastAsia="Calibri" w:cs="Arial"/>
          <w:lang w:val="de-DE"/>
        </w:rPr>
        <w:t xml:space="preserve">. </w:t>
      </w:r>
    </w:p>
    <w:p w14:paraId="023F86BE" w14:textId="3CA22FDC" w:rsidR="00A51E15" w:rsidRDefault="00F2665B">
      <w:pPr>
        <w:rPr>
          <w:rFonts w:eastAsia="Calibri" w:cs="Arial"/>
          <w:lang w:val="de-DE"/>
        </w:rPr>
      </w:pPr>
      <w:r w:rsidRPr="00F01372">
        <w:rPr>
          <w:rFonts w:eastAsia="Calibri" w:cs="Arial"/>
          <w:lang w:val="de-DE"/>
        </w:rPr>
        <w:t xml:space="preserve">Unter Anwendung einer strengen Methodik wurden qualitative und quantitative Ansätze innerhalb eines gemischten Methodenrahmens kombiniert, um die Ausrichtung des Projekts auf die spezifischen Bedürfnisse der sambischen Bevölkerung, seine finanzielle Tragfähigkeit und die operativen Rahmenbedingungen zu bewerten. </w:t>
      </w:r>
      <w:r w:rsidR="006C49A3">
        <w:rPr>
          <w:rFonts w:eastAsia="Calibri" w:cs="Arial"/>
          <w:lang w:val="de-DE"/>
        </w:rPr>
        <w:t xml:space="preserve">Für die </w:t>
      </w:r>
      <w:r w:rsidR="00B42B55">
        <w:rPr>
          <w:rFonts w:eastAsia="Calibri" w:cs="Arial"/>
          <w:lang w:val="de-DE"/>
        </w:rPr>
        <w:t>Bewertung</w:t>
      </w:r>
      <w:r w:rsidR="00395835">
        <w:rPr>
          <w:rFonts w:eastAsia="Calibri" w:cs="Arial"/>
          <w:lang w:val="de-DE"/>
        </w:rPr>
        <w:t xml:space="preserve"> wurden die </w:t>
      </w:r>
      <w:r w:rsidRPr="00F01372">
        <w:rPr>
          <w:rFonts w:eastAsia="Calibri" w:cs="Arial"/>
          <w:lang w:val="de-DE"/>
        </w:rPr>
        <w:t xml:space="preserve">OECD/DAC-Evaluierungskriterien </w:t>
      </w:r>
      <w:r w:rsidR="00B42B55">
        <w:rPr>
          <w:rFonts w:eastAsia="Calibri" w:cs="Arial"/>
          <w:lang w:val="de-DE"/>
        </w:rPr>
        <w:t>zugrunde gelegt</w:t>
      </w:r>
      <w:r w:rsidR="00395835">
        <w:rPr>
          <w:rFonts w:eastAsia="Calibri" w:cs="Arial"/>
          <w:lang w:val="de-DE"/>
        </w:rPr>
        <w:t xml:space="preserve">. </w:t>
      </w:r>
      <w:r w:rsidR="00DD7529">
        <w:rPr>
          <w:rFonts w:eastAsia="Calibri" w:cs="Arial"/>
          <w:lang w:val="de-DE"/>
        </w:rPr>
        <w:t xml:space="preserve">Die </w:t>
      </w:r>
      <w:r w:rsidR="00444817">
        <w:rPr>
          <w:rFonts w:eastAsia="Calibri" w:cs="Arial"/>
          <w:lang w:val="de-DE"/>
        </w:rPr>
        <w:t>Erhebungsmethoden umfassten</w:t>
      </w:r>
      <w:r w:rsidRPr="00F01372">
        <w:rPr>
          <w:rFonts w:eastAsia="Calibri" w:cs="Arial"/>
          <w:lang w:val="de-DE"/>
        </w:rPr>
        <w:t xml:space="preserve"> </w:t>
      </w:r>
      <w:r w:rsidR="00DD7529">
        <w:rPr>
          <w:rFonts w:eastAsia="Calibri" w:cs="Arial"/>
          <w:lang w:val="de-DE"/>
        </w:rPr>
        <w:t>Dokumenten</w:t>
      </w:r>
      <w:r w:rsidRPr="00F01372">
        <w:rPr>
          <w:rFonts w:eastAsia="Calibri" w:cs="Arial"/>
          <w:lang w:val="de-DE"/>
        </w:rPr>
        <w:t xml:space="preserve">prüfungen, </w:t>
      </w:r>
      <w:r w:rsidR="00444817">
        <w:rPr>
          <w:rFonts w:eastAsia="Calibri" w:cs="Arial"/>
          <w:lang w:val="de-DE"/>
        </w:rPr>
        <w:t>I</w:t>
      </w:r>
      <w:r w:rsidRPr="00F01372">
        <w:rPr>
          <w:rFonts w:eastAsia="Calibri" w:cs="Arial"/>
          <w:lang w:val="de-DE"/>
        </w:rPr>
        <w:t xml:space="preserve">nterviews, Fokusgruppendiskussionen und Beobachtungen, die </w:t>
      </w:r>
      <w:r w:rsidR="0041226C" w:rsidRPr="00F01372">
        <w:rPr>
          <w:rFonts w:eastAsia="Calibri" w:cs="Arial"/>
          <w:lang w:val="de-DE"/>
        </w:rPr>
        <w:t>alle unter strikten Einhaltungen</w:t>
      </w:r>
      <w:r w:rsidRPr="00F01372">
        <w:rPr>
          <w:rFonts w:eastAsia="Calibri" w:cs="Arial"/>
          <w:lang w:val="de-DE"/>
        </w:rPr>
        <w:t xml:space="preserve"> ethischer Standards, einschließlich des Schutzes von Kindern und der Gleichstellung der Geschlechter, durchgeführt wurden. </w:t>
      </w:r>
      <w:r w:rsidR="00D247CB">
        <w:rPr>
          <w:rFonts w:eastAsia="Calibri" w:cs="Arial"/>
          <w:lang w:val="de-DE"/>
        </w:rPr>
        <w:t>Interviews bzw. Fokusgruppengespräche wurden mit den folgenden Personengruppen durchgeführt</w:t>
      </w:r>
    </w:p>
    <w:p w14:paraId="0737A661" w14:textId="33686418" w:rsidR="00327970" w:rsidRPr="00DF269A" w:rsidRDefault="00327970" w:rsidP="00F2665B">
      <w:pPr>
        <w:pStyle w:val="Listenabsatz"/>
        <w:numPr>
          <w:ilvl w:val="0"/>
          <w:numId w:val="3"/>
        </w:numPr>
        <w:rPr>
          <w:rFonts w:eastAsia="Calibri" w:cs="Arial"/>
          <w:lang w:val="de-DE"/>
        </w:rPr>
      </w:pPr>
      <w:r w:rsidRPr="00DF269A">
        <w:rPr>
          <w:rFonts w:eastAsia="Calibri" w:cs="Arial"/>
          <w:lang w:val="de-DE"/>
        </w:rPr>
        <w:t>Politische Entscheidungsträger, Planer, Verwalter: Die Studie umfasste 35 Teilnehmer aus dem Gesundheitsministerium, dem Bildungsministerium und dem Ministerium für kommunale Entwicklung und soziale Dienste</w:t>
      </w:r>
      <w:r w:rsidR="009A2990" w:rsidRPr="00DF269A">
        <w:rPr>
          <w:rFonts w:eastAsia="Calibri" w:cs="Arial"/>
          <w:lang w:val="de-DE"/>
        </w:rPr>
        <w:t>n.</w:t>
      </w:r>
    </w:p>
    <w:p w14:paraId="7CF68431" w14:textId="1363B62D" w:rsidR="00327970" w:rsidRPr="00DF269A" w:rsidRDefault="00DF269A" w:rsidP="00F2665B">
      <w:pPr>
        <w:pStyle w:val="Listenabsatz"/>
        <w:numPr>
          <w:ilvl w:val="0"/>
          <w:numId w:val="3"/>
        </w:numPr>
        <w:rPr>
          <w:rFonts w:eastAsia="Calibri" w:cs="Arial"/>
          <w:lang w:val="de-DE"/>
        </w:rPr>
      </w:pPr>
      <w:r w:rsidRPr="00DF269A">
        <w:rPr>
          <w:rFonts w:eastAsia="Calibri" w:cs="Arial"/>
          <w:lang w:val="de-DE"/>
        </w:rPr>
        <w:t>D</w:t>
      </w:r>
      <w:r w:rsidR="00327970" w:rsidRPr="00DF269A">
        <w:rPr>
          <w:rFonts w:eastAsia="Calibri" w:cs="Arial"/>
          <w:lang w:val="de-DE"/>
        </w:rPr>
        <w:t xml:space="preserve">irekte Leistungserbringer: An der Studie nahmen insgesamt 98 Dienstleister aus dem Gesundheitsministerium, dem Bildungsministerium und dem Ministerium für soziale Wohlfahrt teil. </w:t>
      </w:r>
    </w:p>
    <w:p w14:paraId="415973CD" w14:textId="7C427155" w:rsidR="000C2F52" w:rsidRPr="00DF269A" w:rsidRDefault="00AF7176" w:rsidP="00F2665B">
      <w:pPr>
        <w:pStyle w:val="Listenabsatz"/>
        <w:numPr>
          <w:ilvl w:val="0"/>
          <w:numId w:val="3"/>
        </w:numPr>
        <w:rPr>
          <w:rFonts w:eastAsia="Calibri" w:cs="Arial"/>
          <w:lang w:val="de-DE"/>
        </w:rPr>
      </w:pPr>
      <w:r w:rsidRPr="00DF269A">
        <w:rPr>
          <w:rFonts w:eastAsia="Calibri" w:cs="Arial"/>
          <w:lang w:val="de-DE"/>
        </w:rPr>
        <w:t>Menschen mit Hörbe</w:t>
      </w:r>
      <w:r w:rsidR="00CD6040" w:rsidRPr="00DF269A">
        <w:rPr>
          <w:rFonts w:eastAsia="Calibri" w:cs="Arial"/>
          <w:lang w:val="de-DE"/>
        </w:rPr>
        <w:t>einträchtigung</w:t>
      </w:r>
      <w:r w:rsidRPr="00DF269A">
        <w:rPr>
          <w:rFonts w:eastAsia="Calibri" w:cs="Arial"/>
          <w:lang w:val="de-DE"/>
        </w:rPr>
        <w:t xml:space="preserve"> und ihre </w:t>
      </w:r>
      <w:proofErr w:type="spellStart"/>
      <w:proofErr w:type="gramStart"/>
      <w:r w:rsidRPr="00DF269A">
        <w:rPr>
          <w:rFonts w:eastAsia="Calibri" w:cs="Arial"/>
          <w:lang w:val="de-DE"/>
        </w:rPr>
        <w:t>Betreuer:</w:t>
      </w:r>
      <w:r w:rsidR="00CD6040" w:rsidRPr="00DF269A">
        <w:rPr>
          <w:rFonts w:eastAsia="Calibri" w:cs="Arial"/>
          <w:lang w:val="de-DE"/>
        </w:rPr>
        <w:t>innen</w:t>
      </w:r>
      <w:proofErr w:type="spellEnd"/>
      <w:proofErr w:type="gramEnd"/>
      <w:r w:rsidR="00CD6040" w:rsidRPr="00DF269A">
        <w:rPr>
          <w:rFonts w:eastAsia="Calibri" w:cs="Arial"/>
          <w:lang w:val="de-DE"/>
        </w:rPr>
        <w:t>:</w:t>
      </w:r>
      <w:r w:rsidRPr="00DF269A">
        <w:rPr>
          <w:rFonts w:eastAsia="Calibri" w:cs="Arial"/>
          <w:lang w:val="de-DE"/>
        </w:rPr>
        <w:t xml:space="preserve"> Die Studie umfasste 74 Personen mit </w:t>
      </w:r>
      <w:r w:rsidR="00CD6040" w:rsidRPr="00DF269A">
        <w:rPr>
          <w:rFonts w:eastAsia="Calibri" w:cs="Arial"/>
          <w:lang w:val="de-DE"/>
        </w:rPr>
        <w:t>Hörbeeinträchtigungen</w:t>
      </w:r>
      <w:r w:rsidRPr="00DF269A">
        <w:rPr>
          <w:rFonts w:eastAsia="Calibri" w:cs="Arial"/>
          <w:lang w:val="de-DE"/>
        </w:rPr>
        <w:t xml:space="preserve"> und 68 </w:t>
      </w:r>
      <w:proofErr w:type="spellStart"/>
      <w:r w:rsidRPr="00DF269A">
        <w:rPr>
          <w:rFonts w:eastAsia="Calibri" w:cs="Arial"/>
          <w:lang w:val="de-DE"/>
        </w:rPr>
        <w:t>Betreuer</w:t>
      </w:r>
      <w:r w:rsidR="00CD6040" w:rsidRPr="00DF269A">
        <w:rPr>
          <w:rFonts w:eastAsia="Calibri" w:cs="Arial"/>
          <w:lang w:val="de-DE"/>
        </w:rPr>
        <w:t>:innen</w:t>
      </w:r>
      <w:proofErr w:type="spellEnd"/>
      <w:r w:rsidRPr="00DF269A">
        <w:rPr>
          <w:rFonts w:eastAsia="Calibri" w:cs="Arial"/>
          <w:lang w:val="de-DE"/>
        </w:rPr>
        <w:t xml:space="preserve"> von Personen mit Problemen im Bereich der Ohrengesundheit. </w:t>
      </w:r>
    </w:p>
    <w:p w14:paraId="5A20D27B" w14:textId="01D7EFAF" w:rsidR="00D17151" w:rsidRPr="00DF269A" w:rsidRDefault="00AF7176" w:rsidP="00F2665B">
      <w:pPr>
        <w:pStyle w:val="Listenabsatz"/>
        <w:numPr>
          <w:ilvl w:val="0"/>
          <w:numId w:val="3"/>
        </w:numPr>
        <w:rPr>
          <w:rFonts w:eastAsia="Calibri" w:cs="Arial"/>
          <w:b/>
          <w:bCs/>
          <w:lang w:val="de-DE"/>
        </w:rPr>
      </w:pPr>
      <w:r w:rsidRPr="00DF269A">
        <w:rPr>
          <w:rFonts w:eastAsia="Calibri" w:cs="Arial"/>
          <w:lang w:val="de-DE"/>
        </w:rPr>
        <w:t xml:space="preserve">Führende Persönlichkeiten der Gemeinschaft: Unsere Studie umfasste 21 Führungspersönlichkeiten der Gemeinde, darunter 14 Mitglieder von Gemeindeentwicklungsausschüssen und 7 Gemeinderatsmitglieder. </w:t>
      </w:r>
    </w:p>
    <w:p w14:paraId="20CDF7E6" w14:textId="77777777" w:rsidR="000C2F52" w:rsidRDefault="000C2F52">
      <w:pPr>
        <w:rPr>
          <w:rFonts w:eastAsia="Calibri" w:cs="Arial"/>
          <w:b/>
          <w:bCs/>
          <w:lang w:val="de-DE"/>
        </w:rPr>
      </w:pPr>
    </w:p>
    <w:p w14:paraId="3837A003" w14:textId="475EF446" w:rsidR="00A51E15" w:rsidRPr="00F01372" w:rsidRDefault="00F2665B">
      <w:pPr>
        <w:rPr>
          <w:rFonts w:eastAsia="Calibri" w:cs="Arial"/>
          <w:b/>
          <w:bCs/>
          <w:lang w:val="de-DE"/>
        </w:rPr>
      </w:pPr>
      <w:r w:rsidRPr="00F01372">
        <w:rPr>
          <w:rFonts w:eastAsia="Calibri" w:cs="Arial"/>
          <w:b/>
          <w:bCs/>
          <w:lang w:val="de-DE"/>
        </w:rPr>
        <w:t>Wichtigste Ergebnisse</w:t>
      </w:r>
    </w:p>
    <w:p w14:paraId="49027013" w14:textId="192854C9" w:rsidR="00A51E15" w:rsidRPr="00F01372" w:rsidRDefault="00FC714E">
      <w:pPr>
        <w:rPr>
          <w:bCs/>
          <w:lang w:val="de-DE"/>
        </w:rPr>
      </w:pPr>
      <w:r>
        <w:rPr>
          <w:b/>
          <w:lang w:val="de-DE"/>
        </w:rPr>
        <w:t xml:space="preserve">Die Relevanz </w:t>
      </w:r>
      <w:r w:rsidRPr="00FC714E">
        <w:rPr>
          <w:bCs/>
          <w:lang w:val="de-DE"/>
        </w:rPr>
        <w:t xml:space="preserve">des </w:t>
      </w:r>
      <w:r w:rsidRPr="00F01372">
        <w:rPr>
          <w:bCs/>
          <w:lang w:val="de-DE"/>
        </w:rPr>
        <w:t xml:space="preserve">Projekts </w:t>
      </w:r>
      <w:r>
        <w:rPr>
          <w:bCs/>
          <w:lang w:val="de-DE"/>
        </w:rPr>
        <w:t xml:space="preserve">wird </w:t>
      </w:r>
      <w:r w:rsidRPr="00F01372">
        <w:rPr>
          <w:bCs/>
          <w:lang w:val="de-DE"/>
        </w:rPr>
        <w:t>unterstr</w:t>
      </w:r>
      <w:r>
        <w:rPr>
          <w:bCs/>
          <w:lang w:val="de-DE"/>
        </w:rPr>
        <w:t>ichen durch</w:t>
      </w:r>
      <w:r w:rsidRPr="00F01372">
        <w:rPr>
          <w:bCs/>
          <w:lang w:val="de-DE"/>
        </w:rPr>
        <w:t xml:space="preserve"> </w:t>
      </w:r>
      <w:r>
        <w:rPr>
          <w:bCs/>
          <w:lang w:val="de-DE"/>
        </w:rPr>
        <w:t>die</w:t>
      </w:r>
      <w:r w:rsidRPr="00F01372">
        <w:rPr>
          <w:bCs/>
          <w:lang w:val="de-DE"/>
        </w:rPr>
        <w:t xml:space="preserve"> </w:t>
      </w:r>
      <w:r w:rsidR="0034294B">
        <w:rPr>
          <w:bCs/>
          <w:lang w:val="de-DE"/>
        </w:rPr>
        <w:t>entschiedene</w:t>
      </w:r>
      <w:r w:rsidRPr="00F01372">
        <w:rPr>
          <w:bCs/>
          <w:lang w:val="de-DE"/>
        </w:rPr>
        <w:t xml:space="preserve"> Ausrichtung auf den dringenden Bedarf an Ohr- und Hörg</w:t>
      </w:r>
      <w:r w:rsidR="009B033A">
        <w:rPr>
          <w:bCs/>
          <w:lang w:val="de-DE"/>
        </w:rPr>
        <w:t>esundheitsver</w:t>
      </w:r>
      <w:r w:rsidR="004B191E">
        <w:rPr>
          <w:bCs/>
          <w:lang w:val="de-DE"/>
        </w:rPr>
        <w:t>s</w:t>
      </w:r>
      <w:r w:rsidR="009B033A">
        <w:rPr>
          <w:bCs/>
          <w:lang w:val="de-DE"/>
        </w:rPr>
        <w:t>orgung</w:t>
      </w:r>
      <w:r w:rsidRPr="00F01372">
        <w:rPr>
          <w:bCs/>
          <w:lang w:val="de-DE"/>
        </w:rPr>
        <w:t xml:space="preserve"> in den Zielregionen. Das Projekt soll Engpässe wie den begrenzten Zugang zu Dienstleistungen, insbesondere in den Provinzen </w:t>
      </w:r>
      <w:proofErr w:type="spellStart"/>
      <w:r w:rsidRPr="00F01372">
        <w:rPr>
          <w:bCs/>
          <w:lang w:val="de-DE"/>
        </w:rPr>
        <w:t>Luapula</w:t>
      </w:r>
      <w:proofErr w:type="spellEnd"/>
      <w:r w:rsidRPr="00F01372">
        <w:rPr>
          <w:bCs/>
          <w:lang w:val="de-DE"/>
        </w:rPr>
        <w:t xml:space="preserve">, </w:t>
      </w:r>
      <w:proofErr w:type="gramStart"/>
      <w:r w:rsidRPr="00F01372">
        <w:rPr>
          <w:bCs/>
          <w:lang w:val="de-DE"/>
        </w:rPr>
        <w:t>Northern</w:t>
      </w:r>
      <w:proofErr w:type="gramEnd"/>
      <w:r w:rsidRPr="00F01372">
        <w:rPr>
          <w:bCs/>
          <w:lang w:val="de-DE"/>
        </w:rPr>
        <w:t xml:space="preserve"> und Eastern, beseitigen, das öffentliche Bewusstsein stärken und den Mangel an ausgebildeten Fachkräften beheben. Das konfliktsensitive Design des Projekts, das auf dem Do-</w:t>
      </w:r>
      <w:proofErr w:type="spellStart"/>
      <w:r w:rsidRPr="00F01372">
        <w:rPr>
          <w:bCs/>
          <w:lang w:val="de-DE"/>
        </w:rPr>
        <w:t>No</w:t>
      </w:r>
      <w:proofErr w:type="spellEnd"/>
      <w:r w:rsidRPr="00F01372">
        <w:rPr>
          <w:bCs/>
          <w:lang w:val="de-DE"/>
        </w:rPr>
        <w:t>-Harm-Prinzip basiert, legt zudem Wert auf kulturelle Sensibilität, Kapazitätsaufbau, Datenschutz und ethische Standards, um einen respektvollen und nachhaltigen Ansatz zur Bewältigung der vielschichtigen Herausforderungen der Ohr- und Hörgesundheit in diesen Gemein</w:t>
      </w:r>
      <w:r w:rsidR="00737733">
        <w:rPr>
          <w:bCs/>
          <w:lang w:val="de-DE"/>
        </w:rPr>
        <w:t>den</w:t>
      </w:r>
      <w:r w:rsidRPr="00F01372">
        <w:rPr>
          <w:bCs/>
          <w:lang w:val="de-DE"/>
        </w:rPr>
        <w:t xml:space="preserve"> zu gewährleisten.</w:t>
      </w:r>
    </w:p>
    <w:p w14:paraId="7D9272B3" w14:textId="77777777" w:rsidR="00D17151" w:rsidRPr="00F01372" w:rsidRDefault="00D17151" w:rsidP="00D17151">
      <w:pPr>
        <w:rPr>
          <w:bCs/>
          <w:lang w:val="de-DE"/>
        </w:rPr>
      </w:pPr>
    </w:p>
    <w:p w14:paraId="230274D7" w14:textId="0F867D78" w:rsidR="00A51E15" w:rsidRPr="00F01372" w:rsidRDefault="00F2665B">
      <w:pPr>
        <w:rPr>
          <w:rFonts w:eastAsia="Calibri" w:cs="Arial"/>
          <w:lang w:val="de-DE"/>
        </w:rPr>
      </w:pPr>
      <w:r w:rsidRPr="00F01372">
        <w:rPr>
          <w:rFonts w:eastAsia="Calibri" w:cs="Arial"/>
          <w:b/>
          <w:bCs/>
          <w:lang w:val="de-DE"/>
        </w:rPr>
        <w:t>Die Bewertung der Kohärenz</w:t>
      </w:r>
      <w:r w:rsidRPr="00F01372">
        <w:rPr>
          <w:rFonts w:eastAsia="Calibri" w:cs="Arial"/>
          <w:lang w:val="de-DE"/>
        </w:rPr>
        <w:t xml:space="preserve">: </w:t>
      </w:r>
      <w:r w:rsidR="00CB192C">
        <w:rPr>
          <w:rFonts w:eastAsia="Calibri" w:cs="Arial"/>
          <w:lang w:val="de-DE"/>
        </w:rPr>
        <w:t>D</w:t>
      </w:r>
      <w:r w:rsidRPr="00F01372">
        <w:rPr>
          <w:rFonts w:eastAsia="Calibri" w:cs="Arial"/>
          <w:lang w:val="de-DE"/>
        </w:rPr>
        <w:t xml:space="preserve">as Projekt </w:t>
      </w:r>
      <w:r w:rsidR="008A3F38">
        <w:rPr>
          <w:rFonts w:eastAsia="Calibri" w:cs="Arial"/>
          <w:lang w:val="de-DE"/>
        </w:rPr>
        <w:t xml:space="preserve">stimmt </w:t>
      </w:r>
      <w:r w:rsidR="001862D4">
        <w:rPr>
          <w:rFonts w:eastAsia="Calibri" w:cs="Arial"/>
          <w:lang w:val="de-DE"/>
        </w:rPr>
        <w:t>im</w:t>
      </w:r>
      <w:r w:rsidR="001862D4" w:rsidRPr="00F01372">
        <w:rPr>
          <w:rFonts w:eastAsia="Calibri" w:cs="Arial"/>
          <w:lang w:val="de-DE"/>
        </w:rPr>
        <w:t xml:space="preserve"> hohen Maße</w:t>
      </w:r>
      <w:r w:rsidRPr="00F01372">
        <w:rPr>
          <w:rFonts w:eastAsia="Calibri" w:cs="Arial"/>
          <w:lang w:val="de-DE"/>
        </w:rPr>
        <w:t xml:space="preserve"> mit Menschenrechtsprinzipien, Standards und bestehenden Gesundheitsinitiativen überein. Es betont Inklusion und Partizipation, stimmt mit laufenden Interventionen des </w:t>
      </w:r>
      <w:r w:rsidR="008A3F38">
        <w:rPr>
          <w:rFonts w:eastAsia="Calibri" w:cs="Arial"/>
          <w:lang w:val="de-DE"/>
        </w:rPr>
        <w:t>Gesundheitsministeriums (</w:t>
      </w:r>
      <w:r w:rsidRPr="00F01372">
        <w:rPr>
          <w:rFonts w:eastAsia="Calibri" w:cs="Arial"/>
          <w:lang w:val="de-DE"/>
        </w:rPr>
        <w:t>MOH</w:t>
      </w:r>
      <w:r w:rsidR="008A3F38">
        <w:rPr>
          <w:rFonts w:eastAsia="Calibri" w:cs="Arial"/>
          <w:lang w:val="de-DE"/>
        </w:rPr>
        <w:t>)</w:t>
      </w:r>
      <w:r w:rsidRPr="00F01372">
        <w:rPr>
          <w:rFonts w:eastAsia="Calibri" w:cs="Arial"/>
          <w:lang w:val="de-DE"/>
        </w:rPr>
        <w:t xml:space="preserve"> und von Akteuren wie Beit Cure überein</w:t>
      </w:r>
      <w:r w:rsidR="00EA1C82">
        <w:rPr>
          <w:rFonts w:eastAsia="Calibri" w:cs="Arial"/>
          <w:lang w:val="de-DE"/>
        </w:rPr>
        <w:t xml:space="preserve">. </w:t>
      </w:r>
      <w:r w:rsidRPr="00F01372">
        <w:rPr>
          <w:rFonts w:eastAsia="Calibri" w:cs="Arial"/>
          <w:lang w:val="de-DE"/>
        </w:rPr>
        <w:t xml:space="preserve">Die Ausrichtung des Projekts an den WHO-Leitlinien, insbesondere bei der Stärkung der Arbeitskräfte auf Gemeindeebene, ist offensichtlich. Die Ziele und Aktivitäten des Projekts stehen im Einklang mit dem Schwerpunkt der WHO </w:t>
      </w:r>
      <w:r w:rsidR="001862D4">
        <w:rPr>
          <w:rFonts w:eastAsia="Calibri" w:cs="Arial"/>
          <w:lang w:val="de-DE"/>
        </w:rPr>
        <w:t>bei</w:t>
      </w:r>
      <w:r w:rsidRPr="00F01372">
        <w:rPr>
          <w:rFonts w:eastAsia="Calibri" w:cs="Arial"/>
          <w:lang w:val="de-DE"/>
        </w:rPr>
        <w:t xml:space="preserve"> der Ausbildung von Gesundheitspersonal und der Integration von Ohr- und Hör</w:t>
      </w:r>
      <w:r w:rsidR="001862D4">
        <w:rPr>
          <w:rFonts w:eastAsia="Calibri" w:cs="Arial"/>
          <w:lang w:val="de-DE"/>
        </w:rPr>
        <w:t>gesundheitsversorgung</w:t>
      </w:r>
      <w:r w:rsidRPr="00F01372">
        <w:rPr>
          <w:rFonts w:eastAsia="Calibri" w:cs="Arial"/>
          <w:lang w:val="de-DE"/>
        </w:rPr>
        <w:t xml:space="preserve"> in die medizinische Grundversorgung. Das Projekt steht auch im Einklang mit dem sambischen </w:t>
      </w:r>
      <w:r w:rsidR="00B56E05">
        <w:rPr>
          <w:rFonts w:eastAsia="Calibri" w:cs="Arial"/>
          <w:lang w:val="de-DE"/>
        </w:rPr>
        <w:t xml:space="preserve">nationalen </w:t>
      </w:r>
      <w:r w:rsidR="001F078B">
        <w:rPr>
          <w:rFonts w:eastAsia="Calibri" w:cs="Arial"/>
          <w:lang w:val="de-DE"/>
        </w:rPr>
        <w:t>strategischen</w:t>
      </w:r>
      <w:r w:rsidR="00B56E05">
        <w:rPr>
          <w:rFonts w:eastAsia="Calibri" w:cs="Arial"/>
          <w:lang w:val="de-DE"/>
        </w:rPr>
        <w:t xml:space="preserve"> </w:t>
      </w:r>
      <w:r w:rsidR="001F078B">
        <w:rPr>
          <w:rFonts w:eastAsia="Calibri" w:cs="Arial"/>
          <w:lang w:val="de-DE"/>
        </w:rPr>
        <w:t>Gesundheitsplan (</w:t>
      </w:r>
      <w:r w:rsidRPr="00F01372">
        <w:rPr>
          <w:rFonts w:eastAsia="Calibri" w:cs="Arial"/>
          <w:lang w:val="de-DE"/>
        </w:rPr>
        <w:t>NHSP 2022-2026</w:t>
      </w:r>
      <w:r w:rsidR="001F078B">
        <w:rPr>
          <w:rFonts w:eastAsia="Calibri" w:cs="Arial"/>
          <w:lang w:val="de-DE"/>
        </w:rPr>
        <w:t>)</w:t>
      </w:r>
      <w:r w:rsidRPr="00F01372">
        <w:rPr>
          <w:rFonts w:eastAsia="Calibri" w:cs="Arial"/>
          <w:lang w:val="de-DE"/>
        </w:rPr>
        <w:t xml:space="preserve"> und de</w:t>
      </w:r>
      <w:r w:rsidR="003D1F28">
        <w:rPr>
          <w:rFonts w:eastAsia="Calibri" w:cs="Arial"/>
          <w:lang w:val="de-DE"/>
        </w:rPr>
        <w:t>m</w:t>
      </w:r>
      <w:r w:rsidRPr="00F01372">
        <w:rPr>
          <w:rFonts w:eastAsia="Calibri" w:cs="Arial"/>
          <w:lang w:val="de-DE"/>
        </w:rPr>
        <w:t xml:space="preserve"> sambischen </w:t>
      </w:r>
      <w:r w:rsidR="003D1F28">
        <w:rPr>
          <w:rFonts w:eastAsia="Calibri" w:cs="Arial"/>
          <w:lang w:val="de-DE"/>
        </w:rPr>
        <w:t>Hals-Nasen Ohren (</w:t>
      </w:r>
      <w:r w:rsidRPr="00F01372">
        <w:rPr>
          <w:rFonts w:eastAsia="Calibri" w:cs="Arial"/>
          <w:lang w:val="de-DE"/>
        </w:rPr>
        <w:t>HNO</w:t>
      </w:r>
      <w:r w:rsidR="003D1F28">
        <w:rPr>
          <w:rFonts w:eastAsia="Calibri" w:cs="Arial"/>
          <w:lang w:val="de-DE"/>
        </w:rPr>
        <w:t>)</w:t>
      </w:r>
      <w:r w:rsidRPr="00F01372">
        <w:rPr>
          <w:rFonts w:eastAsia="Calibri" w:cs="Arial"/>
          <w:lang w:val="de-DE"/>
        </w:rPr>
        <w:t>-Strategieplan 2017-2021 und konzentriert sich auf die Stärkung der Gesundheitssysteme und die Integration von HNO-Diensten in das breitere sambische Gesundheitssystem. Darüber hinaus ist das Projekt so konzipiert, dass es sich in die bestehenden Rahmenwerke des MOE und des MOH einfügt. Der kooperative Charakter des Projekts fördert einen ganzheitlichen Ansatz, der sicherstellt, dass HNO-Dienste ein integraler Bestandteil umfassenderer Gesundheits- und Bildungsprogramme sind.</w:t>
      </w:r>
    </w:p>
    <w:p w14:paraId="30493472" w14:textId="77777777" w:rsidR="00D17151" w:rsidRPr="00F01372" w:rsidRDefault="00D17151" w:rsidP="00D17151">
      <w:pPr>
        <w:rPr>
          <w:rFonts w:eastAsia="Calibri" w:cs="Arial"/>
          <w:b/>
          <w:bCs/>
          <w:i/>
          <w:iCs/>
          <w:lang w:val="de-DE"/>
        </w:rPr>
      </w:pPr>
    </w:p>
    <w:p w14:paraId="036DD92D" w14:textId="43E7622A" w:rsidR="00A51E15" w:rsidRPr="00F01372" w:rsidRDefault="00F2665B">
      <w:pPr>
        <w:rPr>
          <w:rFonts w:eastAsia="Calibri" w:cs="Arial"/>
          <w:b/>
          <w:bCs/>
          <w:lang w:val="de-DE"/>
        </w:rPr>
      </w:pPr>
      <w:r w:rsidRPr="00F01372">
        <w:rPr>
          <w:rFonts w:eastAsia="Calibri" w:cs="Arial"/>
          <w:b/>
          <w:bCs/>
          <w:lang w:val="de-DE"/>
        </w:rPr>
        <w:t xml:space="preserve">Bewertung der Effektivität: </w:t>
      </w:r>
      <w:r w:rsidRPr="00F01372">
        <w:rPr>
          <w:rFonts w:eastAsia="Source Sans Pro" w:cs="Source Sans Pro"/>
          <w:lang w:val="de-DE"/>
        </w:rPr>
        <w:t xml:space="preserve">Die </w:t>
      </w:r>
      <w:r w:rsidR="00B00BBD" w:rsidRPr="0064174C">
        <w:rPr>
          <w:rFonts w:eastAsia="Source Sans Pro" w:cs="Source Sans Pro"/>
          <w:i/>
          <w:iCs/>
          <w:lang w:val="de-DE"/>
        </w:rPr>
        <w:t xml:space="preserve">Theory </w:t>
      </w:r>
      <w:proofErr w:type="spellStart"/>
      <w:r w:rsidR="00B00BBD" w:rsidRPr="0064174C">
        <w:rPr>
          <w:rFonts w:eastAsia="Source Sans Pro" w:cs="Source Sans Pro"/>
          <w:i/>
          <w:iCs/>
          <w:lang w:val="de-DE"/>
        </w:rPr>
        <w:t>of</w:t>
      </w:r>
      <w:proofErr w:type="spellEnd"/>
      <w:r w:rsidR="00B00BBD" w:rsidRPr="0064174C">
        <w:rPr>
          <w:rFonts w:eastAsia="Source Sans Pro" w:cs="Source Sans Pro"/>
          <w:i/>
          <w:iCs/>
          <w:lang w:val="de-DE"/>
        </w:rPr>
        <w:t xml:space="preserve"> Change</w:t>
      </w:r>
      <w:r w:rsidR="00B00BBD">
        <w:rPr>
          <w:rFonts w:eastAsia="Source Sans Pro" w:cs="Source Sans Pro"/>
          <w:lang w:val="de-DE"/>
        </w:rPr>
        <w:t xml:space="preserve"> </w:t>
      </w:r>
      <w:r w:rsidRPr="00F01372">
        <w:rPr>
          <w:rFonts w:eastAsia="Source Sans Pro" w:cs="Source Sans Pro"/>
          <w:lang w:val="de-DE"/>
        </w:rPr>
        <w:t xml:space="preserve">des Projekts ist plausibel, hängt aber von Faktoren wie dem Engagement der Beteiligten und der Anpassungsfähigkeit der Gesundheitssysteme ab. </w:t>
      </w:r>
      <w:r w:rsidR="00094339">
        <w:rPr>
          <w:rFonts w:eastAsia="Source Sans Pro" w:cs="Source Sans Pro"/>
          <w:lang w:val="de-DE"/>
        </w:rPr>
        <w:t>Sie</w:t>
      </w:r>
      <w:r w:rsidRPr="00F01372">
        <w:rPr>
          <w:rFonts w:eastAsia="Source Sans Pro" w:cs="Source Sans Pro"/>
          <w:lang w:val="de-DE"/>
        </w:rPr>
        <w:t xml:space="preserve"> muss kontinuierlich über</w:t>
      </w:r>
      <w:r w:rsidR="00094339">
        <w:rPr>
          <w:rFonts w:eastAsia="Source Sans Pro" w:cs="Source Sans Pro"/>
          <w:lang w:val="de-DE"/>
        </w:rPr>
        <w:t>prüft</w:t>
      </w:r>
      <w:r w:rsidRPr="00F01372">
        <w:rPr>
          <w:rFonts w:eastAsia="Source Sans Pro" w:cs="Source Sans Pro"/>
          <w:lang w:val="de-DE"/>
        </w:rPr>
        <w:t xml:space="preserve"> werden</w:t>
      </w:r>
      <w:r w:rsidR="00094339">
        <w:rPr>
          <w:rFonts w:eastAsia="Source Sans Pro" w:cs="Source Sans Pro"/>
          <w:lang w:val="de-DE"/>
        </w:rPr>
        <w:t xml:space="preserve"> und bei Bedarf angepasst werden</w:t>
      </w:r>
      <w:r w:rsidRPr="00F01372">
        <w:rPr>
          <w:rFonts w:eastAsia="Source Sans Pro" w:cs="Source Sans Pro"/>
          <w:lang w:val="de-DE"/>
        </w:rPr>
        <w:t>. Die Angemessenheit der Indikatoren ist im Allgemeinen gut, bedarf aber einer Verfeinerung in Bezug auf Spezifität, Messbarkeit und Abstimmung mit den Projektzielen, einschließlich Zeitvorgaben und Nachhaltigkeitsmaßnahmen.</w:t>
      </w:r>
    </w:p>
    <w:p w14:paraId="28314C12" w14:textId="77777777" w:rsidR="00D17151" w:rsidRPr="00F01372" w:rsidRDefault="00D17151" w:rsidP="00D17151">
      <w:pPr>
        <w:rPr>
          <w:rFonts w:eastAsia="Calibri" w:cs="Arial"/>
          <w:b/>
          <w:bCs/>
          <w:lang w:val="de-DE"/>
        </w:rPr>
      </w:pPr>
    </w:p>
    <w:p w14:paraId="06401546" w14:textId="4136DC7F" w:rsidR="00A51E15" w:rsidRPr="00F01372" w:rsidRDefault="00F2665B">
      <w:pPr>
        <w:rPr>
          <w:lang w:val="de-DE"/>
        </w:rPr>
      </w:pPr>
      <w:r w:rsidRPr="00F01372">
        <w:rPr>
          <w:b/>
          <w:bCs/>
          <w:lang w:val="de-DE"/>
        </w:rPr>
        <w:t xml:space="preserve">Bei der Bewertung der Effizienz </w:t>
      </w:r>
      <w:r w:rsidRPr="00F01372">
        <w:rPr>
          <w:lang w:val="de-DE"/>
        </w:rPr>
        <w:t xml:space="preserve">des Projekts wurde der strategische Ansatz für die Ressourcennutzung und -verwaltung evaluiert und das Potenzial des Projekts, seine Ziele wirtschaftlich zu erreichen, beurteilt. Die Analyse bestätigt, dass die Budgetzuweisung machbar ist, da die meisten wichtigen </w:t>
      </w:r>
      <w:proofErr w:type="spellStart"/>
      <w:proofErr w:type="gramStart"/>
      <w:r w:rsidRPr="00F01372">
        <w:rPr>
          <w:lang w:val="de-DE"/>
        </w:rPr>
        <w:t>Mitarbeiter</w:t>
      </w:r>
      <w:r w:rsidR="003D0E43">
        <w:rPr>
          <w:lang w:val="de-DE"/>
        </w:rPr>
        <w:t>:innen</w:t>
      </w:r>
      <w:proofErr w:type="spellEnd"/>
      <w:proofErr w:type="gramEnd"/>
      <w:r w:rsidRPr="00F01372">
        <w:rPr>
          <w:lang w:val="de-DE"/>
        </w:rPr>
        <w:t xml:space="preserve"> in den Gesundheits- und Bildungsministerien in bestimmten Provinzen bereits geschult sind, so dass sich das Projekt auf die Stärkung der Kapazitäten in nicht adressierten Bereichen konzentrieren kann. Das Beit Cure Hospital mit seiner umfassenden Erfahrung im HNO-Bereich und seinen strategischen Partnerschaften ist ein entscheidender Akteur im Projekt, der die institutionellen Kapazitäten stärkt. Das Projekt nutzt das vorhandene Personal des Gesundheitsministeriums und bietet zusätzliche Schulungen für die bereits Beschäftigten an, wodurch die vorhandenen Ressourcen </w:t>
      </w:r>
      <w:r w:rsidRPr="00F01372">
        <w:rPr>
          <w:lang w:val="de-DE"/>
        </w:rPr>
        <w:lastRenderedPageBreak/>
        <w:t>und die Infrastruktur effizient genutzt werden. Dieser Ansatz maximiert die Nutzung der verfügbaren Humanressourcen und gewährleistet die Verbreitung von Fachwissen im gesamten Gesundheitssystem. Die Projektdauer von viereinhalb Jahren wird als ausreichend erachtet, um die notwendigen Ausbildungs- und Implementierungsphasen abzuschließen, wobei die Erfahrungen aus dem erfolgreichen BMZ/CBM-HNO-Projekt berücksichtigt werden. Dieser strukturierte Zeitplan stellt ein Gleichgewicht zwischen dem Schulungsbedarf und der Einführung von Dienstleistungen her und bietet so einen realistischen Zeitrahmen für die Erreichung der Projektziele und die Gewährleistung des Gesamterfolgs bei der Bereitstellung nachhaltiger Ohr- und Hörversorgungsdienste.</w:t>
      </w:r>
    </w:p>
    <w:p w14:paraId="637CE3E3" w14:textId="77777777" w:rsidR="00D17151" w:rsidRPr="00F01372" w:rsidRDefault="00D17151" w:rsidP="00D17151">
      <w:pPr>
        <w:rPr>
          <w:rFonts w:eastAsia="Calibri" w:cs="Arial"/>
          <w:b/>
          <w:bCs/>
          <w:lang w:val="de-DE"/>
        </w:rPr>
      </w:pPr>
    </w:p>
    <w:p w14:paraId="493F63EA" w14:textId="13B3F5D4" w:rsidR="00A51E15" w:rsidRPr="00F01372" w:rsidRDefault="00AB146B">
      <w:pPr>
        <w:rPr>
          <w:lang w:val="de-DE"/>
        </w:rPr>
      </w:pPr>
      <w:r>
        <w:rPr>
          <w:rFonts w:eastAsia="Calibri" w:cs="Arial"/>
          <w:b/>
          <w:bCs/>
          <w:lang w:val="de-DE"/>
        </w:rPr>
        <w:t>Effektivität</w:t>
      </w:r>
      <w:r w:rsidRPr="00F01372">
        <w:rPr>
          <w:b/>
          <w:bCs/>
          <w:lang w:val="de-DE"/>
        </w:rPr>
        <w:t xml:space="preserve">: </w:t>
      </w:r>
      <w:r w:rsidRPr="00F01372">
        <w:rPr>
          <w:lang w:val="de-DE"/>
        </w:rPr>
        <w:t xml:space="preserve">Die Schulung von Gesundheitspersonal und </w:t>
      </w:r>
      <w:proofErr w:type="spellStart"/>
      <w:proofErr w:type="gramStart"/>
      <w:r w:rsidRPr="00F01372">
        <w:rPr>
          <w:lang w:val="de-DE"/>
        </w:rPr>
        <w:t>Lehrer</w:t>
      </w:r>
      <w:r w:rsidR="006C4856">
        <w:rPr>
          <w:lang w:val="de-DE"/>
        </w:rPr>
        <w:t>:innen</w:t>
      </w:r>
      <w:proofErr w:type="spellEnd"/>
      <w:proofErr w:type="gramEnd"/>
      <w:r w:rsidRPr="00F01372">
        <w:rPr>
          <w:lang w:val="de-DE"/>
        </w:rPr>
        <w:t xml:space="preserve"> hat das Potenzial</w:t>
      </w:r>
      <w:r w:rsidR="00450F1C">
        <w:rPr>
          <w:lang w:val="de-DE"/>
        </w:rPr>
        <w:t xml:space="preserve"> für </w:t>
      </w:r>
      <w:r w:rsidRPr="00F01372">
        <w:rPr>
          <w:lang w:val="de-DE"/>
        </w:rPr>
        <w:t>weitreichende und positive Auswirkungen auf das Gesundheitswesen, das Bildungswesen und die Gemeinden. Geschulte Fachkräfte können frühe Anzeichen von Ohr- und Hörproblemen bei Kindern effektiver erkennen, was rechtzeitige Interventionen und Prävention ermöglicht. Durch die Integration der Hör- und Ohr</w:t>
      </w:r>
      <w:r w:rsidR="00014202">
        <w:rPr>
          <w:lang w:val="de-DE"/>
        </w:rPr>
        <w:t>-Gesundheitsversorgung</w:t>
      </w:r>
      <w:r w:rsidRPr="00F01372">
        <w:rPr>
          <w:lang w:val="de-DE"/>
        </w:rPr>
        <w:t xml:space="preserve"> in das Bildungswesen wird die Zugänglichkeit verbessert, was einer Vielzahl von Menschen </w:t>
      </w:r>
      <w:r w:rsidR="00EA1F9E" w:rsidRPr="00F01372">
        <w:rPr>
          <w:lang w:val="de-DE"/>
        </w:rPr>
        <w:t>zugutekommt</w:t>
      </w:r>
      <w:r w:rsidRPr="00F01372">
        <w:rPr>
          <w:lang w:val="de-DE"/>
        </w:rPr>
        <w:t xml:space="preserve">, auch in unterversorgten Gemeinden. Darüber hinaus können diese Fachleute das Bewusstsein für </w:t>
      </w:r>
      <w:r w:rsidR="008A3645">
        <w:rPr>
          <w:lang w:val="de-DE"/>
        </w:rPr>
        <w:t>Ohr und Hörg</w:t>
      </w:r>
      <w:r w:rsidRPr="00F01372">
        <w:rPr>
          <w:lang w:val="de-DE"/>
        </w:rPr>
        <w:t xml:space="preserve">esundheit schärfen, was zu einer stärkeren Betonung von Präventivmaßnahmen und regelmäßigen Untersuchungen führt. Eine verbesserte Hörgesundheit kann auch die schulischen Leistungen verbessern. </w:t>
      </w:r>
    </w:p>
    <w:p w14:paraId="1FE8E9CB" w14:textId="77777777" w:rsidR="00D17151" w:rsidRPr="00F01372" w:rsidRDefault="00D17151" w:rsidP="00D17151">
      <w:pPr>
        <w:rPr>
          <w:lang w:val="de-DE"/>
        </w:rPr>
      </w:pPr>
    </w:p>
    <w:p w14:paraId="455DC5CC" w14:textId="466ABF12" w:rsidR="00A51E15" w:rsidRPr="00F01372" w:rsidRDefault="00F2665B">
      <w:pPr>
        <w:rPr>
          <w:rFonts w:eastAsia="Calibri" w:cs="Arial"/>
          <w:lang w:val="de-DE"/>
        </w:rPr>
      </w:pPr>
      <w:r w:rsidRPr="00F01372">
        <w:rPr>
          <w:rFonts w:eastAsia="Calibri" w:cs="Arial"/>
          <w:b/>
          <w:bCs/>
          <w:lang w:val="de-DE"/>
        </w:rPr>
        <w:t xml:space="preserve">Nachhaltigkeit: </w:t>
      </w:r>
      <w:r w:rsidRPr="00F01372">
        <w:rPr>
          <w:rFonts w:eastAsia="Calibri" w:cs="Arial"/>
          <w:lang w:val="de-DE"/>
        </w:rPr>
        <w:t>Die Nachhaltigkeit der Ergebnisse und Auswirkungen der Ohr- und Hörge</w:t>
      </w:r>
      <w:r w:rsidR="007847EF">
        <w:rPr>
          <w:rFonts w:eastAsia="Calibri" w:cs="Arial"/>
          <w:lang w:val="de-DE"/>
        </w:rPr>
        <w:t>sundheits</w:t>
      </w:r>
      <w:r w:rsidRPr="00F01372">
        <w:rPr>
          <w:rFonts w:eastAsia="Calibri" w:cs="Arial"/>
          <w:lang w:val="de-DE"/>
        </w:rPr>
        <w:t xml:space="preserve">versorgung hängt, wie aus der Machbarkeitsstudie hervorgeht, von einem vielschichtigen Ansatz ab, der strukturelle, wirtschaftliche und soziale Überlegungen umfasst. Durch den Aufbau von </w:t>
      </w:r>
      <w:r w:rsidR="00541532">
        <w:rPr>
          <w:rFonts w:eastAsia="Calibri" w:cs="Arial"/>
          <w:lang w:val="de-DE"/>
        </w:rPr>
        <w:t>K</w:t>
      </w:r>
      <w:r w:rsidRPr="00F01372">
        <w:rPr>
          <w:rFonts w:eastAsia="Calibri" w:cs="Arial"/>
          <w:lang w:val="de-DE"/>
        </w:rPr>
        <w:t xml:space="preserve">apazitäten in den Gesundheitseinrichtungen, die Bereitstellung finanzieller Mittel, die Einbindung der Bevölkerung und die Qualifizierung des Personals in den Zielregionen ist das Projekt gut positioniert, um seine langfristige Nachhaltigkeit zu gewährleisten. </w:t>
      </w:r>
      <w:r w:rsidR="00CE2AF2" w:rsidRPr="00CE2AF2">
        <w:rPr>
          <w:rFonts w:eastAsia="Calibri" w:cs="Arial"/>
          <w:lang w:val="de-DE"/>
        </w:rPr>
        <w:t xml:space="preserve">Der Einfluss der geschulten Fachkräfte reicht über die Projektdauer hinaus und fördert die Nachhaltigkeit und die dauerhafte Wirkung </w:t>
      </w:r>
      <w:r w:rsidR="00A26D0E">
        <w:rPr>
          <w:rFonts w:eastAsia="Calibri" w:cs="Arial"/>
          <w:lang w:val="de-DE"/>
        </w:rPr>
        <w:t>in den Zielregionen</w:t>
      </w:r>
      <w:r w:rsidR="00CE2AF2" w:rsidRPr="00CE2AF2">
        <w:rPr>
          <w:rFonts w:eastAsia="Calibri" w:cs="Arial"/>
          <w:lang w:val="de-DE"/>
        </w:rPr>
        <w:t>.</w:t>
      </w:r>
    </w:p>
    <w:p w14:paraId="3979EDAA" w14:textId="77777777" w:rsidR="00D17151" w:rsidRPr="00F01372" w:rsidRDefault="00D17151" w:rsidP="00D17151">
      <w:pPr>
        <w:rPr>
          <w:rFonts w:eastAsia="Calibri" w:cs="Arial"/>
          <w:lang w:val="de-DE"/>
        </w:rPr>
      </w:pPr>
    </w:p>
    <w:p w14:paraId="5D7CFB6A" w14:textId="4103FB01" w:rsidR="00A51E15" w:rsidRDefault="00F2665B">
      <w:pPr>
        <w:rPr>
          <w:rFonts w:eastAsia="Calibri" w:cs="Arial"/>
          <w:b/>
          <w:bCs/>
        </w:rPr>
      </w:pPr>
      <w:proofErr w:type="spellStart"/>
      <w:r w:rsidRPr="6259D50B">
        <w:rPr>
          <w:rFonts w:eastAsia="Calibri" w:cs="Arial"/>
          <w:b/>
          <w:bCs/>
        </w:rPr>
        <w:t>Empfehlungen</w:t>
      </w:r>
      <w:proofErr w:type="spellEnd"/>
      <w:r w:rsidR="00A85F6A">
        <w:rPr>
          <w:rFonts w:eastAsia="Calibri" w:cs="Arial"/>
          <w:b/>
          <w:bCs/>
        </w:rPr>
        <w:t>:</w:t>
      </w:r>
    </w:p>
    <w:p w14:paraId="72972801" w14:textId="77777777" w:rsidR="000F1664" w:rsidRDefault="000F1664">
      <w:pPr>
        <w:rPr>
          <w:rFonts w:eastAsia="Calibri" w:cs="Arial"/>
        </w:rPr>
      </w:pPr>
    </w:p>
    <w:p w14:paraId="1EC6037A" w14:textId="77495349" w:rsidR="00A51E15" w:rsidRPr="005A0148" w:rsidRDefault="00C219AD">
      <w:pPr>
        <w:numPr>
          <w:ilvl w:val="0"/>
          <w:numId w:val="1"/>
        </w:numPr>
        <w:rPr>
          <w:rFonts w:eastAsia="Calibri" w:cs="Arial"/>
          <w:lang w:val="de-DE"/>
        </w:rPr>
      </w:pPr>
      <w:r>
        <w:rPr>
          <w:rFonts w:eastAsia="Calibri" w:cs="Arial"/>
          <w:b/>
          <w:bCs/>
          <w:lang w:val="de-DE"/>
        </w:rPr>
        <w:t>Vermeidung einer</w:t>
      </w:r>
      <w:r w:rsidRPr="005A0148">
        <w:rPr>
          <w:rFonts w:eastAsia="Calibri" w:cs="Arial"/>
          <w:b/>
          <w:bCs/>
          <w:lang w:val="de-DE"/>
        </w:rPr>
        <w:t xml:space="preserve"> Überlastung des Gesundheitssystems</w:t>
      </w:r>
      <w:r w:rsidRPr="005A0148">
        <w:rPr>
          <w:rFonts w:eastAsia="Calibri" w:cs="Arial"/>
          <w:lang w:val="de-DE"/>
        </w:rPr>
        <w:t xml:space="preserve">: </w:t>
      </w:r>
      <w:r w:rsidR="00F373B3" w:rsidRPr="00F373B3">
        <w:rPr>
          <w:rFonts w:eastAsia="Calibri" w:cs="Arial"/>
          <w:lang w:val="de-DE"/>
        </w:rPr>
        <w:t xml:space="preserve">Um die Überlastung der bestehenden Gesundheitssysteme durch neue Aktivitäten abzumildern, ist ein zweigleisiger Ansatz erforderlich. Erstens sollte ein strategisches Ressourcenmanagement Vorrang haben, das eine detaillierte Bewertung der derzeitigen Ressourcen und eine sorgfältige Aufgabenverlagerung mit Unterstützung durch zusätzliche Schulungen und Zeitarbeitskräfte umfasst. Investitionen in Technologien, wie elektronische Gesundheitsakten und Telemedizin, können ebenfalls Prozesse rationalisieren und den Druck auf die Einrichtungen verringern. Zweitens sollten die Aktivitäten schrittweise umgesetzt werden, beginnend mit </w:t>
      </w:r>
      <w:r w:rsidR="001D6B37">
        <w:rPr>
          <w:rFonts w:eastAsia="Calibri" w:cs="Arial"/>
          <w:lang w:val="de-DE"/>
        </w:rPr>
        <w:t>Testphasen</w:t>
      </w:r>
      <w:r w:rsidR="005E5893">
        <w:rPr>
          <w:rFonts w:eastAsia="Calibri" w:cs="Arial"/>
          <w:lang w:val="de-DE"/>
        </w:rPr>
        <w:t xml:space="preserve">. </w:t>
      </w:r>
    </w:p>
    <w:p w14:paraId="760E5388" w14:textId="77777777" w:rsidR="004E2340" w:rsidRDefault="00F2665B" w:rsidP="004222AE">
      <w:pPr>
        <w:numPr>
          <w:ilvl w:val="0"/>
          <w:numId w:val="1"/>
        </w:numPr>
        <w:rPr>
          <w:rFonts w:eastAsia="Calibri" w:cs="Arial"/>
          <w:lang w:val="de-DE"/>
        </w:rPr>
      </w:pPr>
      <w:r w:rsidRPr="004222AE">
        <w:rPr>
          <w:rFonts w:eastAsia="Calibri" w:cs="Arial"/>
          <w:b/>
          <w:bCs/>
          <w:lang w:val="de-DE"/>
        </w:rPr>
        <w:t>Verringerung der Ungleichheit beim Zugang zu Dienstleistungen</w:t>
      </w:r>
      <w:r w:rsidRPr="004222AE">
        <w:rPr>
          <w:rFonts w:eastAsia="Calibri" w:cs="Arial"/>
          <w:lang w:val="de-DE"/>
        </w:rPr>
        <w:t xml:space="preserve">: </w:t>
      </w:r>
      <w:r w:rsidR="004222AE" w:rsidRPr="004222AE">
        <w:rPr>
          <w:rFonts w:eastAsia="Calibri" w:cs="Arial"/>
          <w:lang w:val="de-DE"/>
        </w:rPr>
        <w:t>Um die Ungleichheit beim Zugang zu spezialisierten Ohr- und Gehör</w:t>
      </w:r>
      <w:r w:rsidR="000B445F">
        <w:rPr>
          <w:rFonts w:eastAsia="Calibri" w:cs="Arial"/>
          <w:lang w:val="de-DE"/>
        </w:rPr>
        <w:t>gesundheits</w:t>
      </w:r>
      <w:r w:rsidR="004222AE" w:rsidRPr="004222AE">
        <w:rPr>
          <w:rFonts w:eastAsia="Calibri" w:cs="Arial"/>
          <w:lang w:val="de-DE"/>
        </w:rPr>
        <w:t xml:space="preserve">diensten zu beseitigen, wird ein mobiles Gesundheitsmodell empfohlen, das durch telemedizinische Dienste ergänzt wird. Bei diesem Ansatz werden mobile Kliniken, die mit der notwendigen medizinischen Ausrüstung und dem nötigen Personal ausgestattet sind, in abgelegene und unterprivilegierte Gebiete entsandt, um die Reichweite der Gesundheitsdienste über die festen Projektstandorte hinaus zu erhöhen. Darüber hinaus ermöglicht die Integration der Telemedizin den Patienten in diesen abgelegenen Gebieten die Konsultation von Fachärzten per Videokonferenz - eine Strategie, die den Zugang zur Gesundheitsversorgung in den ländlichen Regionen Australiens erfolgreich verbessert hat. </w:t>
      </w:r>
    </w:p>
    <w:p w14:paraId="26F33B8C" w14:textId="4BBF05D6" w:rsidR="00A51E15" w:rsidRPr="004222AE" w:rsidRDefault="00F2665B" w:rsidP="004222AE">
      <w:pPr>
        <w:numPr>
          <w:ilvl w:val="0"/>
          <w:numId w:val="1"/>
        </w:numPr>
        <w:rPr>
          <w:rFonts w:eastAsia="Calibri" w:cs="Arial"/>
          <w:lang w:val="de-DE"/>
        </w:rPr>
      </w:pPr>
      <w:r w:rsidRPr="004222AE">
        <w:rPr>
          <w:rFonts w:eastAsia="Calibri" w:cs="Arial"/>
          <w:b/>
          <w:bCs/>
          <w:lang w:val="de-DE"/>
        </w:rPr>
        <w:t>Mögliche Stigmatisierung bekämpfen</w:t>
      </w:r>
      <w:r w:rsidRPr="004222AE">
        <w:rPr>
          <w:rFonts w:eastAsia="Calibri" w:cs="Arial"/>
          <w:lang w:val="de-DE"/>
        </w:rPr>
        <w:t xml:space="preserve">: </w:t>
      </w:r>
      <w:r w:rsidR="000B490E" w:rsidRPr="000B490E">
        <w:rPr>
          <w:rFonts w:eastAsia="Calibri" w:cs="Arial"/>
          <w:lang w:val="de-DE"/>
        </w:rPr>
        <w:t>Um das Risiko der Stigmatisierung bei Projekten, die sich auf Menschen mit Hörbehinderungen konzentrieren, zu verringern, wird eine integrative Kommunikations- und Bildungsstrategie empfohlen. Diese Strategie sollte Hörbehinderungen als eine von vielen normalen Variationen menschlicher Erfahrungen darstellen und nicht als ein definierendes Merkmal, das die Menschen voneinander unterscheidet. Kampagnen und Bildungsprogramme sollten die vielfältigen Fähigkeiten und Beiträge von Menschen mit Hörbehinderungen hervorheben und sie in verschiedenen Rollen und Aktivitäten zeigen, die in der breiten Öffentlichkeit Anklang finden.</w:t>
      </w:r>
    </w:p>
    <w:p w14:paraId="7EE76D0E" w14:textId="0AE36E17" w:rsidR="004412C0" w:rsidRDefault="00F2665B" w:rsidP="008E270B">
      <w:pPr>
        <w:numPr>
          <w:ilvl w:val="0"/>
          <w:numId w:val="1"/>
        </w:numPr>
        <w:rPr>
          <w:rFonts w:eastAsia="Calibri" w:cs="Arial"/>
          <w:lang w:val="de-DE"/>
        </w:rPr>
      </w:pPr>
      <w:r w:rsidRPr="008E270B">
        <w:rPr>
          <w:rFonts w:eastAsia="Calibri" w:cs="Arial"/>
          <w:b/>
          <w:bCs/>
          <w:lang w:val="de-DE"/>
        </w:rPr>
        <w:t>Verstärkung der Maßnahmen zum Datenschutz</w:t>
      </w:r>
      <w:r w:rsidRPr="008E270B">
        <w:rPr>
          <w:rFonts w:eastAsia="Calibri" w:cs="Arial"/>
          <w:lang w:val="de-DE"/>
        </w:rPr>
        <w:t xml:space="preserve">: </w:t>
      </w:r>
      <w:r w:rsidR="008E270B" w:rsidRPr="008E270B">
        <w:rPr>
          <w:rFonts w:eastAsia="Calibri" w:cs="Arial"/>
          <w:lang w:val="de-DE"/>
        </w:rPr>
        <w:t>Um Datenschutzbedenken bei der Erhebung und Verarbeitung medizinischer Daten auszuräumen, ist die Einführung eines soliden Datenschutzrahmens unerlässlich. Dieser Rahmen sollte die strikte Einhaltung der Datenschutzgesetze, regelmäßige Mitarbeiterschulungen zu</w:t>
      </w:r>
      <w:r w:rsidR="004412C0">
        <w:rPr>
          <w:rFonts w:eastAsia="Calibri" w:cs="Arial"/>
          <w:lang w:val="de-DE"/>
        </w:rPr>
        <w:t>m Thema</w:t>
      </w:r>
      <w:r w:rsidR="008E270B" w:rsidRPr="008E270B">
        <w:rPr>
          <w:rFonts w:eastAsia="Calibri" w:cs="Arial"/>
          <w:lang w:val="de-DE"/>
        </w:rPr>
        <w:t xml:space="preserve"> Vertraulichkeit und ethische</w:t>
      </w:r>
      <w:r w:rsidR="004412C0">
        <w:rPr>
          <w:rFonts w:eastAsia="Calibri" w:cs="Arial"/>
          <w:lang w:val="de-DE"/>
        </w:rPr>
        <w:t>m</w:t>
      </w:r>
      <w:r w:rsidR="008E270B" w:rsidRPr="008E270B">
        <w:rPr>
          <w:rFonts w:eastAsia="Calibri" w:cs="Arial"/>
          <w:lang w:val="de-DE"/>
        </w:rPr>
        <w:t xml:space="preserve"> Umgang mit Daten sowie die Verwendung sicherer, verschlüsselter Datensysteme umfassen.</w:t>
      </w:r>
    </w:p>
    <w:p w14:paraId="2789262D" w14:textId="02EAA5CD" w:rsidR="00A51E15" w:rsidRPr="008E270B" w:rsidRDefault="00F2665B" w:rsidP="008E270B">
      <w:pPr>
        <w:numPr>
          <w:ilvl w:val="0"/>
          <w:numId w:val="1"/>
        </w:numPr>
        <w:rPr>
          <w:rFonts w:eastAsia="Calibri" w:cs="Arial"/>
          <w:lang w:val="de-DE"/>
        </w:rPr>
      </w:pPr>
      <w:r w:rsidRPr="008E270B">
        <w:rPr>
          <w:rFonts w:eastAsia="Calibri" w:cs="Arial"/>
          <w:b/>
          <w:bCs/>
          <w:lang w:val="de-DE"/>
        </w:rPr>
        <w:t>Verhinderung nicht nachhaltiger Abhängigkeiten</w:t>
      </w:r>
      <w:r w:rsidRPr="008E270B">
        <w:rPr>
          <w:rFonts w:eastAsia="Calibri" w:cs="Arial"/>
          <w:lang w:val="de-DE"/>
        </w:rPr>
        <w:t>: Konzentration auf den Aufbau lokaler Kapazitäten und schrittweise Verringerung der externen Unterstützung, um die Eigenständigkeit der Gesundheitsdienste zu fördern.</w:t>
      </w:r>
    </w:p>
    <w:p w14:paraId="32F7D12E" w14:textId="77777777" w:rsidR="00703573" w:rsidRDefault="00F2665B" w:rsidP="00B57B26">
      <w:pPr>
        <w:numPr>
          <w:ilvl w:val="0"/>
          <w:numId w:val="1"/>
        </w:numPr>
        <w:rPr>
          <w:rFonts w:eastAsia="Calibri" w:cs="Arial"/>
          <w:lang w:val="de-DE"/>
        </w:rPr>
      </w:pPr>
      <w:r w:rsidRPr="00B57B26">
        <w:rPr>
          <w:rFonts w:eastAsia="Calibri" w:cs="Arial"/>
          <w:b/>
          <w:bCs/>
          <w:lang w:val="de-DE"/>
        </w:rPr>
        <w:t xml:space="preserve">Umsetzung </w:t>
      </w:r>
      <w:r w:rsidR="00FE5691" w:rsidRPr="00B57B26">
        <w:rPr>
          <w:rFonts w:eastAsia="Calibri" w:cs="Arial"/>
          <w:b/>
          <w:bCs/>
          <w:lang w:val="de-DE"/>
        </w:rPr>
        <w:t>eines gemein</w:t>
      </w:r>
      <w:r w:rsidR="00B57B26" w:rsidRPr="00B57B26">
        <w:rPr>
          <w:rFonts w:eastAsia="Calibri" w:cs="Arial"/>
          <w:b/>
          <w:bCs/>
          <w:lang w:val="de-DE"/>
        </w:rPr>
        <w:t>denahen</w:t>
      </w:r>
      <w:r w:rsidR="00FE5691" w:rsidRPr="00B57B26">
        <w:rPr>
          <w:rFonts w:eastAsia="Calibri" w:cs="Arial"/>
          <w:b/>
          <w:bCs/>
          <w:lang w:val="de-DE"/>
        </w:rPr>
        <w:t xml:space="preserve"> Monitorings</w:t>
      </w:r>
      <w:r w:rsidRPr="00B57B26">
        <w:rPr>
          <w:rFonts w:eastAsia="Calibri" w:cs="Arial"/>
          <w:lang w:val="de-DE"/>
        </w:rPr>
        <w:t xml:space="preserve">: </w:t>
      </w:r>
      <w:r w:rsidR="00B57B26" w:rsidRPr="00B57B26">
        <w:rPr>
          <w:rFonts w:eastAsia="Calibri" w:cs="Arial"/>
          <w:lang w:val="de-DE"/>
        </w:rPr>
        <w:t>Einführung eines gemeinde</w:t>
      </w:r>
      <w:r w:rsidR="00B57B26">
        <w:rPr>
          <w:rFonts w:eastAsia="Calibri" w:cs="Arial"/>
          <w:lang w:val="de-DE"/>
        </w:rPr>
        <w:t>nahen</w:t>
      </w:r>
      <w:r w:rsidR="00B57B26" w:rsidRPr="00B57B26">
        <w:rPr>
          <w:rFonts w:eastAsia="Calibri" w:cs="Arial"/>
          <w:lang w:val="de-DE"/>
        </w:rPr>
        <w:t xml:space="preserve"> </w:t>
      </w:r>
      <w:r w:rsidR="007D0A09">
        <w:rPr>
          <w:rFonts w:eastAsia="Calibri" w:cs="Arial"/>
          <w:lang w:val="de-DE"/>
        </w:rPr>
        <w:t>M</w:t>
      </w:r>
      <w:r w:rsidR="00B57B26">
        <w:rPr>
          <w:rFonts w:eastAsia="Calibri" w:cs="Arial"/>
          <w:lang w:val="de-DE"/>
        </w:rPr>
        <w:t>onitoring</w:t>
      </w:r>
      <w:r w:rsidR="00B57B26" w:rsidRPr="00B57B26">
        <w:rPr>
          <w:rFonts w:eastAsia="Calibri" w:cs="Arial"/>
          <w:lang w:val="de-DE"/>
        </w:rPr>
        <w:t>systems unter Einbeziehung von Akteuren auf Gemeindeebene wie Community Health-</w:t>
      </w:r>
      <w:proofErr w:type="spellStart"/>
      <w:r w:rsidR="00B57B26" w:rsidRPr="00B57B26">
        <w:rPr>
          <w:rFonts w:eastAsia="Calibri" w:cs="Arial"/>
          <w:lang w:val="de-DE"/>
        </w:rPr>
        <w:t>Workern</w:t>
      </w:r>
      <w:proofErr w:type="spellEnd"/>
      <w:r w:rsidR="00B57B26" w:rsidRPr="00B57B26">
        <w:rPr>
          <w:rFonts w:eastAsia="Calibri" w:cs="Arial"/>
          <w:lang w:val="de-DE"/>
        </w:rPr>
        <w:t xml:space="preserve">, und </w:t>
      </w:r>
      <w:proofErr w:type="spellStart"/>
      <w:proofErr w:type="gramStart"/>
      <w:r w:rsidR="00B57B26" w:rsidRPr="00B57B26">
        <w:rPr>
          <w:rFonts w:eastAsia="Calibri" w:cs="Arial"/>
          <w:lang w:val="de-DE"/>
        </w:rPr>
        <w:t>Lehrer</w:t>
      </w:r>
      <w:r w:rsidR="007D0A09">
        <w:rPr>
          <w:rFonts w:eastAsia="Calibri" w:cs="Arial"/>
          <w:lang w:val="de-DE"/>
        </w:rPr>
        <w:t>:innen</w:t>
      </w:r>
      <w:proofErr w:type="spellEnd"/>
      <w:proofErr w:type="gramEnd"/>
      <w:r w:rsidR="00B57B26" w:rsidRPr="00B57B26">
        <w:rPr>
          <w:rFonts w:eastAsia="Calibri" w:cs="Arial"/>
          <w:lang w:val="de-DE"/>
        </w:rPr>
        <w:t>, die darin geschult werden, Daten über benutzerfreundliche digitale Tools (wie mobile Apps oder SMS-Meldungen) zu erfassen.</w:t>
      </w:r>
    </w:p>
    <w:p w14:paraId="7DB605AB" w14:textId="551F75D2" w:rsidR="00A51E15" w:rsidRPr="00B57B26" w:rsidRDefault="00F2665B" w:rsidP="00B57B26">
      <w:pPr>
        <w:numPr>
          <w:ilvl w:val="0"/>
          <w:numId w:val="1"/>
        </w:numPr>
        <w:rPr>
          <w:rFonts w:eastAsia="Calibri" w:cs="Arial"/>
          <w:lang w:val="de-DE"/>
        </w:rPr>
      </w:pPr>
      <w:r w:rsidRPr="00B57B26">
        <w:rPr>
          <w:rFonts w:eastAsia="Calibri" w:cs="Arial"/>
          <w:b/>
          <w:bCs/>
          <w:lang w:val="de-DE"/>
        </w:rPr>
        <w:t>Qualitative Indikatoren verfeinern</w:t>
      </w:r>
      <w:r w:rsidRPr="00B57B26">
        <w:rPr>
          <w:rFonts w:eastAsia="Calibri" w:cs="Arial"/>
          <w:lang w:val="de-DE"/>
        </w:rPr>
        <w:t>: Definieren und quantifizieren Sie die qualitativen Indikatoren mithilfe strukturierter Erhebungen und spezifischer Benchmarks klar und deutlich.</w:t>
      </w:r>
    </w:p>
    <w:p w14:paraId="4B0473F2" w14:textId="4953764A" w:rsidR="00A51E15" w:rsidRPr="005A0148" w:rsidRDefault="00F2665B">
      <w:pPr>
        <w:numPr>
          <w:ilvl w:val="0"/>
          <w:numId w:val="1"/>
        </w:numPr>
        <w:rPr>
          <w:rFonts w:eastAsia="Calibri" w:cs="Arial"/>
          <w:lang w:val="de-DE"/>
        </w:rPr>
      </w:pPr>
      <w:r w:rsidRPr="005A0148">
        <w:rPr>
          <w:rFonts w:eastAsia="Calibri" w:cs="Arial"/>
          <w:b/>
          <w:bCs/>
          <w:lang w:val="de-DE"/>
        </w:rPr>
        <w:lastRenderedPageBreak/>
        <w:t>Sicherstellen, dass die Ergebnisse messbar und realisierbar sind</w:t>
      </w:r>
      <w:r w:rsidRPr="005A0148">
        <w:rPr>
          <w:rFonts w:eastAsia="Calibri" w:cs="Arial"/>
          <w:lang w:val="de-DE"/>
        </w:rPr>
        <w:t xml:space="preserve">: Definieren Sie spezifische, quantifizierbare Ziele für Ergebnisse wie </w:t>
      </w:r>
      <w:r w:rsidR="00993C53">
        <w:rPr>
          <w:rFonts w:eastAsia="Calibri" w:cs="Arial"/>
          <w:lang w:val="de-DE"/>
        </w:rPr>
        <w:t>„</w:t>
      </w:r>
      <w:r w:rsidRPr="005A0148">
        <w:rPr>
          <w:rFonts w:eastAsia="Calibri" w:cs="Arial"/>
          <w:lang w:val="de-DE"/>
        </w:rPr>
        <w:t xml:space="preserve">Stärkung von Organisationen </w:t>
      </w:r>
      <w:r w:rsidR="0000768D">
        <w:rPr>
          <w:rFonts w:eastAsia="Calibri" w:cs="Arial"/>
          <w:lang w:val="de-DE"/>
        </w:rPr>
        <w:t>von Menschen mit Hörbeeinträchtigungen“</w:t>
      </w:r>
      <w:r w:rsidRPr="005A0148">
        <w:rPr>
          <w:rFonts w:eastAsia="Calibri" w:cs="Arial"/>
          <w:lang w:val="de-DE"/>
        </w:rPr>
        <w:t>.</w:t>
      </w:r>
    </w:p>
    <w:p w14:paraId="04E0EA74" w14:textId="27EDE8D0" w:rsidR="00A51E15" w:rsidRPr="005A0148" w:rsidRDefault="00F2665B">
      <w:pPr>
        <w:numPr>
          <w:ilvl w:val="0"/>
          <w:numId w:val="1"/>
        </w:numPr>
        <w:rPr>
          <w:rFonts w:eastAsia="Calibri" w:cs="Arial"/>
          <w:lang w:val="de-DE"/>
        </w:rPr>
      </w:pPr>
      <w:r w:rsidRPr="005A0148">
        <w:rPr>
          <w:rFonts w:eastAsia="Calibri" w:cs="Arial"/>
          <w:b/>
          <w:bCs/>
          <w:lang w:val="de-DE"/>
        </w:rPr>
        <w:t>Beratungsdienste einbinden</w:t>
      </w:r>
      <w:r w:rsidRPr="005A0148">
        <w:rPr>
          <w:rFonts w:eastAsia="Calibri" w:cs="Arial"/>
          <w:lang w:val="de-DE"/>
        </w:rPr>
        <w:t xml:space="preserve">: Einrichtung von Beratungsstellen in Pflegeeinrichtungen und </w:t>
      </w:r>
      <w:r w:rsidR="0096414A">
        <w:rPr>
          <w:rFonts w:eastAsia="Calibri" w:cs="Arial"/>
          <w:lang w:val="de-DE"/>
        </w:rPr>
        <w:t>bei Screening Programmen</w:t>
      </w:r>
      <w:r w:rsidRPr="005A0148">
        <w:rPr>
          <w:rFonts w:eastAsia="Calibri" w:cs="Arial"/>
          <w:lang w:val="de-DE"/>
        </w:rPr>
        <w:t>, die umfassende Unterstützung für Einzelpersonen und Familien bieten.</w:t>
      </w:r>
    </w:p>
    <w:p w14:paraId="438F07F5" w14:textId="271CC8D2" w:rsidR="00A51E15" w:rsidRPr="005A0148" w:rsidRDefault="00F2665B">
      <w:pPr>
        <w:numPr>
          <w:ilvl w:val="0"/>
          <w:numId w:val="1"/>
        </w:numPr>
        <w:rPr>
          <w:rFonts w:eastAsia="Calibri" w:cs="Arial"/>
          <w:lang w:val="de-DE"/>
        </w:rPr>
      </w:pPr>
      <w:r w:rsidRPr="005A0148">
        <w:rPr>
          <w:rFonts w:eastAsia="Calibri" w:cs="Arial"/>
          <w:b/>
          <w:bCs/>
          <w:lang w:val="de-DE"/>
        </w:rPr>
        <w:t>Nutzen Sie die soziale Verantwortung der Unternehmen</w:t>
      </w:r>
      <w:r w:rsidRPr="005A0148">
        <w:rPr>
          <w:rFonts w:eastAsia="Calibri" w:cs="Arial"/>
          <w:lang w:val="de-DE"/>
        </w:rPr>
        <w:t xml:space="preserve">: Engagieren Sie sich im Rahmen von </w:t>
      </w:r>
      <w:r w:rsidR="005F368E">
        <w:rPr>
          <w:rFonts w:eastAsia="Calibri" w:cs="Arial"/>
          <w:lang w:val="de-DE"/>
        </w:rPr>
        <w:t>Co</w:t>
      </w:r>
      <w:r w:rsidR="00425FD9">
        <w:rPr>
          <w:rFonts w:eastAsia="Calibri" w:cs="Arial"/>
          <w:lang w:val="de-DE"/>
        </w:rPr>
        <w:t>r</w:t>
      </w:r>
      <w:r w:rsidR="00B575F4">
        <w:rPr>
          <w:rFonts w:eastAsia="Calibri" w:cs="Arial"/>
          <w:lang w:val="de-DE"/>
        </w:rPr>
        <w:t>p</w:t>
      </w:r>
      <w:r w:rsidR="00425FD9">
        <w:rPr>
          <w:rFonts w:eastAsia="Calibri" w:cs="Arial"/>
          <w:lang w:val="de-DE"/>
        </w:rPr>
        <w:t>orate</w:t>
      </w:r>
      <w:r w:rsidR="00B575F4">
        <w:rPr>
          <w:rFonts w:eastAsia="Calibri" w:cs="Arial"/>
          <w:lang w:val="de-DE"/>
        </w:rPr>
        <w:t xml:space="preserve"> </w:t>
      </w:r>
      <w:proofErr w:type="spellStart"/>
      <w:r w:rsidR="00B575F4">
        <w:rPr>
          <w:rFonts w:eastAsia="Calibri" w:cs="Arial"/>
          <w:lang w:val="de-DE"/>
        </w:rPr>
        <w:t>Social</w:t>
      </w:r>
      <w:proofErr w:type="spellEnd"/>
      <w:r w:rsidR="00B575F4">
        <w:rPr>
          <w:rFonts w:eastAsia="Calibri" w:cs="Arial"/>
          <w:lang w:val="de-DE"/>
        </w:rPr>
        <w:t xml:space="preserve"> </w:t>
      </w:r>
      <w:proofErr w:type="spellStart"/>
      <w:r w:rsidR="00B575F4">
        <w:rPr>
          <w:rFonts w:eastAsia="Calibri" w:cs="Arial"/>
          <w:lang w:val="de-DE"/>
        </w:rPr>
        <w:t>Responsib</w:t>
      </w:r>
      <w:r w:rsidR="00FA435E">
        <w:rPr>
          <w:rFonts w:eastAsia="Calibri" w:cs="Arial"/>
          <w:lang w:val="de-DE"/>
        </w:rPr>
        <w:t>i</w:t>
      </w:r>
      <w:r w:rsidR="00B575F4">
        <w:rPr>
          <w:rFonts w:eastAsia="Calibri" w:cs="Arial"/>
          <w:lang w:val="de-DE"/>
        </w:rPr>
        <w:t>lity</w:t>
      </w:r>
      <w:proofErr w:type="spellEnd"/>
      <w:r w:rsidR="00B575F4">
        <w:rPr>
          <w:rFonts w:eastAsia="Calibri" w:cs="Arial"/>
          <w:lang w:val="de-DE"/>
        </w:rPr>
        <w:t xml:space="preserve"> (</w:t>
      </w:r>
      <w:r w:rsidRPr="005A0148">
        <w:rPr>
          <w:rFonts w:eastAsia="Calibri" w:cs="Arial"/>
          <w:lang w:val="de-DE"/>
        </w:rPr>
        <w:t>CSR</w:t>
      </w:r>
      <w:r w:rsidR="00B575F4">
        <w:rPr>
          <w:rFonts w:eastAsia="Calibri" w:cs="Arial"/>
          <w:lang w:val="de-DE"/>
        </w:rPr>
        <w:t>)</w:t>
      </w:r>
      <w:r w:rsidRPr="005A0148">
        <w:rPr>
          <w:rFonts w:eastAsia="Calibri" w:cs="Arial"/>
          <w:lang w:val="de-DE"/>
        </w:rPr>
        <w:t>-Initiativen mit Unternehmen und Nichtregierungsorganisationen für Partnerschaften in den Bereichen Technologie, Finanzierung und Know-how.</w:t>
      </w:r>
    </w:p>
    <w:p w14:paraId="61311519" w14:textId="5DFF4D58" w:rsidR="00A51E15" w:rsidRPr="005A0148" w:rsidRDefault="00F2665B">
      <w:pPr>
        <w:numPr>
          <w:ilvl w:val="0"/>
          <w:numId w:val="1"/>
        </w:numPr>
        <w:rPr>
          <w:rFonts w:eastAsia="Calibri" w:cs="Arial"/>
          <w:lang w:val="de-DE"/>
        </w:rPr>
      </w:pPr>
      <w:r w:rsidRPr="005A0148">
        <w:rPr>
          <w:rFonts w:eastAsia="Calibri" w:cs="Arial"/>
          <w:b/>
          <w:bCs/>
          <w:lang w:val="de-DE"/>
        </w:rPr>
        <w:t>Erweiter</w:t>
      </w:r>
      <w:r w:rsidR="007923D6">
        <w:rPr>
          <w:rFonts w:eastAsia="Calibri" w:cs="Arial"/>
          <w:b/>
          <w:bCs/>
          <w:lang w:val="de-DE"/>
        </w:rPr>
        <w:t>te Einbeziehung v</w:t>
      </w:r>
      <w:r w:rsidRPr="005A0148">
        <w:rPr>
          <w:rFonts w:eastAsia="Calibri" w:cs="Arial"/>
          <w:b/>
          <w:bCs/>
          <w:lang w:val="de-DE"/>
        </w:rPr>
        <w:t>on Interessengruppen</w:t>
      </w:r>
      <w:r w:rsidRPr="005A0148">
        <w:rPr>
          <w:rFonts w:eastAsia="Calibri" w:cs="Arial"/>
          <w:lang w:val="de-DE"/>
        </w:rPr>
        <w:t xml:space="preserve">: </w:t>
      </w:r>
      <w:r w:rsidR="007923D6" w:rsidRPr="007923D6">
        <w:rPr>
          <w:rFonts w:eastAsia="Calibri" w:cs="Arial"/>
          <w:lang w:val="de-DE"/>
        </w:rPr>
        <w:t xml:space="preserve">Aktive Einbeziehung der lokalen Behörden, Ward Development </w:t>
      </w:r>
      <w:proofErr w:type="spellStart"/>
      <w:r w:rsidR="007923D6" w:rsidRPr="007923D6">
        <w:rPr>
          <w:rFonts w:eastAsia="Calibri" w:cs="Arial"/>
          <w:lang w:val="de-DE"/>
        </w:rPr>
        <w:t>Committees</w:t>
      </w:r>
      <w:proofErr w:type="spellEnd"/>
      <w:r w:rsidR="007923D6" w:rsidRPr="007923D6">
        <w:rPr>
          <w:rFonts w:eastAsia="Calibri" w:cs="Arial"/>
          <w:lang w:val="de-DE"/>
        </w:rPr>
        <w:t xml:space="preserve">, Community </w:t>
      </w:r>
      <w:proofErr w:type="spellStart"/>
      <w:r w:rsidR="007923D6" w:rsidRPr="007923D6">
        <w:rPr>
          <w:rFonts w:eastAsia="Calibri" w:cs="Arial"/>
          <w:lang w:val="de-DE"/>
        </w:rPr>
        <w:t>Welfare</w:t>
      </w:r>
      <w:proofErr w:type="spellEnd"/>
      <w:r w:rsidR="007923D6" w:rsidRPr="007923D6">
        <w:rPr>
          <w:rFonts w:eastAsia="Calibri" w:cs="Arial"/>
          <w:lang w:val="de-DE"/>
        </w:rPr>
        <w:t xml:space="preserve"> </w:t>
      </w:r>
      <w:proofErr w:type="spellStart"/>
      <w:r w:rsidR="007923D6" w:rsidRPr="007923D6">
        <w:rPr>
          <w:rFonts w:eastAsia="Calibri" w:cs="Arial"/>
          <w:lang w:val="de-DE"/>
        </w:rPr>
        <w:t>Assistant</w:t>
      </w:r>
      <w:proofErr w:type="spellEnd"/>
      <w:r w:rsidR="007923D6" w:rsidRPr="007923D6">
        <w:rPr>
          <w:rFonts w:eastAsia="Calibri" w:cs="Arial"/>
          <w:lang w:val="de-DE"/>
        </w:rPr>
        <w:t xml:space="preserve"> </w:t>
      </w:r>
      <w:proofErr w:type="spellStart"/>
      <w:r w:rsidR="007923D6" w:rsidRPr="007923D6">
        <w:rPr>
          <w:rFonts w:eastAsia="Calibri" w:cs="Arial"/>
          <w:lang w:val="de-DE"/>
        </w:rPr>
        <w:t>Committees</w:t>
      </w:r>
      <w:proofErr w:type="spellEnd"/>
      <w:r w:rsidR="007923D6" w:rsidRPr="007923D6">
        <w:rPr>
          <w:rFonts w:eastAsia="Calibri" w:cs="Arial"/>
          <w:lang w:val="de-DE"/>
        </w:rPr>
        <w:t xml:space="preserve"> und des Department </w:t>
      </w:r>
      <w:proofErr w:type="spellStart"/>
      <w:r w:rsidR="007923D6" w:rsidRPr="007923D6">
        <w:rPr>
          <w:rFonts w:eastAsia="Calibri" w:cs="Arial"/>
          <w:lang w:val="de-DE"/>
        </w:rPr>
        <w:t>of</w:t>
      </w:r>
      <w:proofErr w:type="spellEnd"/>
      <w:r w:rsidR="007923D6" w:rsidRPr="007923D6">
        <w:rPr>
          <w:rFonts w:eastAsia="Calibri" w:cs="Arial"/>
          <w:lang w:val="de-DE"/>
        </w:rPr>
        <w:t xml:space="preserve"> </w:t>
      </w:r>
      <w:proofErr w:type="spellStart"/>
      <w:r w:rsidR="007923D6" w:rsidRPr="007923D6">
        <w:rPr>
          <w:rFonts w:eastAsia="Calibri" w:cs="Arial"/>
          <w:lang w:val="de-DE"/>
        </w:rPr>
        <w:t>Social</w:t>
      </w:r>
      <w:proofErr w:type="spellEnd"/>
      <w:r w:rsidR="007923D6" w:rsidRPr="007923D6">
        <w:rPr>
          <w:rFonts w:eastAsia="Calibri" w:cs="Arial"/>
          <w:lang w:val="de-DE"/>
        </w:rPr>
        <w:t xml:space="preserve"> </w:t>
      </w:r>
      <w:proofErr w:type="spellStart"/>
      <w:r w:rsidR="007923D6" w:rsidRPr="007923D6">
        <w:rPr>
          <w:rFonts w:eastAsia="Calibri" w:cs="Arial"/>
          <w:lang w:val="de-DE"/>
        </w:rPr>
        <w:t>Welfare</w:t>
      </w:r>
      <w:proofErr w:type="spellEnd"/>
      <w:r w:rsidR="007923D6" w:rsidRPr="007923D6">
        <w:rPr>
          <w:rFonts w:eastAsia="Calibri" w:cs="Arial"/>
          <w:lang w:val="de-DE"/>
        </w:rPr>
        <w:t xml:space="preserve"> </w:t>
      </w:r>
      <w:r w:rsidR="00DB3493">
        <w:rPr>
          <w:rFonts w:eastAsia="Calibri" w:cs="Arial"/>
          <w:lang w:val="de-DE"/>
        </w:rPr>
        <w:t>als Stakeholder</w:t>
      </w:r>
      <w:r w:rsidR="007923D6" w:rsidRPr="007923D6">
        <w:rPr>
          <w:rFonts w:eastAsia="Calibri" w:cs="Arial"/>
          <w:lang w:val="de-DE"/>
        </w:rPr>
        <w:t>. Außerdem sollten Sie den privaten Sektor einbeziehen, um dessen Fachwissen und Ressourcen zu nutzen.</w:t>
      </w:r>
    </w:p>
    <w:p w14:paraId="33034AC8" w14:textId="5DBE3395" w:rsidR="00A51E15" w:rsidRPr="005A0148" w:rsidRDefault="00F2665B">
      <w:pPr>
        <w:numPr>
          <w:ilvl w:val="0"/>
          <w:numId w:val="1"/>
        </w:numPr>
        <w:rPr>
          <w:rFonts w:eastAsia="Calibri" w:cs="Arial"/>
          <w:lang w:val="de-DE"/>
        </w:rPr>
      </w:pPr>
      <w:r w:rsidRPr="005A0148">
        <w:rPr>
          <w:rFonts w:eastAsia="Calibri" w:cs="Arial"/>
          <w:b/>
          <w:bCs/>
          <w:lang w:val="de-DE"/>
        </w:rPr>
        <w:t>Operationalisierung von Verbesserungen der Lebensqualität</w:t>
      </w:r>
      <w:r w:rsidRPr="005A0148">
        <w:rPr>
          <w:rFonts w:eastAsia="Calibri" w:cs="Arial"/>
          <w:lang w:val="de-DE"/>
        </w:rPr>
        <w:t xml:space="preserve">: </w:t>
      </w:r>
      <w:r w:rsidR="00DF05FE" w:rsidRPr="00DF05FE">
        <w:rPr>
          <w:rFonts w:eastAsia="Calibri" w:cs="Arial"/>
          <w:lang w:val="de-DE"/>
        </w:rPr>
        <w:t xml:space="preserve">Das </w:t>
      </w:r>
      <w:r w:rsidR="00022134">
        <w:rPr>
          <w:rFonts w:eastAsia="Calibri" w:cs="Arial"/>
          <w:lang w:val="de-DE"/>
        </w:rPr>
        <w:t>Übergeordnete Ziel</w:t>
      </w:r>
      <w:r w:rsidR="00DF05FE" w:rsidRPr="00DF05FE">
        <w:rPr>
          <w:rFonts w:eastAsia="Calibri" w:cs="Arial"/>
          <w:lang w:val="de-DE"/>
        </w:rPr>
        <w:t xml:space="preserve"> des geplanten Projekts besteht darin, die Lebensqualität von Menschen, die mit einem Hörverlust leben oder von einem solchen bedroht sind, durch einen verbesserten Zugang zu einer kontinuierlichen Versorgung zu verbessern. Es ist notwendig, die Verbesserung der Lebensqualität zu operationalisieren. Dazu gehört die Festlegung klarer Maßstäbe dafür, was "Qualität" und "Zugang" bedeuten, wobei sichergestellt werden muss, dass diese die spezifischen Bedürfnisse und Wünsche der Zielgruppen widerspiegeln</w:t>
      </w:r>
      <w:r w:rsidRPr="005A0148">
        <w:rPr>
          <w:rFonts w:eastAsia="Calibri" w:cs="Arial"/>
          <w:lang w:val="de-DE"/>
        </w:rPr>
        <w:t>.</w:t>
      </w:r>
    </w:p>
    <w:p w14:paraId="2058A74F" w14:textId="3B4962FA" w:rsidR="00A51E15" w:rsidRPr="005A0148" w:rsidRDefault="00F2665B">
      <w:pPr>
        <w:numPr>
          <w:ilvl w:val="0"/>
          <w:numId w:val="1"/>
        </w:numPr>
        <w:rPr>
          <w:rFonts w:eastAsia="Calibri" w:cs="Arial"/>
          <w:lang w:val="de-DE"/>
        </w:rPr>
      </w:pPr>
      <w:r w:rsidRPr="005A0148">
        <w:rPr>
          <w:rFonts w:eastAsia="Calibri" w:cs="Arial"/>
          <w:b/>
          <w:bCs/>
          <w:lang w:val="de-DE"/>
        </w:rPr>
        <w:t>Integrierte Aufklärungskampagnen in ländlichen und städtischen Gebieten</w:t>
      </w:r>
      <w:r w:rsidRPr="005A0148">
        <w:rPr>
          <w:rFonts w:eastAsia="Calibri" w:cs="Arial"/>
          <w:lang w:val="de-DE"/>
        </w:rPr>
        <w:t>: Nutzung von Lokalradio und Gemeindeveranstaltungen in ländlichen Gebieten sowie von Fernsehen, Radio und sozialen Medien in städtischen Gebieten, um Informationen über Ohr- und Hör</w:t>
      </w:r>
      <w:r w:rsidR="006224FA">
        <w:rPr>
          <w:rFonts w:eastAsia="Calibri" w:cs="Arial"/>
          <w:lang w:val="de-DE"/>
        </w:rPr>
        <w:t>gesundheits</w:t>
      </w:r>
      <w:r w:rsidRPr="005A0148">
        <w:rPr>
          <w:rFonts w:eastAsia="Calibri" w:cs="Arial"/>
          <w:lang w:val="de-DE"/>
        </w:rPr>
        <w:t>versorgung effektiv zu verbreiten. Dieser Ansatz nutzt die Stärken der in jeder Region vorherrschenden Mediennutzungsgewohnheiten und sozialen Strukturen und gewährleistet eine große und wirksame Reichweite in ganz Sambia. Interaktive Programme in Schulen und öffentlichen Einrichtungen sowie die strategische Platzierung informativer Plakate fördern das Engagement und das Bewusstsein sowohl in ländlichen als auch in städtischen Gemeinden.</w:t>
      </w:r>
    </w:p>
    <w:p w14:paraId="04175493" w14:textId="77777777" w:rsidR="00D40CB9" w:rsidRPr="005A0148" w:rsidRDefault="00D40CB9">
      <w:pPr>
        <w:rPr>
          <w:lang w:val="de-DE"/>
        </w:rPr>
      </w:pPr>
    </w:p>
    <w:sectPr w:rsidR="00D40CB9" w:rsidRPr="005A0148" w:rsidSect="001D37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ource Sans Pro">
    <w:panose1 w:val="020B0503030403020204"/>
    <w:charset w:val="00"/>
    <w:family w:val="swiss"/>
    <w:notTrueType/>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D2921"/>
    <w:multiLevelType w:val="hybridMultilevel"/>
    <w:tmpl w:val="FBFA6F1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F163595"/>
    <w:multiLevelType w:val="hybridMultilevel"/>
    <w:tmpl w:val="B21EE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6A7D42"/>
    <w:multiLevelType w:val="multilevel"/>
    <w:tmpl w:val="1E946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995438">
    <w:abstractNumId w:val="2"/>
  </w:num>
  <w:num w:numId="2" w16cid:durableId="924611495">
    <w:abstractNumId w:val="1"/>
  </w:num>
  <w:num w:numId="3" w16cid:durableId="438113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151"/>
    <w:rsid w:val="0000768D"/>
    <w:rsid w:val="00014202"/>
    <w:rsid w:val="000177D3"/>
    <w:rsid w:val="00022134"/>
    <w:rsid w:val="0002280F"/>
    <w:rsid w:val="00024BA0"/>
    <w:rsid w:val="00094339"/>
    <w:rsid w:val="0009504E"/>
    <w:rsid w:val="00096B60"/>
    <w:rsid w:val="000A1527"/>
    <w:rsid w:val="000B445F"/>
    <w:rsid w:val="000B490E"/>
    <w:rsid w:val="000C2F52"/>
    <w:rsid w:val="000D7227"/>
    <w:rsid w:val="000F1664"/>
    <w:rsid w:val="001021B3"/>
    <w:rsid w:val="001200C7"/>
    <w:rsid w:val="001216BC"/>
    <w:rsid w:val="00181761"/>
    <w:rsid w:val="001862D4"/>
    <w:rsid w:val="001D3703"/>
    <w:rsid w:val="001D6B37"/>
    <w:rsid w:val="001F078B"/>
    <w:rsid w:val="0023747C"/>
    <w:rsid w:val="002503AB"/>
    <w:rsid w:val="00252EA8"/>
    <w:rsid w:val="0031643A"/>
    <w:rsid w:val="00327970"/>
    <w:rsid w:val="0034294B"/>
    <w:rsid w:val="00361FA7"/>
    <w:rsid w:val="00395835"/>
    <w:rsid w:val="003D0E43"/>
    <w:rsid w:val="003D1F28"/>
    <w:rsid w:val="0041226C"/>
    <w:rsid w:val="004222AE"/>
    <w:rsid w:val="00425FD9"/>
    <w:rsid w:val="004412C0"/>
    <w:rsid w:val="00444817"/>
    <w:rsid w:val="00450F1C"/>
    <w:rsid w:val="004A5A49"/>
    <w:rsid w:val="004B191E"/>
    <w:rsid w:val="004B324B"/>
    <w:rsid w:val="004E2340"/>
    <w:rsid w:val="00532CAB"/>
    <w:rsid w:val="00541532"/>
    <w:rsid w:val="00575469"/>
    <w:rsid w:val="00595E77"/>
    <w:rsid w:val="005A0148"/>
    <w:rsid w:val="005B1B59"/>
    <w:rsid w:val="005E5893"/>
    <w:rsid w:val="005F368E"/>
    <w:rsid w:val="006224FA"/>
    <w:rsid w:val="0064174C"/>
    <w:rsid w:val="00661973"/>
    <w:rsid w:val="00695A6C"/>
    <w:rsid w:val="006C45C2"/>
    <w:rsid w:val="006C4856"/>
    <w:rsid w:val="006C49A3"/>
    <w:rsid w:val="006F4989"/>
    <w:rsid w:val="00703573"/>
    <w:rsid w:val="00722D29"/>
    <w:rsid w:val="00737733"/>
    <w:rsid w:val="00761FA2"/>
    <w:rsid w:val="007847EF"/>
    <w:rsid w:val="0078556E"/>
    <w:rsid w:val="007923D6"/>
    <w:rsid w:val="007D0A09"/>
    <w:rsid w:val="007D4D6C"/>
    <w:rsid w:val="008A00B9"/>
    <w:rsid w:val="008A3645"/>
    <w:rsid w:val="008A3F38"/>
    <w:rsid w:val="008E0512"/>
    <w:rsid w:val="008E270B"/>
    <w:rsid w:val="00904B56"/>
    <w:rsid w:val="0096414A"/>
    <w:rsid w:val="00993C53"/>
    <w:rsid w:val="009A2990"/>
    <w:rsid w:val="009B033A"/>
    <w:rsid w:val="009E0AD6"/>
    <w:rsid w:val="009F28BD"/>
    <w:rsid w:val="00A06077"/>
    <w:rsid w:val="00A26D0E"/>
    <w:rsid w:val="00A34FB1"/>
    <w:rsid w:val="00A51E15"/>
    <w:rsid w:val="00A72CB0"/>
    <w:rsid w:val="00A85F6A"/>
    <w:rsid w:val="00AB146B"/>
    <w:rsid w:val="00AF3760"/>
    <w:rsid w:val="00AF7176"/>
    <w:rsid w:val="00B00BBD"/>
    <w:rsid w:val="00B312CB"/>
    <w:rsid w:val="00B42B55"/>
    <w:rsid w:val="00B53639"/>
    <w:rsid w:val="00B559AF"/>
    <w:rsid w:val="00B56E05"/>
    <w:rsid w:val="00B575F4"/>
    <w:rsid w:val="00B57B26"/>
    <w:rsid w:val="00BB30E2"/>
    <w:rsid w:val="00C219AD"/>
    <w:rsid w:val="00C30E11"/>
    <w:rsid w:val="00C42152"/>
    <w:rsid w:val="00C43880"/>
    <w:rsid w:val="00CB192C"/>
    <w:rsid w:val="00CC3E7B"/>
    <w:rsid w:val="00CD6040"/>
    <w:rsid w:val="00CE2AF2"/>
    <w:rsid w:val="00D17151"/>
    <w:rsid w:val="00D247CB"/>
    <w:rsid w:val="00D33A42"/>
    <w:rsid w:val="00D40CB9"/>
    <w:rsid w:val="00D7510D"/>
    <w:rsid w:val="00DB3493"/>
    <w:rsid w:val="00DB6266"/>
    <w:rsid w:val="00DC3FE3"/>
    <w:rsid w:val="00DD2480"/>
    <w:rsid w:val="00DD7529"/>
    <w:rsid w:val="00DF05FE"/>
    <w:rsid w:val="00DF269A"/>
    <w:rsid w:val="00E25331"/>
    <w:rsid w:val="00EA1C82"/>
    <w:rsid w:val="00EA1F9E"/>
    <w:rsid w:val="00F01372"/>
    <w:rsid w:val="00F2665B"/>
    <w:rsid w:val="00F357E6"/>
    <w:rsid w:val="00F373B3"/>
    <w:rsid w:val="00FA3BC5"/>
    <w:rsid w:val="00FA435E"/>
    <w:rsid w:val="00FC714E"/>
    <w:rsid w:val="00FE0215"/>
    <w:rsid w:val="00FE49A3"/>
    <w:rsid w:val="00FE569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AB270"/>
  <w15:chartTrackingRefBased/>
  <w15:docId w15:val="{1007C4D1-D553-4E3C-AD64-F647745D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7151"/>
    <w:pPr>
      <w:spacing w:after="0"/>
      <w:jc w:val="both"/>
    </w:pPr>
    <w:rPr>
      <w:rFonts w:ascii="Arial Narrow" w:hAnsi="Arial Narrow"/>
    </w:rPr>
  </w:style>
  <w:style w:type="paragraph" w:styleId="berschrift1">
    <w:name w:val="heading 1"/>
    <w:basedOn w:val="Standard"/>
    <w:next w:val="Standard"/>
    <w:link w:val="berschrift1Zchn"/>
    <w:uiPriority w:val="1"/>
    <w:qFormat/>
    <w:rsid w:val="00D17151"/>
    <w:pPr>
      <w:outlineLvl w:val="0"/>
    </w:pPr>
    <w:rPr>
      <w:rFonts w:cstheme="minorHAnsi"/>
      <w:b/>
      <w:bCs/>
      <w:color w:val="FFC000" w:themeColor="accent4"/>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D17151"/>
    <w:rPr>
      <w:rFonts w:ascii="Arial Narrow" w:hAnsi="Arial Narrow" w:cstheme="minorHAnsi"/>
      <w:b/>
      <w:bCs/>
      <w:color w:val="FFC000" w:themeColor="accent4"/>
      <w:sz w:val="28"/>
      <w:szCs w:val="28"/>
    </w:rPr>
  </w:style>
  <w:style w:type="paragraph" w:styleId="Listenabsatz">
    <w:name w:val="List Paragraph"/>
    <w:basedOn w:val="Standard"/>
    <w:uiPriority w:val="34"/>
    <w:qFormat/>
    <w:rsid w:val="00DF2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c92bdb0fa944447acf309642a11bf0d xmlns="f1e736c5-95ad-4650-bf48-08c723b4bc6c">
      <Terms xmlns="http://schemas.microsoft.com/office/infopath/2007/PartnerControls"/>
    </cc92bdb0fa944447acf309642a11bf0d>
    <i9f2da93fcc74e869d070fd34a0597c4 xmlns="f1e736c5-95ad-4650-bf48-08c723b4bc6c">
      <Terms xmlns="http://schemas.microsoft.com/office/infopath/2007/PartnerControls"/>
    </i9f2da93fcc74e869d070fd34a0597c4>
    <TaxCatchAll xmlns="f1e736c5-95ad-4650-bf48-08c723b4bc6c" xsi:nil="true"/>
    <FavoriteUsers xmlns="f1e736c5-95ad-4650-bf48-08c723b4bc6c">
      <UserInfo>
        <DisplayName/>
        <AccountId xsi:nil="true"/>
        <AccountType/>
      </UserInfo>
    </FavoriteUsers>
    <KeyEntities xmlns="f1e736c5-95ad-4650-bf48-08c723b4bc6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D09476-3EC6-419E-B901-3C35EF1D7E68}">
  <ds:schemaRefs>
    <ds:schemaRef ds:uri="http://schemas.microsoft.com/sharepoint/v3/contenttype/forms"/>
  </ds:schemaRefs>
</ds:datastoreItem>
</file>

<file path=customXml/itemProps2.xml><?xml version="1.0" encoding="utf-8"?>
<ds:datastoreItem xmlns:ds="http://schemas.openxmlformats.org/officeDocument/2006/customXml" ds:itemID="{83E308FE-676D-47B6-A8A1-C54B275735B3}">
  <ds:schemaRefs>
    <ds:schemaRef ds:uri="http://schemas.microsoft.com/office/2006/metadata/properties"/>
    <ds:schemaRef ds:uri="http://schemas.microsoft.com/office/infopath/2007/PartnerControls"/>
    <ds:schemaRef ds:uri="f1e736c5-95ad-4650-bf48-08c723b4bc6c"/>
  </ds:schemaRefs>
</ds:datastoreItem>
</file>

<file path=customXml/itemProps3.xml><?xml version="1.0" encoding="utf-8"?>
<ds:datastoreItem xmlns:ds="http://schemas.openxmlformats.org/officeDocument/2006/customXml" ds:itemID="{A7359B31-8E3F-4075-AD31-705399DFB091}"/>
</file>

<file path=docProps/app.xml><?xml version="1.0" encoding="utf-8"?>
<Properties xmlns="http://schemas.openxmlformats.org/officeDocument/2006/extended-properties" xmlns:vt="http://schemas.openxmlformats.org/officeDocument/2006/docPropsVTypes">
  <Template>Normal</Template>
  <TotalTime>0</TotalTime>
  <Pages>3</Pages>
  <Words>2029</Words>
  <Characters>11570</Characters>
  <Application>Microsoft Office Word</Application>
  <DocSecurity>0</DocSecurity>
  <Lines>96</Lines>
  <Paragraphs>27</Paragraphs>
  <ScaleCrop>false</ScaleCrop>
  <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Happerschoss, Heike</dc:creator>
  <cp:keywords>, docId:5A70DF8CA5F530AB5CA4C5DFA21DE33C</cp:keywords>
  <dc:description/>
  <cp:lastModifiedBy>Happerschoss, Heike</cp:lastModifiedBy>
  <cp:revision>128</cp:revision>
  <dcterms:created xsi:type="dcterms:W3CDTF">2023-12-04T09:10:00Z</dcterms:created>
  <dcterms:modified xsi:type="dcterms:W3CDTF">2024-01-04T09:15:00Z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NGOOnlineKeywords">
    <vt:lpwstr/>
  </property>
  <property fmtid="{D5CDD505-2E9C-101B-9397-08002B2CF9AE}" pid="4" name="NGOOnlineDocumentType">
    <vt:lpwstr/>
  </property>
  <property fmtid="{D5CDD505-2E9C-101B-9397-08002B2CF9AE}" pid="5" name="p75d8c1866154d169f9787e2f8ad3758">
    <vt:lpwstr/>
  </property>
  <property fmtid="{D5CDD505-2E9C-101B-9397-08002B2CF9AE}" pid="6" name="NGOOnlinePriorityGroup">
    <vt:lpwstr/>
  </property>
  <property fmtid="{D5CDD505-2E9C-101B-9397-08002B2CF9AE}" pid="7" name="Order">
    <vt:r8>15500</vt:r8>
  </property>
  <property fmtid="{D5CDD505-2E9C-101B-9397-08002B2CF9AE}" pid="8" name="URL">
    <vt:lpwstr/>
  </property>
  <property fmtid="{D5CDD505-2E9C-101B-9397-08002B2CF9AE}" pid="9" name="NGOOnlineDocumentOwner">
    <vt:lpwstr/>
  </property>
  <property fmtid="{D5CDD505-2E9C-101B-9397-08002B2CF9AE}" pid="10" name="xd_Signature">
    <vt:bool>false</vt:bool>
  </property>
  <property fmtid="{D5CDD505-2E9C-101B-9397-08002B2CF9AE}" pid="11"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8" name="_ExtendedDescription">
    <vt:lpwstr/>
  </property>
  <property fmtid="{D5CDD505-2E9C-101B-9397-08002B2CF9AE}" pid="20" name="TriggerFlowInfo">
    <vt:lpwstr/>
  </property>
</Properties>
</file>