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BBD008" w14:textId="2E28B693" w:rsidR="006A313B" w:rsidRDefault="00FA0547" w:rsidP="0014703F">
      <w:pPr>
        <w:spacing w:before="240" w:after="0"/>
        <w:ind w:left="-4"/>
        <w:jc w:val="both"/>
        <w:rPr>
          <w:color w:val="1F497D" w:themeColor="text2"/>
          <w:sz w:val="36"/>
        </w:rPr>
      </w:pPr>
      <w:r w:rsidRPr="00A10A27">
        <w:rPr>
          <w:b/>
          <w:noProof/>
          <w:color w:val="1F497D" w:themeColor="text2"/>
          <w:sz w:val="28"/>
          <w:lang w:eastAsia="de-DE"/>
        </w:rPr>
        <mc:AlternateContent>
          <mc:Choice Requires="wps">
            <w:drawing>
              <wp:anchor distT="45720" distB="45720" distL="114300" distR="114300" simplePos="0" relativeHeight="251658241" behindDoc="0" locked="0" layoutInCell="1" allowOverlap="1" wp14:anchorId="5FE5AF3A" wp14:editId="70CF8B91">
                <wp:simplePos x="0" y="0"/>
                <wp:positionH relativeFrom="page">
                  <wp:align>left</wp:align>
                </wp:positionH>
                <wp:positionV relativeFrom="paragraph">
                  <wp:posOffset>134869</wp:posOffset>
                </wp:positionV>
                <wp:extent cx="7902575" cy="939800"/>
                <wp:effectExtent l="0" t="0" r="3175" b="0"/>
                <wp:wrapThrough wrapText="bothSides">
                  <wp:wrapPolygon edited="0">
                    <wp:start x="0" y="0"/>
                    <wp:lineTo x="0" y="21016"/>
                    <wp:lineTo x="21557" y="21016"/>
                    <wp:lineTo x="21557" y="0"/>
                    <wp:lineTo x="0" y="0"/>
                  </wp:wrapPolygon>
                </wp:wrapThrough>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2575" cy="939800"/>
                        </a:xfrm>
                        <a:prstGeom prst="rect">
                          <a:avLst/>
                        </a:prstGeom>
                        <a:solidFill>
                          <a:schemeClr val="bg1">
                            <a:lumMod val="85000"/>
                          </a:schemeClr>
                        </a:solidFill>
                        <a:ln w="9525">
                          <a:noFill/>
                          <a:miter lim="800000"/>
                          <a:headEnd/>
                          <a:tailEnd/>
                        </a:ln>
                      </wps:spPr>
                      <wps:txbx>
                        <w:txbxContent>
                          <w:p w14:paraId="015F4D7B" w14:textId="4A3AC8D1" w:rsidR="006A313B" w:rsidRPr="001D3753" w:rsidRDefault="006A313B" w:rsidP="00FA0547">
                            <w:pPr>
                              <w:shd w:val="clear" w:color="auto" w:fill="D9D9D9" w:themeFill="background1" w:themeFillShade="D9"/>
                              <w:spacing w:after="0"/>
                              <w:jc w:val="center"/>
                              <w:rPr>
                                <w:color w:val="244061" w:themeColor="accent1" w:themeShade="80"/>
                                <w:sz w:val="36"/>
                              </w:rPr>
                            </w:pPr>
                            <w:r w:rsidRPr="00EA6BDE">
                              <w:rPr>
                                <w:color w:val="244061" w:themeColor="accent1" w:themeShade="80"/>
                                <w:sz w:val="36"/>
                              </w:rPr>
                              <w:t xml:space="preserve">Verwendungsnachweis </w:t>
                            </w:r>
                            <w:r w:rsidR="00550B86" w:rsidRPr="00EA6BDE">
                              <w:rPr>
                                <w:color w:val="244061" w:themeColor="accent1" w:themeShade="80"/>
                                <w:sz w:val="36"/>
                              </w:rPr>
                              <w:t>(VN)</w:t>
                            </w:r>
                            <w:r w:rsidR="00FA0547">
                              <w:rPr>
                                <w:color w:val="244061" w:themeColor="accent1" w:themeShade="80"/>
                                <w:sz w:val="36"/>
                              </w:rPr>
                              <w:t xml:space="preserve"> – </w:t>
                            </w:r>
                            <w:r w:rsidRPr="001D3753">
                              <w:rPr>
                                <w:color w:val="244061" w:themeColor="accent1" w:themeShade="80"/>
                                <w:sz w:val="36"/>
                              </w:rPr>
                              <w:t>bengo</w:t>
                            </w:r>
                          </w:p>
                          <w:p w14:paraId="402C29C5" w14:textId="77777777" w:rsidR="006A313B" w:rsidRPr="00E037BE" w:rsidRDefault="006A313B" w:rsidP="006A313B">
                            <w:pPr>
                              <w:shd w:val="clear" w:color="auto" w:fill="D9D9D9" w:themeFill="background1" w:themeFillShade="D9"/>
                              <w:spacing w:after="0"/>
                              <w:jc w:val="center"/>
                              <w:rPr>
                                <w:color w:val="244061" w:themeColor="accent1" w:themeShade="80"/>
                              </w:rPr>
                            </w:pPr>
                            <w:r>
                              <w:rPr>
                                <w:color w:val="244061" w:themeColor="accent1" w:themeShade="80"/>
                              </w:rPr>
                              <w:t>Förderung entwicklungswichtiger Vorhaben privater deutscher Träger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E5AF3A" id="_x0000_t202" coordsize="21600,21600" o:spt="202" path="m,l,21600r21600,l21600,xe">
                <v:stroke joinstyle="miter"/>
                <v:path gradientshapeok="t" o:connecttype="rect"/>
              </v:shapetype>
              <v:shape id="Textfeld 2" o:spid="_x0000_s1026" type="#_x0000_t202" style="position:absolute;left:0;text-align:left;margin-left:0;margin-top:10.6pt;width:622.25pt;height:74pt;z-index:251658241;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" fillcolor="#d8d8d8 [2732]" stroked="f">
                <v:textbox>
                  <w:txbxContent>
                    <w:p w14:paraId="015F4D7B" w14:textId="4A3AC8D1" w:rsidR="006A313B" w:rsidRPr="001D3753" w:rsidRDefault="006A313B" w:rsidP="00FA0547">
                      <w:pPr>
                        <w:shd w:val="clear" w:color="auto" w:fill="D9D9D9" w:themeFill="background1" w:themeFillShade="D9"/>
                        <w:spacing w:after="0"/>
                        <w:jc w:val="center"/>
                        <w:rPr>
                          <w:color w:val="244061" w:themeColor="accent1" w:themeShade="80"/>
                          <w:sz w:val="36"/>
                        </w:rPr>
                      </w:pPr>
                      <w:r w:rsidRPr="00EA6BDE">
                        <w:rPr>
                          <w:color w:val="244061" w:themeColor="accent1" w:themeShade="80"/>
                          <w:sz w:val="36"/>
                        </w:rPr>
                        <w:t xml:space="preserve">Verwendungsnachweis </w:t>
                      </w:r>
                      <w:r w:rsidR="00550B86" w:rsidRPr="00EA6BDE">
                        <w:rPr>
                          <w:color w:val="244061" w:themeColor="accent1" w:themeShade="80"/>
                          <w:sz w:val="36"/>
                        </w:rPr>
                        <w:t>(VN)</w:t>
                      </w:r>
                      <w:r w:rsidR="00FA0547">
                        <w:rPr>
                          <w:color w:val="244061" w:themeColor="accent1" w:themeShade="80"/>
                          <w:sz w:val="36"/>
                        </w:rPr>
                        <w:t xml:space="preserve"> – </w:t>
                      </w:r>
                      <w:r w:rsidRPr="001D3753">
                        <w:rPr>
                          <w:color w:val="244061" w:themeColor="accent1" w:themeShade="80"/>
                          <w:sz w:val="36"/>
                        </w:rPr>
                        <w:t>bengo</w:t>
                      </w:r>
                    </w:p>
                    <w:p w14:paraId="402C29C5" w14:textId="77777777" w:rsidR="006A313B" w:rsidRPr="00E037BE" w:rsidRDefault="006A313B" w:rsidP="006A313B">
                      <w:pPr>
                        <w:shd w:val="clear" w:color="auto" w:fill="D9D9D9" w:themeFill="background1" w:themeFillShade="D9"/>
                        <w:spacing w:after="0"/>
                        <w:jc w:val="center"/>
                        <w:rPr>
                          <w:color w:val="244061" w:themeColor="accent1" w:themeShade="80"/>
                        </w:rPr>
                      </w:pPr>
                      <w:r>
                        <w:rPr>
                          <w:color w:val="244061" w:themeColor="accent1" w:themeShade="80"/>
                        </w:rPr>
                        <w:t>Förderung entwicklungswichtiger Vorhaben privater deutscher Träger</w:t>
                      </w:r>
                    </w:p>
                  </w:txbxContent>
                </v:textbox>
                <w10:wrap type="through" anchorx="page"/>
              </v:shape>
            </w:pict>
          </mc:Fallback>
        </mc:AlternateContent>
      </w:r>
      <w:r w:rsidR="006A313B">
        <w:rPr>
          <w:b/>
          <w:color w:val="1F497D" w:themeColor="text2"/>
          <w:sz w:val="36"/>
        </w:rPr>
        <w:t>T</w:t>
      </w:r>
      <w:r w:rsidR="006A313B" w:rsidRPr="00A10A27">
        <w:rPr>
          <w:b/>
          <w:color w:val="1F497D" w:themeColor="text2"/>
          <w:sz w:val="36"/>
        </w:rPr>
        <w:t>eil II</w:t>
      </w:r>
      <w:r w:rsidR="006A313B">
        <w:t xml:space="preserve"> </w:t>
      </w:r>
      <w:r w:rsidR="006A313B" w:rsidRPr="00141B12">
        <w:rPr>
          <w:color w:val="1F497D" w:themeColor="text2"/>
          <w:sz w:val="36"/>
        </w:rPr>
        <w:t xml:space="preserve"> </w:t>
      </w:r>
    </w:p>
    <w:p w14:paraId="3C288CB6" w14:textId="3CE5E614" w:rsidR="006A313B" w:rsidRDefault="006A313B" w:rsidP="0014703F">
      <w:pPr>
        <w:spacing w:after="126"/>
        <w:ind w:left="-4"/>
        <w:jc w:val="both"/>
        <w:rPr>
          <w:b/>
          <w:noProof/>
          <w:color w:val="1F497D" w:themeColor="text2"/>
          <w:lang w:eastAsia="de-DE"/>
        </w:rPr>
      </w:pPr>
      <w:r w:rsidRPr="00141B12">
        <w:rPr>
          <w:b/>
          <w:color w:val="1F497D" w:themeColor="text2"/>
          <w:sz w:val="28"/>
        </w:rPr>
        <w:t>Sachbericht Verwendungsnachweis</w:t>
      </w:r>
      <w:r w:rsidRPr="00141B12">
        <w:rPr>
          <w:b/>
          <w:noProof/>
          <w:color w:val="1F497D" w:themeColor="text2"/>
          <w:lang w:eastAsia="de-DE"/>
        </w:rPr>
        <w:t xml:space="preserve"> </w:t>
      </w:r>
    </w:p>
    <w:p w14:paraId="7CCDBA6D" w14:textId="07D4D4FD" w:rsidR="006A313B" w:rsidRPr="00141B12" w:rsidRDefault="006A313B" w:rsidP="0014703F">
      <w:pPr>
        <w:pBdr>
          <w:top w:val="single" w:sz="4" w:space="1" w:color="auto"/>
          <w:left w:val="single" w:sz="4" w:space="4" w:color="auto"/>
          <w:bottom w:val="single" w:sz="4" w:space="1" w:color="auto"/>
          <w:right w:val="single" w:sz="4" w:space="4" w:color="auto"/>
        </w:pBdr>
        <w:spacing w:before="240"/>
        <w:jc w:val="both"/>
      </w:pPr>
      <w:r w:rsidRPr="00BD3D87">
        <w:rPr>
          <w:b/>
        </w:rPr>
        <w:t>Projektnummer</w:t>
      </w:r>
      <w:r>
        <w:rPr>
          <w:b/>
        </w:rPr>
        <w:t>:</w:t>
      </w:r>
      <w:r w:rsidRPr="00331FBA">
        <w:t xml:space="preserve">   </w:t>
      </w:r>
      <w:r w:rsidR="005E0477">
        <w:t>5226</w:t>
      </w:r>
    </w:p>
    <w:p w14:paraId="7B75CFE5" w14:textId="3C8ACCF4" w:rsidR="006A313B" w:rsidRDefault="006A313B" w:rsidP="0014703F">
      <w:pPr>
        <w:pBdr>
          <w:top w:val="single" w:sz="4" w:space="1" w:color="auto"/>
          <w:left w:val="single" w:sz="4" w:space="4" w:color="auto"/>
          <w:bottom w:val="single" w:sz="4" w:space="1" w:color="auto"/>
          <w:right w:val="single" w:sz="4" w:space="4" w:color="auto"/>
        </w:pBdr>
        <w:spacing w:before="240"/>
        <w:jc w:val="both"/>
      </w:pPr>
      <w:r w:rsidRPr="00BD3D87">
        <w:rPr>
          <w:b/>
        </w:rPr>
        <w:t>Projektland:</w:t>
      </w:r>
      <w:r w:rsidRPr="00331FBA">
        <w:t xml:space="preserve">  </w:t>
      </w:r>
      <w:r w:rsidR="005E0477">
        <w:t>Nepal</w:t>
      </w:r>
    </w:p>
    <w:p w14:paraId="23BA1CFE" w14:textId="23EBEED5" w:rsidR="00AC519B" w:rsidRDefault="006A313B" w:rsidP="0014703F">
      <w:pPr>
        <w:pBdr>
          <w:top w:val="single" w:sz="4" w:space="1" w:color="auto"/>
          <w:left w:val="single" w:sz="4" w:space="4" w:color="auto"/>
          <w:bottom w:val="single" w:sz="4" w:space="1" w:color="auto"/>
          <w:right w:val="single" w:sz="4" w:space="4" w:color="auto"/>
        </w:pBdr>
        <w:spacing w:before="240"/>
        <w:jc w:val="both"/>
      </w:pPr>
      <w:r>
        <w:rPr>
          <w:b/>
        </w:rPr>
        <w:t>Privater deutscher</w:t>
      </w:r>
      <w:r w:rsidRPr="00BD3D87">
        <w:rPr>
          <w:b/>
        </w:rPr>
        <w:t xml:space="preserve"> Träger:</w:t>
      </w:r>
      <w:r w:rsidRPr="00331FBA">
        <w:t xml:space="preserve"> </w:t>
      </w:r>
      <w:r w:rsidR="008B4551" w:rsidRPr="008B4551">
        <w:t>CBM Christoffel-Blindenmission Christian Blind Mission e.V.</w:t>
      </w:r>
    </w:p>
    <w:p w14:paraId="71B57E66" w14:textId="00F774CD" w:rsidR="006A313B" w:rsidRPr="00B41AA7" w:rsidRDefault="00AC519B" w:rsidP="0014703F">
      <w:pPr>
        <w:pBdr>
          <w:top w:val="single" w:sz="4" w:space="1" w:color="auto"/>
          <w:left w:val="single" w:sz="4" w:space="4" w:color="auto"/>
          <w:bottom w:val="single" w:sz="4" w:space="1" w:color="auto"/>
          <w:right w:val="single" w:sz="4" w:space="4" w:color="auto"/>
        </w:pBdr>
        <w:spacing w:before="240"/>
        <w:jc w:val="both"/>
      </w:pPr>
      <w:r w:rsidRPr="00550B86">
        <w:rPr>
          <w:b/>
        </w:rPr>
        <w:t>Projektlaufzeit:</w:t>
      </w:r>
      <w:r w:rsidR="006A313B" w:rsidRPr="00550B86">
        <w:rPr>
          <w:b/>
        </w:rPr>
        <w:t xml:space="preserve"> </w:t>
      </w:r>
      <w:r w:rsidR="00DA447B" w:rsidRPr="00B41AA7">
        <w:t>31.12.2020-</w:t>
      </w:r>
      <w:r w:rsidR="00B41AA7" w:rsidRPr="00B41AA7">
        <w:t>31.05.2024</w:t>
      </w:r>
    </w:p>
    <w:p w14:paraId="5BB9985D" w14:textId="6D0DF644" w:rsidR="00AC519B" w:rsidRDefault="00F90B56" w:rsidP="0014703F">
      <w:pPr>
        <w:spacing w:before="240"/>
        <w:ind w:left="993"/>
        <w:jc w:val="both"/>
        <w:rPr>
          <w:b/>
          <w:color w:val="244061" w:themeColor="accent1" w:themeShade="80"/>
          <w:sz w:val="24"/>
        </w:rPr>
      </w:pPr>
      <w:r>
        <w:rPr>
          <w:noProof/>
          <w:lang w:eastAsia="de-DE"/>
        </w:rPr>
        <w:drawing>
          <wp:anchor distT="0" distB="0" distL="114300" distR="114300" simplePos="0" relativeHeight="251658240" behindDoc="0" locked="1" layoutInCell="1" allowOverlap="1" wp14:anchorId="20D0F586" wp14:editId="5EEFD5F3">
            <wp:simplePos x="0" y="0"/>
            <wp:positionH relativeFrom="margin">
              <wp:align>center</wp:align>
            </wp:positionH>
            <wp:positionV relativeFrom="bottomMargin">
              <wp:posOffset>-168910</wp:posOffset>
            </wp:positionV>
            <wp:extent cx="6841490" cy="871220"/>
            <wp:effectExtent l="0" t="0" r="0" b="508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1490" cy="871220"/>
                    </a:xfrm>
                    <a:prstGeom prst="rect">
                      <a:avLst/>
                    </a:prstGeom>
                    <a:noFill/>
                  </pic:spPr>
                </pic:pic>
              </a:graphicData>
            </a:graphic>
            <wp14:sizeRelH relativeFrom="margin">
              <wp14:pctWidth>0</wp14:pctWidth>
            </wp14:sizeRelH>
            <wp14:sizeRelV relativeFrom="margin">
              <wp14:pctHeight>0</wp14:pctHeight>
            </wp14:sizeRelV>
          </wp:anchor>
        </w:drawing>
      </w:r>
    </w:p>
    <w:p w14:paraId="10564F2D" w14:textId="6D84DC4E" w:rsidR="00331FBA" w:rsidRPr="00EA6BDE" w:rsidRDefault="00722E46" w:rsidP="0014703F">
      <w:pPr>
        <w:pStyle w:val="Listenabsatz"/>
        <w:numPr>
          <w:ilvl w:val="0"/>
          <w:numId w:val="7"/>
        </w:numPr>
        <w:spacing w:before="240"/>
        <w:jc w:val="both"/>
        <w:outlineLvl w:val="0"/>
        <w:rPr>
          <w:b/>
          <w:color w:val="244061" w:themeColor="accent1" w:themeShade="80"/>
          <w:sz w:val="24"/>
        </w:rPr>
      </w:pPr>
      <w:r w:rsidRPr="002E47AA">
        <w:rPr>
          <w:b/>
          <w:color w:val="244061" w:themeColor="accent1" w:themeShade="80"/>
          <w:sz w:val="24"/>
        </w:rPr>
        <w:t>Informationsquellen für den Verwendungsnachweis</w:t>
      </w:r>
      <w:r w:rsidR="00331FBA" w:rsidRPr="002E47AA">
        <w:rPr>
          <w:b/>
          <w:color w:val="244061" w:themeColor="accent1" w:themeShade="80"/>
          <w:sz w:val="24"/>
        </w:rPr>
        <w:t xml:space="preserve"> </w:t>
      </w:r>
    </w:p>
    <w:p w14:paraId="0001E612" w14:textId="17B965DD" w:rsidR="00331FBA" w:rsidRDefault="007057FD" w:rsidP="0014703F">
      <w:pPr>
        <w:jc w:val="both"/>
      </w:pPr>
      <w:r>
        <w:t>Bei der Erstellung des Verwendungsnachweises waren Kolleg</w:t>
      </w:r>
      <w:r w:rsidR="00E06481">
        <w:t>I</w:t>
      </w:r>
      <w:r>
        <w:t>nnen des lokalen</w:t>
      </w:r>
      <w:r w:rsidR="00E06481">
        <w:t xml:space="preserve"> </w:t>
      </w:r>
      <w:r w:rsidR="009D172A">
        <w:t>Projektträger</w:t>
      </w:r>
      <w:r>
        <w:t xml:space="preserve">s, </w:t>
      </w:r>
      <w:r w:rsidR="004164E0">
        <w:t>KollegInnen</w:t>
      </w:r>
      <w:r>
        <w:t xml:space="preserve"> des Landesbüros CBM Global in Nepal sowie Kolleg</w:t>
      </w:r>
      <w:r w:rsidR="00E06481">
        <w:t>I</w:t>
      </w:r>
      <w:r>
        <w:t xml:space="preserve">nnen von CBM </w:t>
      </w:r>
      <w:r w:rsidR="004350EA">
        <w:t>beteiligt. Auf folgende Quellen stützt sich der Nachweis:</w:t>
      </w:r>
    </w:p>
    <w:p w14:paraId="31D06B07" w14:textId="3E13EDB3" w:rsidR="00420FF5" w:rsidRDefault="00420FF5" w:rsidP="0014703F">
      <w:pPr>
        <w:pStyle w:val="Listenabsatz"/>
        <w:numPr>
          <w:ilvl w:val="0"/>
          <w:numId w:val="11"/>
        </w:numPr>
        <w:spacing w:after="0" w:line="240" w:lineRule="auto"/>
        <w:jc w:val="both"/>
      </w:pPr>
      <w:r>
        <w:t>Monatliche Fortschrittsbericht</w:t>
      </w:r>
      <w:r w:rsidR="00726505">
        <w:t>e</w:t>
      </w:r>
    </w:p>
    <w:p w14:paraId="23A6C7A2" w14:textId="20A5034D" w:rsidR="00420FF5" w:rsidRDefault="00420FF5" w:rsidP="0014703F">
      <w:pPr>
        <w:spacing w:after="0" w:line="240" w:lineRule="auto"/>
        <w:jc w:val="both"/>
      </w:pPr>
      <w:r>
        <w:t xml:space="preserve">ii. </w:t>
      </w:r>
      <w:r w:rsidR="00D93BFB">
        <w:tab/>
      </w:r>
      <w:r>
        <w:t>Screening-Daten der Gemeindekoordinatoren</w:t>
      </w:r>
    </w:p>
    <w:p w14:paraId="50454E65" w14:textId="55F258B6" w:rsidR="00420FF5" w:rsidRDefault="00420FF5" w:rsidP="0014703F">
      <w:pPr>
        <w:spacing w:after="0" w:line="240" w:lineRule="auto"/>
        <w:jc w:val="both"/>
      </w:pPr>
      <w:proofErr w:type="spellStart"/>
      <w:r>
        <w:t>iii.</w:t>
      </w:r>
      <w:proofErr w:type="spellEnd"/>
      <w:r>
        <w:t xml:space="preserve"> </w:t>
      </w:r>
      <w:r w:rsidR="00D93BFB">
        <w:tab/>
      </w:r>
      <w:r>
        <w:t>Berichte über Workshops/Seminare</w:t>
      </w:r>
    </w:p>
    <w:p w14:paraId="0DDD498B" w14:textId="1D92C113" w:rsidR="00420FF5" w:rsidRDefault="00420FF5" w:rsidP="0014703F">
      <w:pPr>
        <w:spacing w:after="0" w:line="240" w:lineRule="auto"/>
        <w:jc w:val="both"/>
      </w:pPr>
      <w:r>
        <w:t xml:space="preserve">iv. </w:t>
      </w:r>
      <w:r w:rsidR="00D93BFB">
        <w:tab/>
      </w:r>
      <w:r>
        <w:t>Aufzeichnungen von Augen- und Ohren-Screening-Camps</w:t>
      </w:r>
    </w:p>
    <w:p w14:paraId="7D5B0C98" w14:textId="2205AF99" w:rsidR="00420FF5" w:rsidRDefault="00420FF5" w:rsidP="0014703F">
      <w:pPr>
        <w:spacing w:after="0" w:line="240" w:lineRule="auto"/>
        <w:jc w:val="both"/>
      </w:pPr>
      <w:r>
        <w:t xml:space="preserve">v. </w:t>
      </w:r>
      <w:r w:rsidR="00D93BFB">
        <w:tab/>
      </w:r>
      <w:r>
        <w:t>Protokolle von Sitzungen</w:t>
      </w:r>
    </w:p>
    <w:p w14:paraId="28FF1EC7" w14:textId="4F2E552D" w:rsidR="00420FF5" w:rsidRDefault="00420FF5" w:rsidP="0014703F">
      <w:pPr>
        <w:spacing w:after="0" w:line="240" w:lineRule="auto"/>
        <w:jc w:val="both"/>
      </w:pPr>
      <w:r>
        <w:t xml:space="preserve">vi. </w:t>
      </w:r>
      <w:r w:rsidR="00D93BFB">
        <w:tab/>
      </w:r>
      <w:r>
        <w:t>Schulungsberichte</w:t>
      </w:r>
    </w:p>
    <w:p w14:paraId="5E4C7FFF" w14:textId="3F867BF6" w:rsidR="00420FF5" w:rsidRDefault="00420FF5" w:rsidP="0014703F">
      <w:pPr>
        <w:spacing w:after="0" w:line="240" w:lineRule="auto"/>
        <w:jc w:val="both"/>
      </w:pPr>
      <w:r>
        <w:t xml:space="preserve">vii. </w:t>
      </w:r>
      <w:r w:rsidR="00D93BFB">
        <w:tab/>
      </w:r>
      <w:r>
        <w:t xml:space="preserve">Daten des </w:t>
      </w:r>
      <w:proofErr w:type="spellStart"/>
      <w:r>
        <w:t>Surkhet</w:t>
      </w:r>
      <w:proofErr w:type="spellEnd"/>
      <w:r>
        <w:t xml:space="preserve"> Eye Hospitals</w:t>
      </w:r>
    </w:p>
    <w:p w14:paraId="37D75352" w14:textId="254E5354" w:rsidR="00420FF5" w:rsidRDefault="00420FF5" w:rsidP="0014703F">
      <w:pPr>
        <w:spacing w:after="0" w:line="240" w:lineRule="auto"/>
        <w:jc w:val="both"/>
      </w:pPr>
      <w:r>
        <w:t xml:space="preserve">viii. </w:t>
      </w:r>
      <w:r w:rsidR="00D93BFB">
        <w:tab/>
      </w:r>
      <w:r>
        <w:t>Daten des Provinzkrankenhauses</w:t>
      </w:r>
    </w:p>
    <w:p w14:paraId="5AA44A07" w14:textId="48DF7184" w:rsidR="00420FF5" w:rsidRDefault="00420FF5" w:rsidP="0014703F">
      <w:pPr>
        <w:spacing w:after="0" w:line="240" w:lineRule="auto"/>
        <w:jc w:val="both"/>
      </w:pPr>
      <w:r>
        <w:t xml:space="preserve">ix. </w:t>
      </w:r>
      <w:r w:rsidR="00D93BFB">
        <w:tab/>
      </w:r>
      <w:r>
        <w:t>Daten von augenchirurgischen Camps</w:t>
      </w:r>
    </w:p>
    <w:p w14:paraId="6BB8D531" w14:textId="3F12B10A" w:rsidR="00420FF5" w:rsidRDefault="00420FF5" w:rsidP="0014703F">
      <w:pPr>
        <w:spacing w:after="0" w:line="240" w:lineRule="auto"/>
        <w:jc w:val="both"/>
      </w:pPr>
      <w:r>
        <w:t xml:space="preserve">x. </w:t>
      </w:r>
      <w:r w:rsidR="00D93BFB">
        <w:tab/>
      </w:r>
      <w:r>
        <w:t>Daten von neu gegründeten Primären Augen-Zentren</w:t>
      </w:r>
    </w:p>
    <w:p w14:paraId="2CD7B329" w14:textId="4B1EAF8A" w:rsidR="00420FF5" w:rsidRDefault="00420FF5" w:rsidP="0014703F">
      <w:pPr>
        <w:spacing w:after="0" w:line="240" w:lineRule="auto"/>
        <w:jc w:val="both"/>
      </w:pPr>
      <w:r>
        <w:t xml:space="preserve">xi. </w:t>
      </w:r>
      <w:r w:rsidR="00D93BFB">
        <w:tab/>
      </w:r>
      <w:r>
        <w:t>Daten von unterstützten Gesundheitseinrichtungen</w:t>
      </w:r>
    </w:p>
    <w:p w14:paraId="6A00F732" w14:textId="1D95E452" w:rsidR="00420FF5" w:rsidRDefault="00420FF5" w:rsidP="0014703F">
      <w:pPr>
        <w:spacing w:after="0" w:line="240" w:lineRule="auto"/>
        <w:jc w:val="both"/>
      </w:pPr>
      <w:r>
        <w:t xml:space="preserve">xii. </w:t>
      </w:r>
      <w:r w:rsidR="00D93BFB">
        <w:tab/>
      </w:r>
      <w:r w:rsidR="00990493">
        <w:t xml:space="preserve">Daten der </w:t>
      </w:r>
      <w:r w:rsidR="00E577A9">
        <w:t>Reihenuntersuchungen und Früherkennung</w:t>
      </w:r>
    </w:p>
    <w:p w14:paraId="4218280F" w14:textId="225BA3A6" w:rsidR="00420FF5" w:rsidRDefault="00420FF5" w:rsidP="0014703F">
      <w:pPr>
        <w:spacing w:after="0" w:line="240" w:lineRule="auto"/>
        <w:jc w:val="both"/>
      </w:pPr>
      <w:r>
        <w:t xml:space="preserve">xiii. </w:t>
      </w:r>
      <w:r w:rsidR="00D93BFB">
        <w:tab/>
      </w:r>
      <w:r>
        <w:t>Finanzdokumente</w:t>
      </w:r>
    </w:p>
    <w:p w14:paraId="0B43F595" w14:textId="5C8925E0" w:rsidR="004350EA" w:rsidRDefault="00420FF5" w:rsidP="0014703F">
      <w:pPr>
        <w:spacing w:after="0" w:line="240" w:lineRule="auto"/>
        <w:jc w:val="both"/>
      </w:pPr>
      <w:r>
        <w:t xml:space="preserve">xiv. </w:t>
      </w:r>
      <w:r w:rsidR="00D93BFB">
        <w:tab/>
      </w:r>
      <w:r w:rsidR="00E577A9">
        <w:t>Projektbesuche</w:t>
      </w:r>
      <w:r>
        <w:t>/</w:t>
      </w:r>
      <w:r w:rsidR="00E577A9">
        <w:t>Monitoring</w:t>
      </w:r>
      <w:r>
        <w:t>berichte</w:t>
      </w:r>
    </w:p>
    <w:p w14:paraId="57AA22D0" w14:textId="77777777" w:rsidR="008828B1" w:rsidRPr="00331FBA" w:rsidRDefault="008828B1" w:rsidP="0014703F">
      <w:pPr>
        <w:jc w:val="both"/>
      </w:pPr>
    </w:p>
    <w:p w14:paraId="5E2E346A" w14:textId="3C1BCE6E" w:rsidR="005E0C83" w:rsidRPr="002E47AA" w:rsidRDefault="00331FBA" w:rsidP="0014703F">
      <w:pPr>
        <w:pStyle w:val="Listenabsatz"/>
        <w:numPr>
          <w:ilvl w:val="0"/>
          <w:numId w:val="7"/>
        </w:numPr>
        <w:spacing w:before="240"/>
        <w:jc w:val="both"/>
        <w:outlineLvl w:val="0"/>
        <w:rPr>
          <w:color w:val="244061" w:themeColor="accent1" w:themeShade="80"/>
          <w:sz w:val="24"/>
        </w:rPr>
      </w:pPr>
      <w:r w:rsidRPr="002E47AA">
        <w:rPr>
          <w:b/>
          <w:color w:val="244061" w:themeColor="accent1" w:themeShade="80"/>
          <w:sz w:val="24"/>
        </w:rPr>
        <w:t>Veränderungen</w:t>
      </w:r>
      <w:r w:rsidR="00AC519B" w:rsidRPr="002E47AA">
        <w:rPr>
          <w:b/>
          <w:color w:val="244061" w:themeColor="accent1" w:themeShade="80"/>
          <w:sz w:val="24"/>
        </w:rPr>
        <w:t xml:space="preserve"> und</w:t>
      </w:r>
      <w:r w:rsidR="00312FBD" w:rsidRPr="002E47AA">
        <w:rPr>
          <w:b/>
          <w:color w:val="244061" w:themeColor="accent1" w:themeShade="80"/>
          <w:sz w:val="24"/>
        </w:rPr>
        <w:t xml:space="preserve"> erfolgte Plananpassung</w:t>
      </w:r>
      <w:r w:rsidR="00007D33" w:rsidRPr="002E47AA" w:rsidDel="00007D33">
        <w:rPr>
          <w:b/>
          <w:color w:val="244061" w:themeColor="accent1" w:themeShade="80"/>
          <w:sz w:val="24"/>
        </w:rPr>
        <w:t xml:space="preserve"> </w:t>
      </w:r>
    </w:p>
    <w:p w14:paraId="447BC3A6" w14:textId="43501F3C" w:rsidR="00034414" w:rsidRPr="00034414" w:rsidRDefault="00295834" w:rsidP="0014703F">
      <w:pPr>
        <w:spacing w:after="0"/>
        <w:jc w:val="both"/>
        <w:rPr>
          <w:u w:val="single"/>
        </w:rPr>
      </w:pPr>
      <w:r w:rsidRPr="00034414">
        <w:rPr>
          <w:u w:val="single"/>
        </w:rPr>
        <w:t>Corona</w:t>
      </w:r>
      <w:r w:rsidR="00034414">
        <w:rPr>
          <w:u w:val="single"/>
        </w:rPr>
        <w:t>bedingte Veränderung des Zeitplans</w:t>
      </w:r>
    </w:p>
    <w:p w14:paraId="39803BAA" w14:textId="37AB1A41" w:rsidR="00DB1E3D" w:rsidRDefault="00833E1C" w:rsidP="0014703F">
      <w:pPr>
        <w:spacing w:after="0"/>
        <w:jc w:val="both"/>
      </w:pPr>
      <w:r>
        <w:t>Das Projekt startete zunächst planmäßig</w:t>
      </w:r>
      <w:r w:rsidR="00F63A78">
        <w:t xml:space="preserve"> und verzögerte sich nur geringfügig durch </w:t>
      </w:r>
      <w:r w:rsidR="0080654A">
        <w:t xml:space="preserve">Vertragsvorbereitungen. </w:t>
      </w:r>
      <w:r w:rsidR="00C40EC0" w:rsidRPr="00C40EC0">
        <w:t>Ab März 2021 wurde Nepal jedoch von der verheerenden 2. Covid-19-Welle überrollt, die das Gesundheitssystem des Landes an den Rand des Kollapses brachte und mit umfangreichen Lockdown-Maßnahmen einherging</w:t>
      </w:r>
      <w:r w:rsidR="002D3FA0">
        <w:t>,</w:t>
      </w:r>
      <w:r w:rsidR="00C40EC0" w:rsidRPr="00C40EC0">
        <w:t xml:space="preserve"> (u.a. Schulschließungen, Einschränkungen der Mobilität, erhöhte Sicherheits- und </w:t>
      </w:r>
      <w:r w:rsidR="00CC06D9">
        <w:t>H</w:t>
      </w:r>
      <w:r w:rsidR="00C40EC0" w:rsidRPr="00C40EC0">
        <w:t>ygien</w:t>
      </w:r>
      <w:r w:rsidR="00CC06D9">
        <w:t>ea</w:t>
      </w:r>
      <w:r w:rsidR="00C40EC0" w:rsidRPr="00C40EC0">
        <w:t>uflagen bei medizinischen Behandlungen</w:t>
      </w:r>
      <w:r w:rsidR="00667951">
        <w:t xml:space="preserve"> </w:t>
      </w:r>
      <w:r w:rsidR="00C40EC0" w:rsidRPr="00C40EC0">
        <w:t xml:space="preserve">in Krankenhäusern, Umstellung der Krankenhäuser auf Notfallbetrieb und Aussetzung geplanter Operationen). Diese Einschränkungen hatten erhebliche </w:t>
      </w:r>
      <w:r w:rsidR="00CC06D9" w:rsidRPr="00C40EC0">
        <w:t>Verzögerungen</w:t>
      </w:r>
      <w:r w:rsidR="00A61005">
        <w:t>,</w:t>
      </w:r>
      <w:r w:rsidR="00C40EC0" w:rsidRPr="00C40EC0">
        <w:t xml:space="preserve"> sowie verringerte Zielerreichungen einiger Maßnahmen zur Folge. Im Herbst 2021 kündigte sich eine 3. Covid-19-Welle an, die aber u.a. dank effektiver Präventivmaßnahmen weniger verheerend ausfiel.</w:t>
      </w:r>
      <w:r w:rsidR="00BE7713">
        <w:t xml:space="preserve"> Um alle geplanten Aktivitäten </w:t>
      </w:r>
      <w:r w:rsidR="00CC06D9">
        <w:t>fertigzustellen,</w:t>
      </w:r>
      <w:r w:rsidR="00BE7713">
        <w:t xml:space="preserve"> wurde das Projekt </w:t>
      </w:r>
      <w:r w:rsidR="00EE3488">
        <w:t>bis einschließlich Mai 2024 kostenneutral verlängert</w:t>
      </w:r>
      <w:r w:rsidR="00470384">
        <w:t xml:space="preserve"> (siehe </w:t>
      </w:r>
      <w:r w:rsidR="008729AE">
        <w:t>Änderungsvertrag vom 25.04.2024).</w:t>
      </w:r>
    </w:p>
    <w:p w14:paraId="1984DCFC" w14:textId="77777777" w:rsidR="006656E8" w:rsidRDefault="006656E8" w:rsidP="0014703F">
      <w:pPr>
        <w:spacing w:after="0"/>
        <w:jc w:val="both"/>
      </w:pPr>
    </w:p>
    <w:p w14:paraId="63AB091D" w14:textId="53EBD630" w:rsidR="00034414" w:rsidRPr="005E732F" w:rsidRDefault="005E732F" w:rsidP="0014703F">
      <w:pPr>
        <w:spacing w:after="0"/>
        <w:jc w:val="both"/>
        <w:rPr>
          <w:u w:val="single"/>
        </w:rPr>
      </w:pPr>
      <w:r w:rsidRPr="005E732F">
        <w:rPr>
          <w:u w:val="single"/>
        </w:rPr>
        <w:t>Veränderte Gesetzeslage im Bereich der flächendeckenden Krankenversicherung</w:t>
      </w:r>
    </w:p>
    <w:p w14:paraId="0D52877F" w14:textId="2FF02089" w:rsidR="00295834" w:rsidRDefault="005A3DA5" w:rsidP="0014703F">
      <w:pPr>
        <w:jc w:val="both"/>
      </w:pPr>
      <w:r>
        <w:t xml:space="preserve">Während der Planung des Projektes </w:t>
      </w:r>
      <w:r w:rsidR="006C578A">
        <w:t xml:space="preserve">erarbeitete die </w:t>
      </w:r>
      <w:r w:rsidR="0014703F">
        <w:t>nepalesische</w:t>
      </w:r>
      <w:r w:rsidR="006C578A">
        <w:t xml:space="preserve"> Regierung einen Entwurf zur Integration von Augengesundheit </w:t>
      </w:r>
      <w:r w:rsidR="00D239A9">
        <w:t xml:space="preserve">in die nationale flächendeckende Krankenversicherung. </w:t>
      </w:r>
      <w:r w:rsidR="002A547E">
        <w:t xml:space="preserve">Zu diesem Zeitpunkt war nicht klar, wann und in welchem Umfang die Krankversicherung </w:t>
      </w:r>
      <w:r w:rsidR="00347DCB">
        <w:t xml:space="preserve">Kosten für </w:t>
      </w:r>
      <w:r w:rsidR="002A547E">
        <w:t xml:space="preserve">Augenbehandlungen und Augenoperationen </w:t>
      </w:r>
      <w:r w:rsidR="00347DCB">
        <w:t>übernehmen würde. Daher sah das Projekt vor, einen großen Teil an Kataraktoperationen für arme Menschen zu subventionieren.</w:t>
      </w:r>
      <w:r w:rsidR="005227C3">
        <w:t xml:space="preserve"> Im Laufe des Jahres 2020/2021 wurde die Übernahme von Behandlungskosten flächendeckend ausgerollt, sodass die Subventionierung von Augenoperationen teilweise obsolet wurde.</w:t>
      </w:r>
      <w:r w:rsidR="0014703F">
        <w:t xml:space="preserve"> </w:t>
      </w:r>
      <w:r w:rsidR="009557F5">
        <w:t>Der überschüssige Teil des</w:t>
      </w:r>
      <w:r w:rsidR="00C32024">
        <w:t xml:space="preserve"> hierfür veranschlagte</w:t>
      </w:r>
      <w:r w:rsidR="009557F5">
        <w:t>n</w:t>
      </w:r>
      <w:r w:rsidR="00C32024">
        <w:t xml:space="preserve"> Budget</w:t>
      </w:r>
      <w:r w:rsidR="009557F5">
        <w:t>s</w:t>
      </w:r>
      <w:r w:rsidR="00C32024">
        <w:t xml:space="preserve"> wurde mit Erlaubnis von </w:t>
      </w:r>
      <w:proofErr w:type="spellStart"/>
      <w:r w:rsidR="00C32024">
        <w:t>Bengo</w:t>
      </w:r>
      <w:proofErr w:type="spellEnd"/>
      <w:r w:rsidR="009557F5">
        <w:t xml:space="preserve"> umgewidmet und für die Kosten </w:t>
      </w:r>
      <w:r w:rsidR="00D865F8">
        <w:t>zusätzlicher</w:t>
      </w:r>
      <w:r w:rsidR="009557F5">
        <w:t xml:space="preserve"> Operationscamps verwendet</w:t>
      </w:r>
      <w:r w:rsidR="00790EF2">
        <w:t xml:space="preserve"> (siehe </w:t>
      </w:r>
      <w:r w:rsidR="0032025E">
        <w:t>Zwischennachweis</w:t>
      </w:r>
      <w:r w:rsidR="00790EF2">
        <w:t xml:space="preserve"> 20</w:t>
      </w:r>
      <w:r w:rsidR="00B01BED">
        <w:t xml:space="preserve">22, </w:t>
      </w:r>
      <w:r w:rsidR="00C516AE">
        <w:t>Aktivität 2.3.1)</w:t>
      </w:r>
      <w:r w:rsidR="009557F5">
        <w:t>.</w:t>
      </w:r>
    </w:p>
    <w:p w14:paraId="32FC5010" w14:textId="6E296B8E" w:rsidR="0032025E" w:rsidRPr="0032025E" w:rsidRDefault="0032025E" w:rsidP="0032025E">
      <w:pPr>
        <w:spacing w:after="0"/>
        <w:jc w:val="both"/>
        <w:rPr>
          <w:u w:val="single"/>
        </w:rPr>
      </w:pPr>
      <w:r w:rsidRPr="0032025E">
        <w:rPr>
          <w:u w:val="single"/>
        </w:rPr>
        <w:t>Anpassung der Aktivitäten an die Lebensrealität im Projektgebiet</w:t>
      </w:r>
    </w:p>
    <w:p w14:paraId="7CB60212" w14:textId="44EF139A" w:rsidR="0032025E" w:rsidRDefault="0032025E" w:rsidP="0032025E">
      <w:pPr>
        <w:spacing w:after="0"/>
        <w:jc w:val="both"/>
      </w:pPr>
      <w:r>
        <w:t xml:space="preserve">Zunächst sah der Projektplan vor, dass PatientInnen, nach einer Überweisung zur Behandlung ihrer Augen- oder Ohrenerkrankungen, das </w:t>
      </w:r>
      <w:proofErr w:type="spellStart"/>
      <w:r>
        <w:t>Surkhet</w:t>
      </w:r>
      <w:proofErr w:type="spellEnd"/>
      <w:r>
        <w:t xml:space="preserve"> Eye Hospital aufsuchen sollten. Dort sollten die notwendigen (operativen) Eingriffe durchgeführt werden.</w:t>
      </w:r>
      <w:r w:rsidRPr="0032025E">
        <w:t xml:space="preserve"> </w:t>
      </w:r>
      <w:r>
        <w:t xml:space="preserve">Trotz des enormen Bedarfs an Augenbehandlungen in den abgelegenen Regionen, </w:t>
      </w:r>
      <w:r w:rsidR="00FC14F3">
        <w:t>waren die PatientInnen</w:t>
      </w:r>
      <w:r>
        <w:t xml:space="preserve"> </w:t>
      </w:r>
      <w:r w:rsidR="00FC14F3">
        <w:t xml:space="preserve">jedoch </w:t>
      </w:r>
      <w:r>
        <w:t xml:space="preserve">zögerlich, für Behandlungen den Weg nach </w:t>
      </w:r>
      <w:proofErr w:type="spellStart"/>
      <w:r>
        <w:t>Surkhet</w:t>
      </w:r>
      <w:proofErr w:type="spellEnd"/>
      <w:r>
        <w:t xml:space="preserve"> anzutreten. Der Weg aus dem Himalaya Gebirge ist sehr beschwerlich und teilweise schwer zugänglich. Mehrstündige Wanderungen ohne befestigte Wege sind vor allem für Menschen mit eingeschränkter Sicht nicht allein zu bewältigen. Eine Begleitperson mitzunehmen </w:t>
      </w:r>
      <w:r w:rsidR="00FC14F3">
        <w:t>war</w:t>
      </w:r>
      <w:r>
        <w:t xml:space="preserve"> für die meisten Betroffene finanziell nicht möglich. </w:t>
      </w:r>
      <w:r w:rsidR="00FC14F3" w:rsidRPr="00972BCE">
        <w:t>Um den Menschen in abgelegenen Regionen augenmedizinisch helfen zu können, haben wir um Erlaubnis gebeten, kleinere outreach/</w:t>
      </w:r>
      <w:proofErr w:type="spellStart"/>
      <w:r w:rsidR="00FC14F3" w:rsidRPr="00972BCE">
        <w:t>screening</w:t>
      </w:r>
      <w:proofErr w:type="spellEnd"/>
      <w:r w:rsidR="00FC14F3" w:rsidRPr="00972BCE">
        <w:t xml:space="preserve"> </w:t>
      </w:r>
      <w:proofErr w:type="spellStart"/>
      <w:r w:rsidR="00FC14F3" w:rsidRPr="00972BCE">
        <w:t>camps</w:t>
      </w:r>
      <w:proofErr w:type="spellEnd"/>
      <w:r w:rsidR="00FC14F3" w:rsidRPr="00972BCE">
        <w:t xml:space="preserve"> sowie den Transport in das </w:t>
      </w:r>
      <w:proofErr w:type="spellStart"/>
      <w:r w:rsidR="00FC14F3" w:rsidRPr="00972BCE">
        <w:t>Surkhet</w:t>
      </w:r>
      <w:proofErr w:type="spellEnd"/>
      <w:r w:rsidR="00FC14F3" w:rsidRPr="00972BCE">
        <w:t xml:space="preserve"> Eye Hospital für operationsbedürftige Menschen projektbezuschusst durchzuführen</w:t>
      </w:r>
      <w:r w:rsidR="00FC14F3">
        <w:t xml:space="preserve"> (siehe Zwischennachweis 2022, Aktivität 2.3.1).</w:t>
      </w:r>
    </w:p>
    <w:p w14:paraId="3328E059" w14:textId="6D7A77D4" w:rsidR="0032025E" w:rsidRDefault="0032025E" w:rsidP="0032025E">
      <w:pPr>
        <w:spacing w:after="0"/>
        <w:jc w:val="both"/>
      </w:pPr>
    </w:p>
    <w:p w14:paraId="388A8D8B" w14:textId="77777777" w:rsidR="0032025E" w:rsidRDefault="0032025E" w:rsidP="0014703F">
      <w:pPr>
        <w:jc w:val="both"/>
      </w:pPr>
    </w:p>
    <w:p w14:paraId="57BE0368" w14:textId="77777777" w:rsidR="0032025E" w:rsidRDefault="0032025E" w:rsidP="0014703F">
      <w:pPr>
        <w:jc w:val="both"/>
      </w:pPr>
    </w:p>
    <w:p w14:paraId="1F7EB9B1" w14:textId="77777777" w:rsidR="00DB1E3D" w:rsidRDefault="00DB1E3D" w:rsidP="0014703F">
      <w:pPr>
        <w:jc w:val="both"/>
      </w:pPr>
    </w:p>
    <w:p w14:paraId="3012FE85" w14:textId="77777777" w:rsidR="00DB1E3D" w:rsidRDefault="00DB1E3D" w:rsidP="0014703F">
      <w:pPr>
        <w:jc w:val="both"/>
      </w:pPr>
    </w:p>
    <w:p w14:paraId="36B46742" w14:textId="77777777" w:rsidR="00DB1E3D" w:rsidRDefault="00DB1E3D" w:rsidP="0014703F">
      <w:pPr>
        <w:jc w:val="both"/>
      </w:pPr>
    </w:p>
    <w:p w14:paraId="46F02029" w14:textId="77777777" w:rsidR="00DB1E3D" w:rsidRDefault="00DB1E3D" w:rsidP="0014703F">
      <w:pPr>
        <w:jc w:val="both"/>
      </w:pPr>
    </w:p>
    <w:p w14:paraId="532A4050" w14:textId="77777777" w:rsidR="00DB1E3D" w:rsidRDefault="00DB1E3D" w:rsidP="0014703F">
      <w:pPr>
        <w:jc w:val="both"/>
        <w:sectPr w:rsidR="00DB1E3D" w:rsidSect="00FA0547">
          <w:headerReference w:type="default" r:id="rId12"/>
          <w:footerReference w:type="default" r:id="rId13"/>
          <w:footerReference w:type="first" r:id="rId14"/>
          <w:pgSz w:w="11906" w:h="16838"/>
          <w:pgMar w:top="1135" w:right="1080" w:bottom="1440" w:left="1080" w:header="708" w:footer="708" w:gutter="0"/>
          <w:cols w:space="708"/>
          <w:titlePg/>
          <w:docGrid w:linePitch="360"/>
        </w:sectPr>
      </w:pPr>
    </w:p>
    <w:p w14:paraId="6F7B7D4F" w14:textId="1855C456" w:rsidR="00DB1E3D" w:rsidRPr="006656E8" w:rsidRDefault="00AD210B" w:rsidP="0014703F">
      <w:pPr>
        <w:pStyle w:val="Listenabsatz"/>
        <w:numPr>
          <w:ilvl w:val="0"/>
          <w:numId w:val="8"/>
        </w:numPr>
        <w:spacing w:before="240"/>
        <w:jc w:val="both"/>
        <w:outlineLvl w:val="0"/>
        <w:rPr>
          <w:b/>
          <w:color w:val="244061" w:themeColor="accent1" w:themeShade="80"/>
          <w:sz w:val="24"/>
        </w:rPr>
      </w:pPr>
      <w:r w:rsidRPr="002E47AA">
        <w:rPr>
          <w:b/>
          <w:color w:val="244061" w:themeColor="accent1" w:themeShade="80"/>
          <w:sz w:val="24"/>
        </w:rPr>
        <w:lastRenderedPageBreak/>
        <w:t>Zielerreichung und Wirkung</w:t>
      </w:r>
      <w:r w:rsidR="00DB1E3D" w:rsidRPr="002E47AA">
        <w:rPr>
          <w:b/>
          <w:color w:val="244061" w:themeColor="accent1" w:themeShade="80"/>
          <w:sz w:val="24"/>
        </w:rPr>
        <w:t>smatrix</w:t>
      </w:r>
    </w:p>
    <w:tbl>
      <w:tblPr>
        <w:tblpPr w:leftFromText="141" w:rightFromText="141" w:vertAnchor="text" w:tblpY="1"/>
        <w:tblOverlap w:val="never"/>
        <w:tblW w:w="0" w:type="auto"/>
        <w:tblBorders>
          <w:top w:val="single" w:sz="4" w:space="0" w:color="4D4D4D"/>
          <w:left w:val="single" w:sz="4" w:space="0" w:color="4D4D4D"/>
          <w:bottom w:val="single" w:sz="4" w:space="0" w:color="4D4D4D"/>
          <w:right w:val="single" w:sz="4" w:space="0" w:color="4D4D4D"/>
          <w:insideH w:val="single" w:sz="4" w:space="0" w:color="4D4D4D"/>
          <w:insideV w:val="single" w:sz="4" w:space="0" w:color="4D4D4D"/>
        </w:tblBorders>
        <w:tblLook w:val="01E0" w:firstRow="1" w:lastRow="1" w:firstColumn="1" w:lastColumn="1" w:noHBand="0" w:noVBand="0"/>
      </w:tblPr>
      <w:tblGrid>
        <w:gridCol w:w="1695"/>
        <w:gridCol w:w="1540"/>
        <w:gridCol w:w="3564"/>
        <w:gridCol w:w="3388"/>
        <w:gridCol w:w="2119"/>
        <w:gridCol w:w="1947"/>
      </w:tblGrid>
      <w:tr w:rsidR="003C36DD" w:rsidRPr="003C36DD" w14:paraId="74FF58DC" w14:textId="77777777" w:rsidTr="007142EA">
        <w:trPr>
          <w:gridBefore w:val="1"/>
          <w:trHeight w:val="763"/>
        </w:trPr>
        <w:tc>
          <w:tcPr>
            <w:tcW w:w="0" w:type="auto"/>
            <w:gridSpan w:val="5"/>
            <w:tcBorders>
              <w:bottom w:val="single" w:sz="4" w:space="0" w:color="auto"/>
            </w:tcBorders>
            <w:shd w:val="clear" w:color="auto" w:fill="DBE5F1" w:themeFill="accent1" w:themeFillTint="33"/>
            <w:tcMar>
              <w:top w:w="85" w:type="dxa"/>
              <w:bottom w:w="85" w:type="dxa"/>
            </w:tcMar>
            <w:vAlign w:val="center"/>
          </w:tcPr>
          <w:p w14:paraId="001D096D" w14:textId="00E069EF" w:rsidR="003C36DD" w:rsidRPr="003C36DD" w:rsidRDefault="003C36DD" w:rsidP="0014703F">
            <w:pPr>
              <w:jc w:val="both"/>
              <w:rPr>
                <w:b/>
              </w:rPr>
            </w:pPr>
            <w:proofErr w:type="spellStart"/>
            <w:r w:rsidRPr="003C36DD">
              <w:rPr>
                <w:b/>
              </w:rPr>
              <w:t>Oberziel</w:t>
            </w:r>
            <w:proofErr w:type="spellEnd"/>
            <w:r w:rsidRPr="003C36DD">
              <w:rPr>
                <w:b/>
              </w:rPr>
              <w:t>:</w:t>
            </w:r>
            <w:r w:rsidR="00FC14F3">
              <w:rPr>
                <w:b/>
              </w:rPr>
              <w:t xml:space="preserve"> </w:t>
            </w:r>
            <w:r w:rsidR="00FC14F3" w:rsidRPr="00FC14F3">
              <w:t xml:space="preserve">Die Lebensqualität der armen von Seh- und Hörbehinderung betroffenen Bevölkerung der Provinz </w:t>
            </w:r>
            <w:proofErr w:type="spellStart"/>
            <w:r w:rsidR="00FC14F3" w:rsidRPr="00FC14F3">
              <w:t>Karnali</w:t>
            </w:r>
            <w:proofErr w:type="spellEnd"/>
            <w:r w:rsidR="00FC14F3" w:rsidRPr="00FC14F3">
              <w:t xml:space="preserve"> ist gesteigert.</w:t>
            </w:r>
          </w:p>
        </w:tc>
      </w:tr>
      <w:tr w:rsidR="003C36DD" w:rsidRPr="003C36DD" w14:paraId="6055585B" w14:textId="77777777" w:rsidTr="00F57994">
        <w:trPr>
          <w:gridBefore w:val="1"/>
          <w:trHeight w:val="393"/>
        </w:trPr>
        <w:tc>
          <w:tcPr>
            <w:tcW w:w="0" w:type="auto"/>
            <w:gridSpan w:val="3"/>
            <w:tcBorders>
              <w:top w:val="single" w:sz="4" w:space="0" w:color="auto"/>
              <w:left w:val="nil"/>
              <w:bottom w:val="nil"/>
              <w:right w:val="nil"/>
            </w:tcBorders>
            <w:shd w:val="clear" w:color="auto" w:fill="FFFFFF" w:themeFill="background1"/>
            <w:tcMar>
              <w:top w:w="85" w:type="dxa"/>
              <w:bottom w:w="85" w:type="dxa"/>
            </w:tcMar>
            <w:vAlign w:val="center"/>
          </w:tcPr>
          <w:p w14:paraId="0300EDF5" w14:textId="77777777" w:rsidR="003C36DD" w:rsidRPr="003C36DD" w:rsidRDefault="003C36DD" w:rsidP="0014703F">
            <w:pPr>
              <w:jc w:val="both"/>
              <w:rPr>
                <w:b/>
              </w:rPr>
            </w:pPr>
          </w:p>
        </w:tc>
        <w:tc>
          <w:tcPr>
            <w:tcW w:w="0" w:type="auto"/>
            <w:tcBorders>
              <w:top w:val="single" w:sz="4" w:space="0" w:color="auto"/>
              <w:left w:val="nil"/>
              <w:bottom w:val="nil"/>
              <w:right w:val="nil"/>
            </w:tcBorders>
            <w:shd w:val="clear" w:color="auto" w:fill="FFFFFF" w:themeFill="background1"/>
          </w:tcPr>
          <w:p w14:paraId="55B57F6F" w14:textId="77777777" w:rsidR="003C36DD" w:rsidRPr="003C36DD" w:rsidRDefault="003C36DD" w:rsidP="0014703F">
            <w:pPr>
              <w:jc w:val="both"/>
              <w:rPr>
                <w:b/>
              </w:rPr>
            </w:pPr>
          </w:p>
        </w:tc>
        <w:tc>
          <w:tcPr>
            <w:tcW w:w="0" w:type="auto"/>
            <w:tcBorders>
              <w:top w:val="single" w:sz="4" w:space="0" w:color="auto"/>
              <w:left w:val="nil"/>
              <w:bottom w:val="nil"/>
              <w:right w:val="nil"/>
            </w:tcBorders>
            <w:shd w:val="clear" w:color="auto" w:fill="FFFFFF" w:themeFill="background1"/>
          </w:tcPr>
          <w:p w14:paraId="2EE69E58" w14:textId="77777777" w:rsidR="003C36DD" w:rsidRPr="003C36DD" w:rsidRDefault="003C36DD" w:rsidP="0014703F">
            <w:pPr>
              <w:jc w:val="both"/>
              <w:rPr>
                <w:b/>
              </w:rPr>
            </w:pPr>
          </w:p>
        </w:tc>
      </w:tr>
      <w:tr w:rsidR="003C36DD" w:rsidRPr="003C36DD" w14:paraId="54C98D33" w14:textId="77777777" w:rsidTr="00714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2"/>
        </w:trPr>
        <w:tc>
          <w:tcPr>
            <w:tcW w:w="0" w:type="auto"/>
            <w:gridSpan w:val="2"/>
            <w:vMerge w:val="restart"/>
            <w:shd w:val="clear" w:color="auto" w:fill="DBE5F1" w:themeFill="accent1" w:themeFillTint="33"/>
          </w:tcPr>
          <w:p w14:paraId="452B725A" w14:textId="77777777" w:rsidR="003C36DD" w:rsidRPr="003C36DD" w:rsidRDefault="003C36DD" w:rsidP="0014703F">
            <w:pPr>
              <w:jc w:val="both"/>
              <w:rPr>
                <w:b/>
              </w:rPr>
            </w:pPr>
            <w:r w:rsidRPr="003C36DD">
              <w:rPr>
                <w:b/>
              </w:rPr>
              <w:t xml:space="preserve">Projektziel </w:t>
            </w:r>
          </w:p>
          <w:p w14:paraId="2ECEB1A0" w14:textId="77777777" w:rsidR="003C36DD" w:rsidRPr="003C36DD" w:rsidRDefault="003C36DD" w:rsidP="0014703F">
            <w:pPr>
              <w:jc w:val="both"/>
            </w:pPr>
          </w:p>
        </w:tc>
        <w:tc>
          <w:tcPr>
            <w:tcW w:w="0" w:type="auto"/>
            <w:gridSpan w:val="4"/>
            <w:shd w:val="clear" w:color="auto" w:fill="DBE5F1" w:themeFill="accent1" w:themeFillTint="33"/>
          </w:tcPr>
          <w:p w14:paraId="4A81132D" w14:textId="20B37B9A" w:rsidR="003C36DD" w:rsidRPr="003C36DD" w:rsidRDefault="003C36DD" w:rsidP="0014703F">
            <w:pPr>
              <w:jc w:val="both"/>
              <w:rPr>
                <w:b/>
              </w:rPr>
            </w:pPr>
            <w:r w:rsidRPr="003C36DD">
              <w:rPr>
                <w:b/>
              </w:rPr>
              <w:t xml:space="preserve">Indikatoren </w:t>
            </w:r>
          </w:p>
        </w:tc>
      </w:tr>
      <w:tr w:rsidR="003C36DD" w:rsidRPr="003C36DD" w14:paraId="17A01DCF" w14:textId="77777777" w:rsidTr="00F579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79"/>
        </w:trPr>
        <w:tc>
          <w:tcPr>
            <w:tcW w:w="0" w:type="auto"/>
            <w:gridSpan w:val="2"/>
            <w:vMerge/>
            <w:shd w:val="clear" w:color="auto" w:fill="DBE5F1" w:themeFill="accent1" w:themeFillTint="33"/>
          </w:tcPr>
          <w:p w14:paraId="533AADED" w14:textId="77777777" w:rsidR="003C36DD" w:rsidRPr="003C36DD" w:rsidRDefault="003C36DD" w:rsidP="0014703F">
            <w:pPr>
              <w:jc w:val="both"/>
            </w:pPr>
          </w:p>
        </w:tc>
        <w:tc>
          <w:tcPr>
            <w:tcW w:w="0" w:type="auto"/>
            <w:shd w:val="clear" w:color="auto" w:fill="auto"/>
          </w:tcPr>
          <w:p w14:paraId="0D2F331E" w14:textId="77777777" w:rsidR="003C36DD" w:rsidRPr="003C36DD" w:rsidRDefault="003C36DD" w:rsidP="0014703F">
            <w:pPr>
              <w:spacing w:after="0"/>
              <w:jc w:val="both"/>
            </w:pPr>
            <w:r w:rsidRPr="003C36DD">
              <w:t xml:space="preserve">Ausgangswert </w:t>
            </w:r>
          </w:p>
          <w:p w14:paraId="66C8CD74" w14:textId="77777777" w:rsidR="003C36DD" w:rsidRPr="003C36DD" w:rsidRDefault="003C36DD" w:rsidP="0014703F">
            <w:pPr>
              <w:jc w:val="both"/>
            </w:pPr>
            <w:r w:rsidRPr="00AD210B">
              <w:rPr>
                <w:sz w:val="18"/>
              </w:rPr>
              <w:t>(quantitativ und qualitativ)</w:t>
            </w:r>
          </w:p>
        </w:tc>
        <w:tc>
          <w:tcPr>
            <w:tcW w:w="0" w:type="auto"/>
            <w:shd w:val="clear" w:color="auto" w:fill="auto"/>
          </w:tcPr>
          <w:p w14:paraId="407EC6E3" w14:textId="77777777" w:rsidR="003C36DD" w:rsidRPr="003C36DD" w:rsidRDefault="003C36DD" w:rsidP="0014703F">
            <w:pPr>
              <w:spacing w:after="0"/>
              <w:jc w:val="both"/>
            </w:pPr>
            <w:r w:rsidRPr="003C36DD">
              <w:t xml:space="preserve">Zielwert (Soll) </w:t>
            </w:r>
          </w:p>
          <w:p w14:paraId="66EFD0D1" w14:textId="523BD1C2" w:rsidR="003C36DD" w:rsidRPr="00AD210B" w:rsidRDefault="003C36DD" w:rsidP="0014703F">
            <w:pPr>
              <w:jc w:val="both"/>
              <w:rPr>
                <w:sz w:val="18"/>
              </w:rPr>
            </w:pPr>
            <w:r w:rsidRPr="00AD210B">
              <w:rPr>
                <w:sz w:val="18"/>
              </w:rPr>
              <w:t>(quantitativ und qualitativ)</w:t>
            </w:r>
          </w:p>
        </w:tc>
        <w:tc>
          <w:tcPr>
            <w:tcW w:w="0" w:type="auto"/>
            <w:gridSpan w:val="2"/>
          </w:tcPr>
          <w:p w14:paraId="192ABCF7" w14:textId="77777777" w:rsidR="003C36DD" w:rsidRPr="003C36DD" w:rsidRDefault="003C36DD" w:rsidP="0014703F">
            <w:pPr>
              <w:jc w:val="both"/>
            </w:pPr>
            <w:r w:rsidRPr="003C36DD">
              <w:t xml:space="preserve">Erreichter Wert </w:t>
            </w:r>
            <w:r w:rsidRPr="00AD210B">
              <w:rPr>
                <w:sz w:val="18"/>
              </w:rPr>
              <w:t xml:space="preserve">(quantitativ und qualitativ), gegebenenfalls Erläuterungen bei Abweichungen </w:t>
            </w:r>
          </w:p>
        </w:tc>
      </w:tr>
      <w:tr w:rsidR="003C36DD" w:rsidRPr="003C36DD" w14:paraId="5CBD0FC0" w14:textId="77777777" w:rsidTr="00F579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0" w:type="auto"/>
            <w:gridSpan w:val="2"/>
            <w:shd w:val="clear" w:color="auto" w:fill="auto"/>
          </w:tcPr>
          <w:p w14:paraId="0250EB9F" w14:textId="4FD01AD0" w:rsidR="003C36DD" w:rsidRPr="003C36DD" w:rsidRDefault="005C54AF" w:rsidP="0014703F">
            <w:pPr>
              <w:jc w:val="both"/>
            </w:pPr>
            <w:r w:rsidRPr="005C54AF">
              <w:t xml:space="preserve">Integrierte </w:t>
            </w:r>
            <w:r>
              <w:t>A</w:t>
            </w:r>
            <w:r w:rsidRPr="005C54AF">
              <w:t xml:space="preserve">ugen- und Ohrenmedizinische Dienste sind im Gesundheitssystem der Provinz </w:t>
            </w:r>
            <w:proofErr w:type="spellStart"/>
            <w:r w:rsidRPr="005C54AF">
              <w:t>Karnali</w:t>
            </w:r>
            <w:proofErr w:type="spellEnd"/>
            <w:r w:rsidRPr="005C54AF">
              <w:t xml:space="preserve"> verankert und die Finanzierung der Behandlung von armen Menschen ist gesichert.</w:t>
            </w:r>
          </w:p>
        </w:tc>
        <w:tc>
          <w:tcPr>
            <w:tcW w:w="0" w:type="auto"/>
            <w:shd w:val="clear" w:color="auto" w:fill="auto"/>
          </w:tcPr>
          <w:p w14:paraId="729F4D14" w14:textId="52B3B850" w:rsidR="005C54AF" w:rsidRDefault="003C36DD" w:rsidP="005C54AF">
            <w:pPr>
              <w:jc w:val="both"/>
            </w:pPr>
            <w:r w:rsidRPr="003C36DD">
              <w:t xml:space="preserve"> </w:t>
            </w:r>
            <w:r w:rsidR="005C54AF">
              <w:t xml:space="preserve"> In den 4 Distrikten der Zielregion liegt die Prävalenz für Seh- und Hörbehinderung über den Landesdurchschnitt (Sehbehinderung 4,7%, Landesdurch-schnitt 2,1%). </w:t>
            </w:r>
          </w:p>
          <w:p w14:paraId="645CFCE3" w14:textId="6F38020E" w:rsidR="005C54AF" w:rsidRDefault="005C54AF" w:rsidP="005C54AF">
            <w:pPr>
              <w:jc w:val="both"/>
            </w:pPr>
            <w:r>
              <w:t xml:space="preserve">Dies liegt an mangelnder Hygiene, fehlendem Wissen zu Prävention von Augen- und Ohrenerkrankungen sowie fehlendem Zugang zu bezahlbaren augen- und ohrenmedizinischen Diensten. </w:t>
            </w:r>
          </w:p>
          <w:p w14:paraId="5E5E7DC9" w14:textId="77777777" w:rsidR="005C54AF" w:rsidRDefault="005C54AF" w:rsidP="005C54AF">
            <w:pPr>
              <w:jc w:val="both"/>
            </w:pPr>
          </w:p>
          <w:p w14:paraId="756BE7F5" w14:textId="2EA2BC77" w:rsidR="003C36DD" w:rsidRPr="003C36DD" w:rsidRDefault="005C54AF" w:rsidP="005C54AF">
            <w:pPr>
              <w:jc w:val="both"/>
            </w:pPr>
            <w:r>
              <w:t xml:space="preserve">Die nationale Strategie für integrierte augen- und ohrenmedizinische Dienste im Gesundheitssystem ist bisher nicht umgesetzt. In der Provinz </w:t>
            </w:r>
            <w:proofErr w:type="spellStart"/>
            <w:r>
              <w:t>Karnali</w:t>
            </w:r>
            <w:proofErr w:type="spellEnd"/>
            <w:r>
              <w:t xml:space="preserve"> ist deshalb nach wie vor keine Grundversorgung durch die Gesundheitseinrichtungen gegeben.</w:t>
            </w:r>
          </w:p>
        </w:tc>
        <w:tc>
          <w:tcPr>
            <w:tcW w:w="0" w:type="auto"/>
            <w:shd w:val="clear" w:color="auto" w:fill="auto"/>
          </w:tcPr>
          <w:p w14:paraId="635DC59B" w14:textId="18176F89" w:rsidR="005C54AF" w:rsidRDefault="005C54AF" w:rsidP="005C54AF">
            <w:pPr>
              <w:jc w:val="both"/>
            </w:pPr>
            <w:r>
              <w:t xml:space="preserve">Die Bevölkerung wendet Maßnahmen zur Prävention von Augen- und Ohrengesundheit an (Messung anhand Erhebung). </w:t>
            </w:r>
          </w:p>
          <w:p w14:paraId="0EAED807" w14:textId="77777777" w:rsidR="005C54AF" w:rsidRDefault="005C54AF" w:rsidP="005C54AF">
            <w:pPr>
              <w:jc w:val="both"/>
            </w:pPr>
            <w:r w:rsidRPr="00C50EA3">
              <w:rPr>
                <w:b/>
                <w:bCs/>
              </w:rPr>
              <w:t>11.920</w:t>
            </w:r>
            <w:r>
              <w:t xml:space="preserve"> arme Menschen haben eine Behandlung ihrer Augen- oder Ohrenerkrankung erhalten. </w:t>
            </w:r>
          </w:p>
          <w:p w14:paraId="2C00A4B6" w14:textId="77777777" w:rsidR="004A6A8F" w:rsidRDefault="004A6A8F" w:rsidP="005C54AF">
            <w:pPr>
              <w:jc w:val="both"/>
            </w:pPr>
          </w:p>
          <w:p w14:paraId="4D1C24E2" w14:textId="77777777" w:rsidR="004A6A8F" w:rsidRDefault="004A6A8F" w:rsidP="005C54AF">
            <w:pPr>
              <w:jc w:val="both"/>
            </w:pPr>
          </w:p>
          <w:p w14:paraId="1B7AC622" w14:textId="77777777" w:rsidR="004A6A8F" w:rsidRDefault="004A6A8F" w:rsidP="005C54AF">
            <w:pPr>
              <w:jc w:val="both"/>
            </w:pPr>
          </w:p>
          <w:p w14:paraId="47AEA0DC" w14:textId="2B5ED3FC" w:rsidR="003C36DD" w:rsidRPr="003C36DD" w:rsidRDefault="005C54AF" w:rsidP="005C54AF">
            <w:pPr>
              <w:jc w:val="both"/>
            </w:pPr>
            <w:r>
              <w:t xml:space="preserve">Eine Vereinbarung für die Eingliederung der aufgebauten integrierten augen- und ohrenmedizinische Dienste in das Gesundheitssystem der Provinz </w:t>
            </w:r>
            <w:proofErr w:type="spellStart"/>
            <w:r>
              <w:t>Karnali</w:t>
            </w:r>
            <w:proofErr w:type="spellEnd"/>
            <w:r>
              <w:t xml:space="preserve"> ist mit der Regierung vereinbart und schriftlich ratifiziert. Definierte Anfor</w:t>
            </w:r>
            <w:r w:rsidR="00C50EA3">
              <w:t>d</w:t>
            </w:r>
            <w:r>
              <w:t>erungen an inklusive barrierefreie Dienste sind fester Bestandteil der Vereinbarung.</w:t>
            </w:r>
          </w:p>
        </w:tc>
        <w:tc>
          <w:tcPr>
            <w:tcW w:w="0" w:type="auto"/>
            <w:gridSpan w:val="2"/>
          </w:tcPr>
          <w:p w14:paraId="7A806D39" w14:textId="1ACA5947" w:rsidR="002639B1" w:rsidRDefault="002639B1" w:rsidP="001D399D">
            <w:r w:rsidRPr="00C50EA3">
              <w:rPr>
                <w:b/>
                <w:bCs/>
              </w:rPr>
              <w:t>16.335</w:t>
            </w:r>
            <w:r>
              <w:t xml:space="preserve"> in Armut lebende Menschen haben während der Projektlaufzeit eine </w:t>
            </w:r>
            <w:r w:rsidR="00C50EA3">
              <w:t>a</w:t>
            </w:r>
            <w:r>
              <w:t xml:space="preserve">ugen- oder </w:t>
            </w:r>
            <w:r w:rsidR="00C50EA3">
              <w:t>o</w:t>
            </w:r>
            <w:r>
              <w:t xml:space="preserve">hrenmedizinische Behandlung erhalten. Darunter 11.017 Katarakt Operationen und 5.318 Ohrenbehandlungen. Der erreichte Wert </w:t>
            </w:r>
            <w:r w:rsidR="004A6A8F">
              <w:t xml:space="preserve">liegt ca. 28% höher als der Zielwert. Dies ist vor allem auf die erhöhte Zahl an Outreach-Camps zurückzuführen, </w:t>
            </w:r>
            <w:r w:rsidR="00C50EA3">
              <w:t xml:space="preserve">die wiederum zu einer </w:t>
            </w:r>
            <w:r w:rsidR="004A6A8F">
              <w:t>höheren Fallzahl führte</w:t>
            </w:r>
            <w:r w:rsidR="00C50EA3">
              <w:t>n.</w:t>
            </w:r>
          </w:p>
          <w:p w14:paraId="0F01AF20" w14:textId="48BDC49C" w:rsidR="00C50EA3" w:rsidRDefault="00C50EA3" w:rsidP="001D399D">
            <w:r w:rsidRPr="00C50EA3">
              <w:br/>
              <w:t xml:space="preserve">Die Bundesregierung von Nepal und die Provinzregierung </w:t>
            </w:r>
            <w:proofErr w:type="spellStart"/>
            <w:r w:rsidRPr="00C50EA3">
              <w:t>Karnali</w:t>
            </w:r>
            <w:proofErr w:type="spellEnd"/>
            <w:r w:rsidRPr="00C50EA3">
              <w:t xml:space="preserve"> haben jeweils die nationale Augen-Gesundheitsstrategie und die provinzielle Augen-Gesundheitsstrategie</w:t>
            </w:r>
            <w:r>
              <w:t xml:space="preserve"> bestätigt</w:t>
            </w:r>
            <w:r w:rsidRPr="00C50EA3">
              <w:t>. Beide Dokumente haben bekräftigt, dass inklusive Augen-Gesundheitsdienste in das staatliche Gesundheitssystem integriert werden.</w:t>
            </w:r>
          </w:p>
          <w:p w14:paraId="115DF643" w14:textId="00627A51" w:rsidR="00C50EA3" w:rsidRPr="002639B1" w:rsidRDefault="00C50EA3" w:rsidP="001D399D"/>
        </w:tc>
      </w:tr>
      <w:tr w:rsidR="003C36DD" w:rsidRPr="003C36DD" w14:paraId="3C61A8EB" w14:textId="77777777" w:rsidTr="00714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8"/>
        </w:trPr>
        <w:tc>
          <w:tcPr>
            <w:tcW w:w="0" w:type="auto"/>
            <w:gridSpan w:val="2"/>
            <w:vMerge w:val="restart"/>
            <w:shd w:val="clear" w:color="auto" w:fill="DBE5F1" w:themeFill="accent1" w:themeFillTint="33"/>
          </w:tcPr>
          <w:p w14:paraId="5C12276B" w14:textId="77777777" w:rsidR="003C36DD" w:rsidRPr="003C36DD" w:rsidRDefault="003C36DD" w:rsidP="0014703F">
            <w:pPr>
              <w:jc w:val="both"/>
            </w:pPr>
            <w:r w:rsidRPr="003C36DD">
              <w:rPr>
                <w:b/>
              </w:rPr>
              <w:t>Unterziele</w:t>
            </w:r>
            <w:r w:rsidRPr="003C36DD">
              <w:t xml:space="preserve"> </w:t>
            </w:r>
          </w:p>
          <w:p w14:paraId="3F7F1893" w14:textId="77777777" w:rsidR="003C36DD" w:rsidRPr="003C36DD" w:rsidRDefault="003C36DD" w:rsidP="0014703F">
            <w:pPr>
              <w:jc w:val="both"/>
            </w:pPr>
          </w:p>
        </w:tc>
        <w:tc>
          <w:tcPr>
            <w:tcW w:w="0" w:type="auto"/>
            <w:gridSpan w:val="4"/>
            <w:shd w:val="clear" w:color="auto" w:fill="DBE5F1" w:themeFill="accent1" w:themeFillTint="33"/>
          </w:tcPr>
          <w:p w14:paraId="09DE9E0A" w14:textId="735DB97C" w:rsidR="003C36DD" w:rsidRPr="003C36DD" w:rsidRDefault="003C36DD" w:rsidP="0014703F">
            <w:pPr>
              <w:jc w:val="both"/>
              <w:rPr>
                <w:b/>
              </w:rPr>
            </w:pPr>
            <w:r w:rsidRPr="003C36DD">
              <w:rPr>
                <w:b/>
              </w:rPr>
              <w:t xml:space="preserve">Indikatoren </w:t>
            </w:r>
          </w:p>
        </w:tc>
      </w:tr>
      <w:tr w:rsidR="003C36DD" w:rsidRPr="003C36DD" w14:paraId="45B28171" w14:textId="77777777" w:rsidTr="00F579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
        </w:trPr>
        <w:tc>
          <w:tcPr>
            <w:tcW w:w="0" w:type="auto"/>
            <w:gridSpan w:val="2"/>
            <w:vMerge/>
            <w:shd w:val="clear" w:color="auto" w:fill="DBE5F1" w:themeFill="accent1" w:themeFillTint="33"/>
          </w:tcPr>
          <w:p w14:paraId="099A1D8F" w14:textId="77777777" w:rsidR="003C36DD" w:rsidRPr="003C36DD" w:rsidRDefault="003C36DD" w:rsidP="0014703F">
            <w:pPr>
              <w:jc w:val="both"/>
            </w:pPr>
          </w:p>
        </w:tc>
        <w:tc>
          <w:tcPr>
            <w:tcW w:w="0" w:type="auto"/>
            <w:shd w:val="clear" w:color="auto" w:fill="auto"/>
          </w:tcPr>
          <w:p w14:paraId="786CB6C9" w14:textId="77777777" w:rsidR="003C36DD" w:rsidRPr="003C36DD" w:rsidRDefault="003C36DD" w:rsidP="0014703F">
            <w:pPr>
              <w:spacing w:after="0"/>
              <w:jc w:val="both"/>
            </w:pPr>
            <w:r w:rsidRPr="003C36DD">
              <w:t xml:space="preserve">Ausgangswert </w:t>
            </w:r>
          </w:p>
          <w:p w14:paraId="7DAD33ED" w14:textId="77777777" w:rsidR="003C36DD" w:rsidRPr="003C36DD" w:rsidRDefault="003C36DD" w:rsidP="0014703F">
            <w:pPr>
              <w:jc w:val="both"/>
            </w:pPr>
            <w:r w:rsidRPr="00AD210B">
              <w:rPr>
                <w:sz w:val="18"/>
              </w:rPr>
              <w:t>(quantitativ und qualitativ)</w:t>
            </w:r>
          </w:p>
        </w:tc>
        <w:tc>
          <w:tcPr>
            <w:tcW w:w="0" w:type="auto"/>
            <w:shd w:val="clear" w:color="auto" w:fill="auto"/>
          </w:tcPr>
          <w:p w14:paraId="78AE157D" w14:textId="77777777" w:rsidR="003C36DD" w:rsidRPr="003C36DD" w:rsidRDefault="003C36DD" w:rsidP="0014703F">
            <w:pPr>
              <w:spacing w:after="0"/>
              <w:jc w:val="both"/>
            </w:pPr>
            <w:r w:rsidRPr="003C36DD">
              <w:t xml:space="preserve">Zielwert (Soll) </w:t>
            </w:r>
          </w:p>
          <w:p w14:paraId="497B4922" w14:textId="77777777" w:rsidR="003C36DD" w:rsidRPr="003C36DD" w:rsidRDefault="003C36DD" w:rsidP="0014703F">
            <w:pPr>
              <w:jc w:val="both"/>
            </w:pPr>
            <w:r w:rsidRPr="00AD210B">
              <w:rPr>
                <w:sz w:val="18"/>
              </w:rPr>
              <w:t>(quantitativ und qualitativ)</w:t>
            </w:r>
          </w:p>
        </w:tc>
        <w:tc>
          <w:tcPr>
            <w:tcW w:w="0" w:type="auto"/>
            <w:gridSpan w:val="2"/>
          </w:tcPr>
          <w:p w14:paraId="19B16669" w14:textId="1ADF7581" w:rsidR="00AD210B" w:rsidRPr="003C36DD" w:rsidRDefault="003C36DD" w:rsidP="0014703F">
            <w:pPr>
              <w:jc w:val="both"/>
            </w:pPr>
            <w:r w:rsidRPr="003C36DD">
              <w:t xml:space="preserve">Erreichter Wert </w:t>
            </w:r>
            <w:r w:rsidRPr="00AD210B">
              <w:rPr>
                <w:sz w:val="18"/>
              </w:rPr>
              <w:t xml:space="preserve">(quantitativ und qualitativ), gegebenenfalls Erläuterungen bei Abweichungen </w:t>
            </w:r>
          </w:p>
        </w:tc>
      </w:tr>
      <w:tr w:rsidR="00E1347B" w:rsidRPr="004E58E3" w14:paraId="60F7FF87" w14:textId="77777777" w:rsidTr="00F579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262"/>
        </w:trPr>
        <w:tc>
          <w:tcPr>
            <w:tcW w:w="0" w:type="auto"/>
            <w:gridSpan w:val="2"/>
            <w:vMerge w:val="restart"/>
            <w:shd w:val="clear" w:color="auto" w:fill="auto"/>
          </w:tcPr>
          <w:p w14:paraId="6C1CA7D6" w14:textId="618ADD0E" w:rsidR="00E1347B" w:rsidRPr="003C36DD" w:rsidRDefault="00E1347B" w:rsidP="0014703F">
            <w:pPr>
              <w:numPr>
                <w:ilvl w:val="0"/>
                <w:numId w:val="2"/>
              </w:numPr>
              <w:jc w:val="both"/>
            </w:pPr>
            <w:r w:rsidRPr="005C54AF">
              <w:t>1.</w:t>
            </w:r>
            <w:r w:rsidRPr="005C54AF">
              <w:tab/>
              <w:t xml:space="preserve">Die Bevölkerung der 4 Zieldistrikte </w:t>
            </w:r>
            <w:proofErr w:type="spellStart"/>
            <w:r w:rsidRPr="005C54AF">
              <w:t>Jumla</w:t>
            </w:r>
            <w:proofErr w:type="spellEnd"/>
            <w:r w:rsidRPr="005C54AF">
              <w:t xml:space="preserve">, </w:t>
            </w:r>
            <w:proofErr w:type="spellStart"/>
            <w:r w:rsidRPr="005C54AF">
              <w:t>Surkhet</w:t>
            </w:r>
            <w:proofErr w:type="spellEnd"/>
            <w:r w:rsidRPr="005C54AF">
              <w:t xml:space="preserve">, </w:t>
            </w:r>
            <w:proofErr w:type="spellStart"/>
            <w:r w:rsidRPr="005C54AF">
              <w:t>Dailekh</w:t>
            </w:r>
            <w:proofErr w:type="spellEnd"/>
            <w:r w:rsidRPr="005C54AF">
              <w:t xml:space="preserve"> und Mugu kennt Maßnahmen zu Prävention und Behandlungsmöglichkeiten   von Augen- und Ohrenerkrankungen und kennt das Angebot zu integrierten augen- und ohrenmedizinischen Diensten.</w:t>
            </w:r>
          </w:p>
        </w:tc>
        <w:tc>
          <w:tcPr>
            <w:tcW w:w="0" w:type="auto"/>
            <w:vMerge w:val="restart"/>
            <w:shd w:val="clear" w:color="auto" w:fill="auto"/>
          </w:tcPr>
          <w:p w14:paraId="7FD59E52" w14:textId="77777777" w:rsidR="00E1347B" w:rsidRDefault="00E1347B" w:rsidP="005C54AF">
            <w:pPr>
              <w:jc w:val="both"/>
            </w:pPr>
            <w:r>
              <w:t xml:space="preserve">_Die Bevölkerung hat kaum Wissen zu Hygiene- und Gesundheitspraktiken für Prävention von Augen- und Ohrenerkrankungen. Gerade bei Kindern werden Seh- oder Hörbeeinträchtigungen zu spät bemerkt und nicht behandelt bzw. sie erhalten nicht die notwendige Rehabilitation. Freiwilligen Gesundheitsmit-arbeitern wie den </w:t>
            </w:r>
            <w:proofErr w:type="spellStart"/>
            <w:r>
              <w:t>Female</w:t>
            </w:r>
            <w:proofErr w:type="spellEnd"/>
            <w:r>
              <w:t xml:space="preserve"> Community Health Volunteers sowie traditionellen Heilern fehlt es an Fachwissen, so dass häufig falsche Behandlungen erfolgen.</w:t>
            </w:r>
          </w:p>
          <w:p w14:paraId="41279AB6" w14:textId="77777777" w:rsidR="00E1347B" w:rsidRDefault="00E1347B" w:rsidP="005C54AF">
            <w:pPr>
              <w:jc w:val="both"/>
            </w:pPr>
          </w:p>
          <w:p w14:paraId="4C2AF978" w14:textId="6F78BAC2" w:rsidR="00E1347B" w:rsidRDefault="00E1347B" w:rsidP="008D3D2A">
            <w:pPr>
              <w:jc w:val="both"/>
            </w:pPr>
            <w:r>
              <w:t>_Barrieren bei Infrastruktur sowie Kommunikation und Verhalten des Gesundheitspersonals in den staatlichen Gesundheitseinrichtungen erschweren den Zugang zu medizinischen Diensten für Menschen mit Behinderungen.</w:t>
            </w:r>
          </w:p>
          <w:p w14:paraId="1502BE54" w14:textId="692398A8" w:rsidR="007142EA" w:rsidRPr="007142EA" w:rsidRDefault="007142EA" w:rsidP="007142EA">
            <w:pPr>
              <w:jc w:val="center"/>
            </w:pPr>
          </w:p>
        </w:tc>
        <w:tc>
          <w:tcPr>
            <w:tcW w:w="0" w:type="auto"/>
            <w:shd w:val="clear" w:color="auto" w:fill="auto"/>
          </w:tcPr>
          <w:p w14:paraId="254C596F" w14:textId="3049AABF" w:rsidR="00E1347B" w:rsidRPr="003C36DD" w:rsidRDefault="00E1347B" w:rsidP="008D3D2A">
            <w:pPr>
              <w:jc w:val="both"/>
            </w:pPr>
            <w:r>
              <w:t xml:space="preserve">_Bis </w:t>
            </w:r>
            <w:proofErr w:type="spellStart"/>
            <w:r>
              <w:t>Ende</w:t>
            </w:r>
            <w:proofErr w:type="spellEnd"/>
            <w:r>
              <w:t xml:space="preserve"> 2023 wurde die Bevölkerung durch </w:t>
            </w:r>
            <w:r w:rsidRPr="00754E63">
              <w:rPr>
                <w:b/>
                <w:bCs/>
              </w:rPr>
              <w:t>8</w:t>
            </w:r>
            <w:r>
              <w:t xml:space="preserve"> </w:t>
            </w:r>
            <w:r w:rsidRPr="00754E63">
              <w:rPr>
                <w:b/>
                <w:bCs/>
              </w:rPr>
              <w:t>Straßentheater</w:t>
            </w:r>
            <w:r>
              <w:t xml:space="preserve">, </w:t>
            </w:r>
            <w:r w:rsidRPr="00754E63">
              <w:rPr>
                <w:b/>
                <w:bCs/>
              </w:rPr>
              <w:t>60</w:t>
            </w:r>
            <w:r>
              <w:t xml:space="preserve"> </w:t>
            </w:r>
            <w:r w:rsidRPr="00754E63">
              <w:rPr>
                <w:b/>
                <w:bCs/>
              </w:rPr>
              <w:t>Wandbilder</w:t>
            </w:r>
            <w:r>
              <w:t xml:space="preserve"> und </w:t>
            </w:r>
            <w:r w:rsidRPr="00754E63">
              <w:rPr>
                <w:b/>
                <w:bCs/>
              </w:rPr>
              <w:t xml:space="preserve">8 Infotafeln </w:t>
            </w:r>
            <w:r>
              <w:t xml:space="preserve">an öffentlichen Plätzen, </w:t>
            </w:r>
            <w:r w:rsidRPr="00754E63">
              <w:rPr>
                <w:b/>
                <w:bCs/>
              </w:rPr>
              <w:t>4</w:t>
            </w:r>
            <w:r>
              <w:t xml:space="preserve"> </w:t>
            </w:r>
            <w:r w:rsidRPr="00754E63">
              <w:rPr>
                <w:b/>
                <w:bCs/>
              </w:rPr>
              <w:t>Schulwettbewerben</w:t>
            </w:r>
            <w:r>
              <w:t xml:space="preserve">, </w:t>
            </w:r>
            <w:r w:rsidRPr="00754E63">
              <w:rPr>
                <w:b/>
                <w:bCs/>
              </w:rPr>
              <w:t>Radiospots und 32 Events zu besonderen Feiertagen</w:t>
            </w:r>
            <w:r>
              <w:t xml:space="preserve"> zu Prävention und Behandlung von Augen- und Ohrenbehandlungen sensibilisiert und über die integrierten Dienste informiert.</w:t>
            </w:r>
          </w:p>
        </w:tc>
        <w:tc>
          <w:tcPr>
            <w:tcW w:w="0" w:type="auto"/>
            <w:gridSpan w:val="2"/>
          </w:tcPr>
          <w:p w14:paraId="7D0FC4A6" w14:textId="74BA301E" w:rsidR="00E1347B" w:rsidRPr="004E58E3" w:rsidRDefault="00E1347B" w:rsidP="0014703F">
            <w:pPr>
              <w:jc w:val="both"/>
            </w:pPr>
            <w:r>
              <w:t>Im Projektzeitraum wurden</w:t>
            </w:r>
            <w:r w:rsidRPr="00754E63">
              <w:rPr>
                <w:b/>
                <w:bCs/>
              </w:rPr>
              <w:t xml:space="preserve"> 8 Straßentheater</w:t>
            </w:r>
            <w:r>
              <w:t xml:space="preserve"> durchgeführt, </w:t>
            </w:r>
            <w:r w:rsidRPr="00754E63">
              <w:rPr>
                <w:b/>
                <w:bCs/>
              </w:rPr>
              <w:t>60</w:t>
            </w:r>
            <w:r>
              <w:t xml:space="preserve"> </w:t>
            </w:r>
            <w:r w:rsidRPr="00754E63">
              <w:rPr>
                <w:b/>
                <w:bCs/>
              </w:rPr>
              <w:t>Wandbilder</w:t>
            </w:r>
            <w:r>
              <w:t xml:space="preserve"> und</w:t>
            </w:r>
            <w:r w:rsidRPr="00754E63">
              <w:rPr>
                <w:b/>
                <w:bCs/>
              </w:rPr>
              <w:t xml:space="preserve"> 32</w:t>
            </w:r>
            <w:r>
              <w:t xml:space="preserve"> </w:t>
            </w:r>
            <w:r w:rsidRPr="00754E63">
              <w:rPr>
                <w:b/>
                <w:bCs/>
              </w:rPr>
              <w:t>Informationstafeln</w:t>
            </w:r>
            <w:r>
              <w:t xml:space="preserve"> an öffentlichen Plätzen und Schulen im Projektgebiet angebracht. In Bezug auf die Infotafeln bestand eine Diskrepanz zwischen der Wirkungsmatrix und der Aktivitätenbeschreibung des bewilligten Antrags. Der implementierende </w:t>
            </w:r>
            <w:r w:rsidR="009D172A">
              <w:t>lokale Projektträger</w:t>
            </w:r>
            <w:r>
              <w:t xml:space="preserve"> hat sich dabei an der Aktivitätenbeschreibung orientiert da dies auch dem verfügbaren Budgetrahmen entsprach. (Näheres siehe Aktivitätenbeschreibung 1.1.6). Es wurden vier Schulwettbewerbe pro Distrikt, dementsprechend insgesamt </w:t>
            </w:r>
            <w:r w:rsidRPr="00754E63">
              <w:rPr>
                <w:b/>
                <w:bCs/>
              </w:rPr>
              <w:t>12 Schulwettbewerbe</w:t>
            </w:r>
            <w:r>
              <w:t xml:space="preserve"> durchgeführt. Dies weicht stark vom Sollwert ab, blieb jedoch innerhalb des geplanten Budgets (Näheres siehe Aktivitätenbeschreibung 1.1.7). Die geplanten </w:t>
            </w:r>
            <w:r w:rsidRPr="0060741B">
              <w:rPr>
                <w:b/>
                <w:bCs/>
              </w:rPr>
              <w:t>Radiospots</w:t>
            </w:r>
            <w:r>
              <w:t xml:space="preserve"> wurden im Projektgebiet ausgestrahlt und </w:t>
            </w:r>
            <w:r w:rsidRPr="005C3A27">
              <w:rPr>
                <w:b/>
                <w:bCs/>
              </w:rPr>
              <w:t xml:space="preserve">32 Events zu besonderen Feiertagen </w:t>
            </w:r>
            <w:r>
              <w:t>durchgeführt</w:t>
            </w:r>
            <w:r w:rsidR="008D3D2A">
              <w:t>.</w:t>
            </w:r>
          </w:p>
        </w:tc>
      </w:tr>
      <w:tr w:rsidR="00E1347B" w:rsidRPr="004E58E3" w14:paraId="30649B7C" w14:textId="77777777" w:rsidTr="00F579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121"/>
        </w:trPr>
        <w:tc>
          <w:tcPr>
            <w:tcW w:w="0" w:type="auto"/>
            <w:gridSpan w:val="2"/>
            <w:vMerge/>
            <w:shd w:val="clear" w:color="auto" w:fill="auto"/>
          </w:tcPr>
          <w:p w14:paraId="7FC57CED" w14:textId="77777777" w:rsidR="00E1347B" w:rsidRPr="005C54AF" w:rsidRDefault="00E1347B" w:rsidP="0014703F">
            <w:pPr>
              <w:numPr>
                <w:ilvl w:val="0"/>
                <w:numId w:val="2"/>
              </w:numPr>
              <w:jc w:val="both"/>
            </w:pPr>
          </w:p>
        </w:tc>
        <w:tc>
          <w:tcPr>
            <w:tcW w:w="0" w:type="auto"/>
            <w:vMerge/>
            <w:shd w:val="clear" w:color="auto" w:fill="auto"/>
          </w:tcPr>
          <w:p w14:paraId="5656856F" w14:textId="77777777" w:rsidR="00E1347B" w:rsidRDefault="00E1347B" w:rsidP="005C54AF">
            <w:pPr>
              <w:jc w:val="both"/>
            </w:pPr>
          </w:p>
        </w:tc>
        <w:tc>
          <w:tcPr>
            <w:tcW w:w="0" w:type="auto"/>
            <w:shd w:val="clear" w:color="auto" w:fill="auto"/>
          </w:tcPr>
          <w:p w14:paraId="25819B34" w14:textId="77777777" w:rsidR="00E1347B" w:rsidRDefault="00E1347B" w:rsidP="00FF51C4">
            <w:pPr>
              <w:jc w:val="both"/>
            </w:pPr>
            <w:r w:rsidRPr="004E58E3">
              <w:rPr>
                <w:b/>
                <w:bCs/>
              </w:rPr>
              <w:t xml:space="preserve">320 traditionelle Heiler, 20 </w:t>
            </w:r>
            <w:proofErr w:type="spellStart"/>
            <w:r w:rsidRPr="004E58E3">
              <w:rPr>
                <w:b/>
                <w:bCs/>
              </w:rPr>
              <w:t>Female</w:t>
            </w:r>
            <w:proofErr w:type="spellEnd"/>
            <w:r w:rsidRPr="004E58E3">
              <w:rPr>
                <w:b/>
                <w:bCs/>
              </w:rPr>
              <w:t xml:space="preserve"> Community Health Volunteers, 80 Eltern, 16 Lehrer, 16 Gemeindevertreter</w:t>
            </w:r>
            <w:r>
              <w:t xml:space="preserve"> wurden zu Prävention und Behandlung von Augen- und Ohrenerkrankungen aufgeklärt und fortgebildet. </w:t>
            </w:r>
          </w:p>
          <w:p w14:paraId="5049DE8C" w14:textId="77777777" w:rsidR="00E1347B" w:rsidRDefault="00E1347B" w:rsidP="005C54AF">
            <w:pPr>
              <w:jc w:val="both"/>
            </w:pPr>
          </w:p>
        </w:tc>
        <w:tc>
          <w:tcPr>
            <w:tcW w:w="0" w:type="auto"/>
            <w:gridSpan w:val="2"/>
          </w:tcPr>
          <w:p w14:paraId="3CEB77ED" w14:textId="6571BD8F" w:rsidR="00E1347B" w:rsidRDefault="00E1347B" w:rsidP="00F57994">
            <w:pPr>
              <w:jc w:val="both"/>
            </w:pPr>
            <w:r w:rsidRPr="004E58E3">
              <w:rPr>
                <w:b/>
                <w:bCs/>
              </w:rPr>
              <w:t xml:space="preserve">339 traditionelle Heiler, 329 </w:t>
            </w:r>
            <w:proofErr w:type="spellStart"/>
            <w:r w:rsidRPr="004E58E3">
              <w:rPr>
                <w:b/>
                <w:bCs/>
              </w:rPr>
              <w:t>Female</w:t>
            </w:r>
            <w:proofErr w:type="spellEnd"/>
            <w:r w:rsidRPr="004E58E3">
              <w:rPr>
                <w:b/>
                <w:bCs/>
              </w:rPr>
              <w:t xml:space="preserve"> Community Health Volunteers, 395 Eltern und 1</w:t>
            </w:r>
            <w:r>
              <w:rPr>
                <w:b/>
                <w:bCs/>
              </w:rPr>
              <w:t>8</w:t>
            </w:r>
            <w:r w:rsidRPr="004E58E3">
              <w:rPr>
                <w:b/>
                <w:bCs/>
              </w:rPr>
              <w:t xml:space="preserve"> LehrerInnen </w:t>
            </w:r>
            <w:r w:rsidRPr="004E58E3">
              <w:t xml:space="preserve">wurden zu Prävention </w:t>
            </w:r>
            <w:r>
              <w:t xml:space="preserve">und Behandlung von Augen- und Ohrenerkrankungen aufgeklärt und fortgebildet. Die Hohe Diskrepanz der geschulten </w:t>
            </w:r>
            <w:proofErr w:type="spellStart"/>
            <w:r>
              <w:t>Female</w:t>
            </w:r>
            <w:proofErr w:type="spellEnd"/>
            <w:r>
              <w:t xml:space="preserve"> Community Health Volunteers ergibt sich ebenfalls aus einer Diskrepanz zwischen Wirkungsmatrix und Aktivitätenbeschreibung. Das veranschlagte Budget, wie in der Aktivitätenbeschreibung dargelegt, bezog sich auf 320 </w:t>
            </w:r>
            <w:proofErr w:type="spellStart"/>
            <w:r>
              <w:t>FCHV</w:t>
            </w:r>
            <w:proofErr w:type="spellEnd"/>
            <w:r>
              <w:t xml:space="preserve"> und wurde so vom </w:t>
            </w:r>
            <w:r w:rsidR="009D172A">
              <w:t>lokalen Projektträger</w:t>
            </w:r>
            <w:r>
              <w:t xml:space="preserve"> umgesetzt. Gleiches gilt für die geplante Anzahl der Eltern. Dies ist in der Aktivitätenbeschreibung missverständlich dargestellt. Der </w:t>
            </w:r>
            <w:r w:rsidR="009D172A">
              <w:t>lokale Projektträger</w:t>
            </w:r>
            <w:r>
              <w:t xml:space="preserve"> hat mit Einhaltung des Budgets hier ebenfalls die Berechnung der Kosten für 320 Eltern übernommen. </w:t>
            </w:r>
            <w:r w:rsidR="008D3D2A">
              <w:t xml:space="preserve">Der hohe Bedarf seitens der Zielgruppen führte zudem dazu, dass es zu geringfügigen Erhöhungen der Teilnehmerzahlen pro Training kam. Die zusätzlichen Kosten konnten durch das geplante Budget gedeckt werden. </w:t>
            </w:r>
          </w:p>
        </w:tc>
      </w:tr>
      <w:tr w:rsidR="00E1347B" w:rsidRPr="004E58E3" w14:paraId="0B82AE04" w14:textId="77777777" w:rsidTr="00F579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89"/>
        </w:trPr>
        <w:tc>
          <w:tcPr>
            <w:tcW w:w="0" w:type="auto"/>
            <w:gridSpan w:val="2"/>
            <w:vMerge/>
            <w:shd w:val="clear" w:color="auto" w:fill="auto"/>
          </w:tcPr>
          <w:p w14:paraId="1EADBC77" w14:textId="77777777" w:rsidR="00E1347B" w:rsidRPr="005C54AF" w:rsidRDefault="00E1347B" w:rsidP="0014703F">
            <w:pPr>
              <w:numPr>
                <w:ilvl w:val="0"/>
                <w:numId w:val="2"/>
              </w:numPr>
              <w:jc w:val="both"/>
            </w:pPr>
          </w:p>
        </w:tc>
        <w:tc>
          <w:tcPr>
            <w:tcW w:w="0" w:type="auto"/>
            <w:vMerge/>
            <w:shd w:val="clear" w:color="auto" w:fill="auto"/>
          </w:tcPr>
          <w:p w14:paraId="0A23E199" w14:textId="77777777" w:rsidR="00E1347B" w:rsidRDefault="00E1347B" w:rsidP="005C54AF">
            <w:pPr>
              <w:jc w:val="both"/>
            </w:pPr>
          </w:p>
        </w:tc>
        <w:tc>
          <w:tcPr>
            <w:tcW w:w="0" w:type="auto"/>
            <w:shd w:val="clear" w:color="auto" w:fill="auto"/>
          </w:tcPr>
          <w:p w14:paraId="1D88CC5F" w14:textId="77777777" w:rsidR="00E1347B" w:rsidRDefault="00E1347B" w:rsidP="00FF51C4">
            <w:pPr>
              <w:jc w:val="both"/>
            </w:pPr>
            <w:r>
              <w:t>_</w:t>
            </w:r>
            <w:r w:rsidRPr="00855A19">
              <w:rPr>
                <w:b/>
                <w:bCs/>
              </w:rPr>
              <w:t>90 Gesundheitsmitarbeiter</w:t>
            </w:r>
            <w:r>
              <w:t>, Vertreter aus den Gemeinden und Distriktbehörden wurden über Behinderung, Inklusion und inklusive Notfallmaßnahmen fortgebildet.</w:t>
            </w:r>
          </w:p>
          <w:p w14:paraId="1D925F2F" w14:textId="77777777" w:rsidR="00E1347B" w:rsidRDefault="00E1347B" w:rsidP="005C54AF">
            <w:pPr>
              <w:jc w:val="both"/>
            </w:pPr>
          </w:p>
        </w:tc>
        <w:tc>
          <w:tcPr>
            <w:tcW w:w="0" w:type="auto"/>
            <w:gridSpan w:val="2"/>
          </w:tcPr>
          <w:p w14:paraId="135A552F" w14:textId="5C02241D" w:rsidR="00E1347B" w:rsidRDefault="00EF0912" w:rsidP="00F57994">
            <w:pPr>
              <w:jc w:val="both"/>
            </w:pPr>
            <w:r>
              <w:t xml:space="preserve">Es wurden </w:t>
            </w:r>
            <w:r w:rsidRPr="00855A19">
              <w:rPr>
                <w:b/>
                <w:bCs/>
              </w:rPr>
              <w:t xml:space="preserve">101 </w:t>
            </w:r>
            <w:proofErr w:type="spellStart"/>
            <w:r w:rsidRPr="00855A19">
              <w:rPr>
                <w:b/>
                <w:bCs/>
              </w:rPr>
              <w:t>GesundheitsmitarbeiterInnen</w:t>
            </w:r>
            <w:proofErr w:type="spellEnd"/>
            <w:r>
              <w:t xml:space="preserve"> sowie Vertreter aus den Gemeinden und Distriktbehörden in behinderungsinklusiven Notfallmaßnahmen fortgebildet. Die Distriktbehörden baten darum weitere Teilnehmer für die genannten Fortbildungen anmelden zu dürfen. Dies konnte kostenneutral ermöglicht werden.</w:t>
            </w:r>
          </w:p>
        </w:tc>
      </w:tr>
      <w:tr w:rsidR="00E1347B" w:rsidRPr="004E58E3" w14:paraId="4663A77C" w14:textId="77777777" w:rsidTr="00F579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67"/>
        </w:trPr>
        <w:tc>
          <w:tcPr>
            <w:tcW w:w="0" w:type="auto"/>
            <w:gridSpan w:val="2"/>
            <w:vMerge/>
            <w:shd w:val="clear" w:color="auto" w:fill="auto"/>
          </w:tcPr>
          <w:p w14:paraId="2F5A7CF0" w14:textId="77777777" w:rsidR="00E1347B" w:rsidRPr="005C54AF" w:rsidRDefault="00E1347B" w:rsidP="0014703F">
            <w:pPr>
              <w:numPr>
                <w:ilvl w:val="0"/>
                <w:numId w:val="2"/>
              </w:numPr>
              <w:jc w:val="both"/>
            </w:pPr>
          </w:p>
        </w:tc>
        <w:tc>
          <w:tcPr>
            <w:tcW w:w="0" w:type="auto"/>
            <w:vMerge/>
            <w:shd w:val="clear" w:color="auto" w:fill="auto"/>
          </w:tcPr>
          <w:p w14:paraId="3D77C07B" w14:textId="77777777" w:rsidR="00E1347B" w:rsidRDefault="00E1347B" w:rsidP="005C54AF">
            <w:pPr>
              <w:jc w:val="both"/>
            </w:pPr>
          </w:p>
        </w:tc>
        <w:tc>
          <w:tcPr>
            <w:tcW w:w="0" w:type="auto"/>
            <w:shd w:val="clear" w:color="auto" w:fill="auto"/>
          </w:tcPr>
          <w:p w14:paraId="361FF87D" w14:textId="742A7FD5" w:rsidR="00E1347B" w:rsidRDefault="00E1347B" w:rsidP="005C54AF">
            <w:pPr>
              <w:jc w:val="both"/>
            </w:pPr>
            <w:r>
              <w:t>_</w:t>
            </w:r>
            <w:r w:rsidRPr="00855A19">
              <w:rPr>
                <w:b/>
                <w:bCs/>
              </w:rPr>
              <w:t xml:space="preserve">16 Gesundheitseinrichtungen </w:t>
            </w:r>
            <w:r>
              <w:t>sind barrierefrei ausgestattet.</w:t>
            </w:r>
          </w:p>
        </w:tc>
        <w:tc>
          <w:tcPr>
            <w:tcW w:w="0" w:type="auto"/>
            <w:gridSpan w:val="2"/>
          </w:tcPr>
          <w:p w14:paraId="038CAA08" w14:textId="424DF2D6" w:rsidR="00E1347B" w:rsidRDefault="00EF0912" w:rsidP="00F57994">
            <w:pPr>
              <w:jc w:val="both"/>
            </w:pPr>
            <w:r w:rsidRPr="00855A19">
              <w:rPr>
                <w:b/>
                <w:bCs/>
              </w:rPr>
              <w:t>16 Gesundheitseinrichtungen</w:t>
            </w:r>
            <w:r>
              <w:t xml:space="preserve"> wurden barrierefrei ausgestattet.</w:t>
            </w:r>
          </w:p>
        </w:tc>
      </w:tr>
      <w:tr w:rsidR="00E1347B" w:rsidRPr="004E58E3" w14:paraId="155E16BF" w14:textId="77777777" w:rsidTr="00F579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84"/>
        </w:trPr>
        <w:tc>
          <w:tcPr>
            <w:tcW w:w="0" w:type="auto"/>
            <w:gridSpan w:val="2"/>
            <w:vMerge/>
            <w:shd w:val="clear" w:color="auto" w:fill="auto"/>
          </w:tcPr>
          <w:p w14:paraId="781D0AD2" w14:textId="77777777" w:rsidR="00E1347B" w:rsidRPr="005C54AF" w:rsidRDefault="00E1347B" w:rsidP="0014703F">
            <w:pPr>
              <w:numPr>
                <w:ilvl w:val="0"/>
                <w:numId w:val="2"/>
              </w:numPr>
              <w:jc w:val="both"/>
            </w:pPr>
          </w:p>
        </w:tc>
        <w:tc>
          <w:tcPr>
            <w:tcW w:w="0" w:type="auto"/>
            <w:vMerge/>
            <w:shd w:val="clear" w:color="auto" w:fill="auto"/>
          </w:tcPr>
          <w:p w14:paraId="0D352522" w14:textId="77777777" w:rsidR="00E1347B" w:rsidRDefault="00E1347B" w:rsidP="005C54AF">
            <w:pPr>
              <w:jc w:val="both"/>
            </w:pPr>
          </w:p>
        </w:tc>
        <w:tc>
          <w:tcPr>
            <w:tcW w:w="0" w:type="auto"/>
            <w:shd w:val="clear" w:color="auto" w:fill="auto"/>
          </w:tcPr>
          <w:p w14:paraId="4ADE5328" w14:textId="26F4B5A4" w:rsidR="00E1347B" w:rsidRDefault="00EF0912" w:rsidP="005C54AF">
            <w:pPr>
              <w:jc w:val="both"/>
            </w:pPr>
            <w:r>
              <w:t>_</w:t>
            </w:r>
            <w:r w:rsidRPr="00855A19">
              <w:rPr>
                <w:b/>
                <w:bCs/>
              </w:rPr>
              <w:t xml:space="preserve">4 </w:t>
            </w:r>
            <w:proofErr w:type="spellStart"/>
            <w:r w:rsidR="002036B5">
              <w:rPr>
                <w:b/>
                <w:bCs/>
              </w:rPr>
              <w:t>OPD</w:t>
            </w:r>
            <w:r w:rsidRPr="00855A19">
              <w:rPr>
                <w:b/>
                <w:bCs/>
              </w:rPr>
              <w:t>s</w:t>
            </w:r>
            <w:proofErr w:type="spellEnd"/>
            <w:r w:rsidRPr="00855A19">
              <w:rPr>
                <w:b/>
                <w:bCs/>
              </w:rPr>
              <w:t xml:space="preserve"> mit 100 Mitgliedern</w:t>
            </w:r>
            <w:r>
              <w:t xml:space="preserve"> haben ihre Lobbying-Fähigkeiten gestärkt und setzen sich für Inklusion und Barrierefreiheit ein.</w:t>
            </w:r>
          </w:p>
        </w:tc>
        <w:tc>
          <w:tcPr>
            <w:tcW w:w="0" w:type="auto"/>
            <w:gridSpan w:val="2"/>
          </w:tcPr>
          <w:p w14:paraId="4E28FC26" w14:textId="2B6FE9B7" w:rsidR="00E1347B" w:rsidRDefault="00EF0912" w:rsidP="00F57994">
            <w:pPr>
              <w:jc w:val="both"/>
            </w:pPr>
            <w:r w:rsidRPr="00855A19">
              <w:rPr>
                <w:b/>
                <w:bCs/>
              </w:rPr>
              <w:t xml:space="preserve">99 Mitglieder von </w:t>
            </w:r>
            <w:proofErr w:type="spellStart"/>
            <w:r w:rsidRPr="00855A19">
              <w:rPr>
                <w:b/>
                <w:bCs/>
              </w:rPr>
              <w:t>OPDs</w:t>
            </w:r>
            <w:proofErr w:type="spellEnd"/>
            <w:r>
              <w:t xml:space="preserve"> erhielten eine Fortbildung zu Behinderung und Inklusion, um ihr Lobbyfähigkeiten zu stärken.</w:t>
            </w:r>
          </w:p>
        </w:tc>
      </w:tr>
      <w:tr w:rsidR="00E07E9A" w:rsidRPr="003C36DD" w14:paraId="4003AFB7" w14:textId="77777777" w:rsidTr="00F579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0"/>
        </w:trPr>
        <w:tc>
          <w:tcPr>
            <w:tcW w:w="0" w:type="auto"/>
            <w:gridSpan w:val="2"/>
            <w:vMerge w:val="restart"/>
            <w:shd w:val="clear" w:color="auto" w:fill="auto"/>
          </w:tcPr>
          <w:p w14:paraId="2512B530" w14:textId="6F76B48F" w:rsidR="00E07E9A" w:rsidRPr="003C36DD" w:rsidRDefault="00E07E9A" w:rsidP="002639B1">
            <w:pPr>
              <w:numPr>
                <w:ilvl w:val="0"/>
                <w:numId w:val="2"/>
              </w:numPr>
              <w:jc w:val="both"/>
            </w:pPr>
            <w:r>
              <w:t xml:space="preserve">In den Zieldistrikten </w:t>
            </w:r>
            <w:proofErr w:type="spellStart"/>
            <w:r>
              <w:t>Jumla</w:t>
            </w:r>
            <w:proofErr w:type="spellEnd"/>
            <w:r>
              <w:t xml:space="preserve">, Mugu, </w:t>
            </w:r>
            <w:proofErr w:type="spellStart"/>
            <w:r>
              <w:t>Surkhet</w:t>
            </w:r>
            <w:proofErr w:type="spellEnd"/>
            <w:r>
              <w:t xml:space="preserve"> und </w:t>
            </w:r>
            <w:proofErr w:type="spellStart"/>
            <w:r>
              <w:t>Dailekh</w:t>
            </w:r>
            <w:proofErr w:type="spellEnd"/>
            <w:r>
              <w:t xml:space="preserve"> sind die fachlichen Kapazitäten und Infrastruktur für bezahlbare augen- und ohrenmedizinische Dienste dauerhaft gewährleistet.</w:t>
            </w:r>
          </w:p>
        </w:tc>
        <w:tc>
          <w:tcPr>
            <w:tcW w:w="0" w:type="auto"/>
            <w:vMerge w:val="restart"/>
            <w:shd w:val="clear" w:color="auto" w:fill="auto"/>
          </w:tcPr>
          <w:p w14:paraId="575B9F9F" w14:textId="77777777" w:rsidR="00E07E9A" w:rsidRDefault="00E07E9A" w:rsidP="002639B1">
            <w:pPr>
              <w:jc w:val="both"/>
            </w:pPr>
            <w:r>
              <w:t>_In den staatlichen Basis- und Primärgesundheitsstationen auf Gemeindeebene fehlt es dem Gesundheitspersonal an Fach-wissen und medizinischer Grundausstattung für Diagnose und Untersuchung von Augen- und Ohrenerkrankungen.</w:t>
            </w:r>
          </w:p>
          <w:p w14:paraId="71078AE6" w14:textId="0310C6C8" w:rsidR="00E07E9A" w:rsidRDefault="00E07E9A" w:rsidP="002639B1">
            <w:pPr>
              <w:jc w:val="both"/>
            </w:pPr>
            <w:r>
              <w:t>_ In den Gemeinden besteht derzeit keine Versorgung mit augen- und ohrenmedizinischen Diensten. Ein Überweisungs-system für eine weiterführende Behandlungen an sekundäre oder tertiäre Gesundheitseinrichtungen ist nicht vorhanden.</w:t>
            </w:r>
          </w:p>
          <w:p w14:paraId="4A3ED77C" w14:textId="436AF04C" w:rsidR="00E07E9A" w:rsidRDefault="00E07E9A" w:rsidP="002639B1">
            <w:pPr>
              <w:jc w:val="both"/>
            </w:pPr>
            <w:r>
              <w:t xml:space="preserve">_Die bestehenden Kranken-häuser haben nicht die Ausstattung, um den Bedarf an Augen- und Ohrenbehandlungen für 4 Distrikte abzudecken. </w:t>
            </w:r>
          </w:p>
          <w:p w14:paraId="5CFFE341" w14:textId="0386A09A" w:rsidR="00E07E9A" w:rsidRPr="003C36DD" w:rsidRDefault="00E07E9A" w:rsidP="0014703F">
            <w:pPr>
              <w:jc w:val="both"/>
            </w:pPr>
            <w:r>
              <w:t>_ Weiterführende Behandlungen in Großstädten sind kosten-pflichtig, es sind weite Wege erforderlich, wofür die arme Bevölkerung nicht die finanzielle Mittel hat</w:t>
            </w:r>
          </w:p>
          <w:p w14:paraId="5FBE1BB7" w14:textId="77777777" w:rsidR="00E07E9A" w:rsidRPr="003C36DD" w:rsidRDefault="00E07E9A" w:rsidP="0014703F">
            <w:pPr>
              <w:jc w:val="both"/>
            </w:pPr>
          </w:p>
          <w:p w14:paraId="1B3A12ED" w14:textId="77777777" w:rsidR="00E07E9A" w:rsidRPr="003C36DD" w:rsidRDefault="00E07E9A" w:rsidP="0014703F">
            <w:pPr>
              <w:jc w:val="both"/>
            </w:pPr>
          </w:p>
        </w:tc>
        <w:tc>
          <w:tcPr>
            <w:tcW w:w="0" w:type="auto"/>
            <w:shd w:val="clear" w:color="auto" w:fill="auto"/>
          </w:tcPr>
          <w:p w14:paraId="1DF4C09A" w14:textId="48A50156" w:rsidR="00E07E9A" w:rsidRPr="002639B1" w:rsidRDefault="00E07E9A" w:rsidP="00E07E9A">
            <w:pPr>
              <w:jc w:val="both"/>
            </w:pPr>
            <w:r w:rsidRPr="00B057ED">
              <w:t>_</w:t>
            </w:r>
            <w:r w:rsidRPr="00B057ED">
              <w:rPr>
                <w:b/>
                <w:bCs/>
              </w:rPr>
              <w:t>12 Basisgesundheitsstationen</w:t>
            </w:r>
            <w:r w:rsidRPr="00B057ED">
              <w:t xml:space="preserve"> und </w:t>
            </w:r>
            <w:r w:rsidRPr="00B057ED">
              <w:rPr>
                <w:b/>
                <w:bCs/>
              </w:rPr>
              <w:t xml:space="preserve">4 Primärgesundheitszentren </w:t>
            </w:r>
            <w:r w:rsidRPr="00B057ED">
              <w:t>sind in den Zielgemeinden für die Grundversorgung der Bevölkerung mit augen- und ohrenmedizinischen Diensten ausgestattet.</w:t>
            </w:r>
            <w:r>
              <w:t xml:space="preserve"> </w:t>
            </w:r>
          </w:p>
        </w:tc>
        <w:tc>
          <w:tcPr>
            <w:tcW w:w="0" w:type="auto"/>
            <w:gridSpan w:val="2"/>
          </w:tcPr>
          <w:p w14:paraId="518D97C1" w14:textId="71571E14" w:rsidR="00E07E9A" w:rsidRPr="00F57994" w:rsidRDefault="00E07E9A" w:rsidP="00F57994">
            <w:pPr>
              <w:jc w:val="both"/>
              <w:rPr>
                <w:b/>
                <w:bCs/>
              </w:rPr>
            </w:pPr>
            <w:r>
              <w:rPr>
                <w:b/>
                <w:bCs/>
              </w:rPr>
              <w:t xml:space="preserve">17 </w:t>
            </w:r>
            <w:r w:rsidRPr="00327ECA">
              <w:rPr>
                <w:b/>
                <w:bCs/>
              </w:rPr>
              <w:t xml:space="preserve">Basisgesundheitsstationen </w:t>
            </w:r>
            <w:r w:rsidRPr="00327ECA">
              <w:t xml:space="preserve">und </w:t>
            </w:r>
            <w:r w:rsidRPr="00327ECA">
              <w:rPr>
                <w:b/>
                <w:bCs/>
              </w:rPr>
              <w:t>4</w:t>
            </w:r>
            <w:r w:rsidRPr="00327ECA">
              <w:t xml:space="preserve"> P</w:t>
            </w:r>
            <w:r w:rsidRPr="00327ECA">
              <w:rPr>
                <w:b/>
                <w:bCs/>
              </w:rPr>
              <w:t>rimärgesundheitszentren</w:t>
            </w:r>
            <w:r w:rsidRPr="00327ECA">
              <w:t xml:space="preserve"> wurden in den Zielgemeinden für die Grundversorgung der Bevölkerung mit augen- und ohrenmedizinischen Diensten ausgestattet.</w:t>
            </w:r>
            <w:r>
              <w:t xml:space="preserve"> Dieses Ziel wurde erheblich übererreicht. </w:t>
            </w:r>
            <w:r w:rsidR="00783FED">
              <w:t>D</w:t>
            </w:r>
            <w:r>
              <w:t>er lokale Projektträger</w:t>
            </w:r>
            <w:r w:rsidRPr="00327ECA">
              <w:t xml:space="preserve"> </w:t>
            </w:r>
            <w:r w:rsidR="00783FED">
              <w:t xml:space="preserve">hat </w:t>
            </w:r>
            <w:r>
              <w:t xml:space="preserve">die </w:t>
            </w:r>
            <w:r w:rsidRPr="00327ECA">
              <w:t>zusätzliche</w:t>
            </w:r>
            <w:r>
              <w:t>n</w:t>
            </w:r>
            <w:r w:rsidRPr="00327ECA">
              <w:t xml:space="preserve"> Einrichtungen aus</w:t>
            </w:r>
            <w:r w:rsidR="009D172A">
              <w:t>gestattet</w:t>
            </w:r>
            <w:r w:rsidRPr="00327ECA">
              <w:t xml:space="preserve">, ohne dies im Vorfeld mit uns </w:t>
            </w:r>
            <w:r>
              <w:t>zu besprechen</w:t>
            </w:r>
            <w:r w:rsidRPr="00327ECA">
              <w:t xml:space="preserve">. </w:t>
            </w:r>
            <w:r>
              <w:t>Sein Vorgehen</w:t>
            </w:r>
            <w:r w:rsidRPr="00327ECA">
              <w:t xml:space="preserve"> basierte auf einer internen Budgetberechnung, die von einer ursprünglich höheren Anzahl an Einrichtungen ausging. Da die zusätzlichen Einrichtungen jedoch nicht zu einer Überschreitung der Unterbudgetlinie geführt haben und zudem dem Projektziel förderlich sind, bitten wir um </w:t>
            </w:r>
            <w:r>
              <w:t xml:space="preserve">Entschuldigung für das Eigenmächtige Verhalten des lokalen Projektträgers und gleichzeitig um </w:t>
            </w:r>
            <w:r w:rsidRPr="00327ECA">
              <w:t>Ihre nachträgliche Genehmigung für die Ausstattung von fünf zusätzlichen Einrichtungen.</w:t>
            </w:r>
          </w:p>
        </w:tc>
      </w:tr>
      <w:tr w:rsidR="00E07E9A" w:rsidRPr="003C36DD" w14:paraId="602A11D6" w14:textId="77777777" w:rsidTr="00F579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37"/>
        </w:trPr>
        <w:tc>
          <w:tcPr>
            <w:tcW w:w="0" w:type="auto"/>
            <w:gridSpan w:val="2"/>
            <w:vMerge/>
            <w:shd w:val="clear" w:color="auto" w:fill="auto"/>
          </w:tcPr>
          <w:p w14:paraId="2C4C50B7" w14:textId="77777777" w:rsidR="00E07E9A" w:rsidRDefault="00E07E9A" w:rsidP="002639B1">
            <w:pPr>
              <w:numPr>
                <w:ilvl w:val="0"/>
                <w:numId w:val="2"/>
              </w:numPr>
              <w:jc w:val="both"/>
            </w:pPr>
          </w:p>
        </w:tc>
        <w:tc>
          <w:tcPr>
            <w:tcW w:w="0" w:type="auto"/>
            <w:vMerge/>
            <w:shd w:val="clear" w:color="auto" w:fill="auto"/>
          </w:tcPr>
          <w:p w14:paraId="06C1470A" w14:textId="77777777" w:rsidR="00E07E9A" w:rsidRDefault="00E07E9A" w:rsidP="002639B1">
            <w:pPr>
              <w:jc w:val="both"/>
            </w:pPr>
          </w:p>
        </w:tc>
        <w:tc>
          <w:tcPr>
            <w:tcW w:w="0" w:type="auto"/>
            <w:shd w:val="clear" w:color="auto" w:fill="auto"/>
          </w:tcPr>
          <w:p w14:paraId="3FCEF3D8" w14:textId="14FCE254" w:rsidR="00E07E9A" w:rsidRPr="00B057ED" w:rsidRDefault="00E07E9A" w:rsidP="00F57994">
            <w:pPr>
              <w:jc w:val="both"/>
            </w:pPr>
            <w:r>
              <w:t>_</w:t>
            </w:r>
            <w:r w:rsidRPr="00F76F68">
              <w:rPr>
                <w:b/>
                <w:bCs/>
              </w:rPr>
              <w:t>8 Gemeindekoordinatoren</w:t>
            </w:r>
            <w:r>
              <w:t xml:space="preserve"> und </w:t>
            </w:r>
            <w:r w:rsidRPr="00F76F68">
              <w:rPr>
                <w:b/>
                <w:bCs/>
              </w:rPr>
              <w:t xml:space="preserve">25 </w:t>
            </w:r>
            <w:r>
              <w:t xml:space="preserve">in den 16 Gesundheitsstationen tätige </w:t>
            </w:r>
            <w:r w:rsidRPr="00F76F68">
              <w:rPr>
                <w:b/>
                <w:bCs/>
              </w:rPr>
              <w:t>Gemeindekranken-schwestern</w:t>
            </w:r>
            <w:r>
              <w:t xml:space="preserve"> sind in Augen- und Ohrenheilkunde fortgebildet. Sie sind in ein Überweisungssystem mit 2 Augenkliniken und 1 HNO-Abteilung am tertiären Provinzkrankenhaus eingebunden. </w:t>
            </w:r>
          </w:p>
        </w:tc>
        <w:tc>
          <w:tcPr>
            <w:tcW w:w="0" w:type="auto"/>
            <w:gridSpan w:val="2"/>
          </w:tcPr>
          <w:p w14:paraId="6473B05E" w14:textId="77777777" w:rsidR="00E07E9A" w:rsidRDefault="00E07E9A" w:rsidP="00E07E9A">
            <w:pPr>
              <w:jc w:val="both"/>
            </w:pPr>
            <w:r w:rsidRPr="00F76F68">
              <w:rPr>
                <w:b/>
                <w:bCs/>
              </w:rPr>
              <w:t>8 Gemeindekoordinatoren</w:t>
            </w:r>
            <w:r>
              <w:t xml:space="preserve"> und </w:t>
            </w:r>
            <w:r w:rsidRPr="00D70019">
              <w:rPr>
                <w:b/>
                <w:bCs/>
              </w:rPr>
              <w:t>115 Gemeindekrankenschwestern</w:t>
            </w:r>
            <w:r>
              <w:t xml:space="preserve"> wurden in Augen- und Ohrengesundheit fortgebildet. Bei diesem Ziel kam es ebenso zu einem Kalkulationsfehler. Laut dem narrativen Teil des Antrags sollten jeweils 25 Krankenschwestern in 4 Trainings an 3 Trainingstagen zu Augen- und Ohrenmedizinischen Diensten geschult werden. Der lokale Projektträger ist daher davon ausgegangen, dass insgesamt 100 Krankenschwestern geschult werden sollen. Die Übererreichung konnte kostenneutral umgesetzt werden.</w:t>
            </w:r>
          </w:p>
          <w:p w14:paraId="4541E6CE" w14:textId="000A41B5" w:rsidR="00E07E9A" w:rsidRDefault="00E07E9A" w:rsidP="00E07E9A">
            <w:pPr>
              <w:spacing w:after="0"/>
              <w:jc w:val="both"/>
            </w:pPr>
            <w:r>
              <w:t xml:space="preserve">Der </w:t>
            </w:r>
            <w:r w:rsidR="009D172A">
              <w:t>lokalen Projektträger</w:t>
            </w:r>
            <w:r>
              <w:t xml:space="preserve"> trug zudem an uns heran, dass zur Erreichung des Zieles folgende Dinge notwendig waren:</w:t>
            </w:r>
          </w:p>
          <w:p w14:paraId="0C4052D1" w14:textId="77777777" w:rsidR="00E07E9A" w:rsidRPr="00514C7D" w:rsidRDefault="00E07E9A" w:rsidP="00E07E9A">
            <w:pPr>
              <w:pStyle w:val="Listenabsatz"/>
              <w:numPr>
                <w:ilvl w:val="0"/>
                <w:numId w:val="16"/>
              </w:numPr>
              <w:spacing w:after="0"/>
              <w:jc w:val="both"/>
            </w:pPr>
            <w:r w:rsidRPr="00514C7D">
              <w:t xml:space="preserve">Anschaffung eines Portable </w:t>
            </w:r>
            <w:r>
              <w:t>A</w:t>
            </w:r>
            <w:r w:rsidRPr="00514C7D">
              <w:t xml:space="preserve">ir </w:t>
            </w:r>
            <w:r>
              <w:t>P</w:t>
            </w:r>
            <w:r w:rsidRPr="00514C7D">
              <w:t xml:space="preserve">uff (Rebound Tonometer) für </w:t>
            </w:r>
            <w:proofErr w:type="spellStart"/>
            <w:r w:rsidRPr="00514C7D">
              <w:t>Glaukomuntersuchungen</w:t>
            </w:r>
            <w:proofErr w:type="spellEnd"/>
            <w:r w:rsidRPr="00514C7D">
              <w:t xml:space="preserve"> bei </w:t>
            </w:r>
            <w:proofErr w:type="spellStart"/>
            <w:r w:rsidRPr="00514C7D">
              <w:t>Outreachcamps</w:t>
            </w:r>
            <w:proofErr w:type="spellEnd"/>
          </w:p>
          <w:p w14:paraId="1AB5D792" w14:textId="77777777" w:rsidR="00E07E9A" w:rsidRPr="00514C7D" w:rsidRDefault="00E07E9A" w:rsidP="00E07E9A">
            <w:pPr>
              <w:pStyle w:val="Listenabsatz"/>
              <w:numPr>
                <w:ilvl w:val="0"/>
                <w:numId w:val="16"/>
              </w:numPr>
              <w:spacing w:after="0"/>
              <w:jc w:val="both"/>
            </w:pPr>
            <w:r w:rsidRPr="00514C7D">
              <w:t>Anschaffung eines Keratometer</w:t>
            </w:r>
            <w:r>
              <w:t>s</w:t>
            </w:r>
            <w:r w:rsidRPr="00514C7D">
              <w:t xml:space="preserve"> für Augenoperationen</w:t>
            </w:r>
          </w:p>
          <w:p w14:paraId="4D1BC5FE" w14:textId="77777777" w:rsidR="00E07E9A" w:rsidRPr="00514C7D" w:rsidRDefault="00E07E9A" w:rsidP="00E07E9A">
            <w:pPr>
              <w:pStyle w:val="Listenabsatz"/>
              <w:numPr>
                <w:ilvl w:val="0"/>
                <w:numId w:val="16"/>
              </w:numPr>
              <w:spacing w:after="0"/>
              <w:jc w:val="both"/>
            </w:pPr>
            <w:r w:rsidRPr="00514C7D">
              <w:t>Daten-Management Software zur Erfassung und Follow-</w:t>
            </w:r>
            <w:proofErr w:type="spellStart"/>
            <w:r w:rsidRPr="00514C7D">
              <w:t>up</w:t>
            </w:r>
            <w:proofErr w:type="spellEnd"/>
            <w:r w:rsidRPr="00514C7D">
              <w:t xml:space="preserve"> von Patientendaten</w:t>
            </w:r>
          </w:p>
          <w:p w14:paraId="3D8785D4" w14:textId="77777777" w:rsidR="00E07E9A" w:rsidRPr="00514C7D" w:rsidRDefault="00E07E9A" w:rsidP="00E07E9A">
            <w:pPr>
              <w:pStyle w:val="Listenabsatz"/>
              <w:numPr>
                <w:ilvl w:val="0"/>
                <w:numId w:val="16"/>
              </w:numPr>
              <w:spacing w:after="0"/>
              <w:jc w:val="both"/>
            </w:pPr>
            <w:r w:rsidRPr="00514C7D">
              <w:t xml:space="preserve">Zusätzliche </w:t>
            </w:r>
            <w:proofErr w:type="spellStart"/>
            <w:r w:rsidRPr="00514C7D">
              <w:t>Screeningcamps</w:t>
            </w:r>
            <w:proofErr w:type="spellEnd"/>
            <w:r w:rsidRPr="00514C7D">
              <w:t xml:space="preserve"> </w:t>
            </w:r>
          </w:p>
          <w:p w14:paraId="1325E6B7" w14:textId="77777777" w:rsidR="00E07E9A" w:rsidRDefault="00E07E9A" w:rsidP="00E07E9A">
            <w:pPr>
              <w:spacing w:after="0"/>
              <w:ind w:left="708"/>
              <w:jc w:val="both"/>
              <w:rPr>
                <w:highlight w:val="yellow"/>
              </w:rPr>
            </w:pPr>
          </w:p>
          <w:p w14:paraId="3010C602" w14:textId="77777777" w:rsidR="00E07E9A" w:rsidRPr="00B23CF2" w:rsidRDefault="00E07E9A" w:rsidP="00E07E9A">
            <w:pPr>
              <w:spacing w:after="0"/>
              <w:jc w:val="both"/>
            </w:pPr>
            <w:r w:rsidRPr="00B23CF2">
              <w:t>Bedingt durch die Corona-Pandemie sowie den</w:t>
            </w:r>
            <w:r>
              <w:t xml:space="preserve"> im Jahr</w:t>
            </w:r>
            <w:r w:rsidRPr="00B23CF2">
              <w:t xml:space="preserve"> 2020 verspäteten Projektbeginn kam es zu Einsparungen in dem Projekt. Die Minderausgaben konnten die Kosten für die oben genannten zusätzlichen Dinge im Projekt decken und wurde von </w:t>
            </w:r>
            <w:proofErr w:type="spellStart"/>
            <w:r w:rsidRPr="00B23CF2">
              <w:t>Bengo</w:t>
            </w:r>
            <w:proofErr w:type="spellEnd"/>
            <w:r w:rsidRPr="00B23CF2">
              <w:t xml:space="preserve"> im Vorfeld genehmigt.</w:t>
            </w:r>
          </w:p>
          <w:p w14:paraId="016D7B91" w14:textId="18DE3110" w:rsidR="00E07E9A" w:rsidRPr="00F57994" w:rsidRDefault="00E07E9A" w:rsidP="00F57994">
            <w:pPr>
              <w:spacing w:after="0"/>
              <w:jc w:val="both"/>
            </w:pPr>
            <w:r>
              <w:t xml:space="preserve">Alle Anschaffungen und Camps konnten durch Minderausgaben finanziert werden. </w:t>
            </w:r>
          </w:p>
        </w:tc>
      </w:tr>
      <w:tr w:rsidR="00E07E9A" w:rsidRPr="003C36DD" w14:paraId="4D8E0E43" w14:textId="77777777" w:rsidTr="00F579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111"/>
        </w:trPr>
        <w:tc>
          <w:tcPr>
            <w:tcW w:w="0" w:type="auto"/>
            <w:gridSpan w:val="2"/>
            <w:vMerge/>
            <w:shd w:val="clear" w:color="auto" w:fill="auto"/>
          </w:tcPr>
          <w:p w14:paraId="48FB265E" w14:textId="77777777" w:rsidR="00E07E9A" w:rsidRDefault="00E07E9A" w:rsidP="002639B1">
            <w:pPr>
              <w:numPr>
                <w:ilvl w:val="0"/>
                <w:numId w:val="2"/>
              </w:numPr>
              <w:jc w:val="both"/>
            </w:pPr>
          </w:p>
        </w:tc>
        <w:tc>
          <w:tcPr>
            <w:tcW w:w="0" w:type="auto"/>
            <w:vMerge/>
            <w:shd w:val="clear" w:color="auto" w:fill="auto"/>
          </w:tcPr>
          <w:p w14:paraId="65FBD178" w14:textId="77777777" w:rsidR="00E07E9A" w:rsidRDefault="00E07E9A" w:rsidP="002639B1">
            <w:pPr>
              <w:jc w:val="both"/>
            </w:pPr>
          </w:p>
        </w:tc>
        <w:tc>
          <w:tcPr>
            <w:tcW w:w="0" w:type="auto"/>
            <w:shd w:val="clear" w:color="auto" w:fill="auto"/>
          </w:tcPr>
          <w:p w14:paraId="089FC2F6" w14:textId="442C9881" w:rsidR="00E07E9A" w:rsidRPr="00B057ED" w:rsidRDefault="00E07E9A" w:rsidP="00F57994">
            <w:pPr>
              <w:jc w:val="both"/>
            </w:pPr>
            <w:r>
              <w:t>_</w:t>
            </w:r>
            <w:r w:rsidRPr="005D318D">
              <w:rPr>
                <w:b/>
                <w:bCs/>
              </w:rPr>
              <w:t>2 Augenkliniken</w:t>
            </w:r>
            <w:r>
              <w:t xml:space="preserve"> und </w:t>
            </w:r>
            <w:r w:rsidRPr="005D318D">
              <w:rPr>
                <w:b/>
                <w:bCs/>
              </w:rPr>
              <w:t>1 HNO-Abteilung</w:t>
            </w:r>
            <w:r>
              <w:t xml:space="preserve"> des tertiären Provinzkrankenhauses haben die notwendige medizinische Ausstattung für weiterführende Behandlungen erhalten und arbeiten mit den Gesundheitsstationen zusammen</w:t>
            </w:r>
            <w:r w:rsidR="00F57994">
              <w:t>.</w:t>
            </w:r>
          </w:p>
        </w:tc>
        <w:tc>
          <w:tcPr>
            <w:tcW w:w="0" w:type="auto"/>
            <w:gridSpan w:val="2"/>
          </w:tcPr>
          <w:p w14:paraId="74070D17" w14:textId="64A90B8A" w:rsidR="00E07E9A" w:rsidRDefault="00E07E9A" w:rsidP="00F57994">
            <w:pPr>
              <w:jc w:val="both"/>
              <w:rPr>
                <w:b/>
                <w:bCs/>
              </w:rPr>
            </w:pPr>
            <w:r w:rsidRPr="005D318D">
              <w:rPr>
                <w:b/>
                <w:bCs/>
              </w:rPr>
              <w:t>2 Augenkliniken</w:t>
            </w:r>
            <w:r>
              <w:t xml:space="preserve"> sowie </w:t>
            </w:r>
            <w:r>
              <w:rPr>
                <w:b/>
                <w:bCs/>
              </w:rPr>
              <w:t xml:space="preserve">1 </w:t>
            </w:r>
            <w:r w:rsidRPr="005D318D">
              <w:rPr>
                <w:b/>
                <w:bCs/>
              </w:rPr>
              <w:t>HNO-Abteilung</w:t>
            </w:r>
            <w:r>
              <w:t xml:space="preserve"> wurden mit Geräten ausgestattet, um notwendige weiterführende Behandlungen durchführen zu können.</w:t>
            </w:r>
          </w:p>
        </w:tc>
      </w:tr>
      <w:tr w:rsidR="00E07E9A" w:rsidRPr="003C36DD" w14:paraId="67F91BF9" w14:textId="77777777" w:rsidTr="00F579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305"/>
        </w:trPr>
        <w:tc>
          <w:tcPr>
            <w:tcW w:w="0" w:type="auto"/>
            <w:gridSpan w:val="2"/>
            <w:vMerge/>
            <w:shd w:val="clear" w:color="auto" w:fill="auto"/>
          </w:tcPr>
          <w:p w14:paraId="5DC5F130" w14:textId="77777777" w:rsidR="00E07E9A" w:rsidRDefault="00E07E9A" w:rsidP="002639B1">
            <w:pPr>
              <w:numPr>
                <w:ilvl w:val="0"/>
                <w:numId w:val="2"/>
              </w:numPr>
              <w:jc w:val="both"/>
            </w:pPr>
          </w:p>
        </w:tc>
        <w:tc>
          <w:tcPr>
            <w:tcW w:w="0" w:type="auto"/>
            <w:vMerge/>
            <w:shd w:val="clear" w:color="auto" w:fill="auto"/>
          </w:tcPr>
          <w:p w14:paraId="0DC297E8" w14:textId="77777777" w:rsidR="00E07E9A" w:rsidRDefault="00E07E9A" w:rsidP="002639B1">
            <w:pPr>
              <w:jc w:val="both"/>
            </w:pPr>
          </w:p>
        </w:tc>
        <w:tc>
          <w:tcPr>
            <w:tcW w:w="0" w:type="auto"/>
            <w:shd w:val="clear" w:color="auto" w:fill="auto"/>
          </w:tcPr>
          <w:p w14:paraId="400D80B9" w14:textId="77777777" w:rsidR="00E07E9A" w:rsidRDefault="00E07E9A" w:rsidP="00E07E9A">
            <w:pPr>
              <w:jc w:val="both"/>
            </w:pPr>
            <w:r>
              <w:t>_</w:t>
            </w:r>
            <w:r w:rsidRPr="005D318D">
              <w:rPr>
                <w:b/>
                <w:bCs/>
              </w:rPr>
              <w:t>22 Gesundheitsmitarbeiter</w:t>
            </w:r>
            <w:r>
              <w:t xml:space="preserve"> wurden in Audiologie und </w:t>
            </w:r>
            <w:r w:rsidRPr="005D318D">
              <w:rPr>
                <w:b/>
                <w:bCs/>
              </w:rPr>
              <w:t>1 Techniker</w:t>
            </w:r>
            <w:r>
              <w:t xml:space="preserve"> in Wartung med. Geräte geschult.</w:t>
            </w:r>
          </w:p>
          <w:p w14:paraId="7D4A4E1C" w14:textId="77777777" w:rsidR="00E07E9A" w:rsidRPr="00B057ED" w:rsidRDefault="00E07E9A" w:rsidP="002639B1">
            <w:pPr>
              <w:jc w:val="both"/>
            </w:pPr>
          </w:p>
        </w:tc>
        <w:tc>
          <w:tcPr>
            <w:tcW w:w="0" w:type="auto"/>
            <w:gridSpan w:val="2"/>
          </w:tcPr>
          <w:p w14:paraId="26A3762B" w14:textId="00C8C87D" w:rsidR="00E07E9A" w:rsidRPr="00F57994" w:rsidRDefault="00E07E9A" w:rsidP="00B057ED">
            <w:pPr>
              <w:jc w:val="both"/>
            </w:pPr>
            <w:r w:rsidRPr="005D318D">
              <w:rPr>
                <w:b/>
                <w:bCs/>
              </w:rPr>
              <w:t xml:space="preserve">32 </w:t>
            </w:r>
            <w:proofErr w:type="spellStart"/>
            <w:r w:rsidRPr="005D318D">
              <w:rPr>
                <w:b/>
                <w:bCs/>
              </w:rPr>
              <w:t>GesundheitsmitarbeiterInnen</w:t>
            </w:r>
            <w:proofErr w:type="spellEnd"/>
            <w:r>
              <w:t xml:space="preserve"> erhielten ein </w:t>
            </w:r>
            <w:r w:rsidR="00411111">
              <w:t>Audiologie Training</w:t>
            </w:r>
            <w:r>
              <w:t xml:space="preserve">. Dieses Ziel wurde übererreicht da die Kommunalverwaltung </w:t>
            </w:r>
            <w:proofErr w:type="spellStart"/>
            <w:r>
              <w:t>Karnalis</w:t>
            </w:r>
            <w:proofErr w:type="spellEnd"/>
            <w:r>
              <w:t xml:space="preserve"> darum bat mehr MitarbeiterInnen zu schulen um den enorm hohen Bedarf zu decken. Der </w:t>
            </w:r>
            <w:r w:rsidR="009D172A">
              <w:t>lokale Projektträger</w:t>
            </w:r>
            <w:r>
              <w:t xml:space="preserve"> konnte in Zusammenarbeit mit dem </w:t>
            </w:r>
            <w:proofErr w:type="spellStart"/>
            <w:r>
              <w:t>Karnali</w:t>
            </w:r>
            <w:proofErr w:type="spellEnd"/>
            <w:r>
              <w:t xml:space="preserve"> Provinzkrankenhaus weitere Schulungen durchführen, ohne das Budget zu überschreiten. </w:t>
            </w:r>
            <w:r w:rsidRPr="005D318D">
              <w:rPr>
                <w:b/>
                <w:bCs/>
              </w:rPr>
              <w:t>1 Techniker</w:t>
            </w:r>
            <w:r>
              <w:t xml:space="preserve"> erhielt eine einmonatige Schulung zu Reparatur und Wartung von medizinischen Geräten am </w:t>
            </w:r>
            <w:proofErr w:type="spellStart"/>
            <w:r>
              <w:t>Surkhet</w:t>
            </w:r>
            <w:proofErr w:type="spellEnd"/>
            <w:r>
              <w:t xml:space="preserve"> Eye Hospital.</w:t>
            </w:r>
          </w:p>
        </w:tc>
      </w:tr>
      <w:tr w:rsidR="00E07E9A" w:rsidRPr="003C36DD" w14:paraId="55C6F416" w14:textId="77777777" w:rsidTr="00F579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305"/>
        </w:trPr>
        <w:tc>
          <w:tcPr>
            <w:tcW w:w="0" w:type="auto"/>
            <w:gridSpan w:val="2"/>
            <w:vMerge/>
            <w:shd w:val="clear" w:color="auto" w:fill="auto"/>
          </w:tcPr>
          <w:p w14:paraId="5AB2FCD1" w14:textId="77777777" w:rsidR="00E07E9A" w:rsidRDefault="00E07E9A" w:rsidP="002639B1">
            <w:pPr>
              <w:numPr>
                <w:ilvl w:val="0"/>
                <w:numId w:val="2"/>
              </w:numPr>
              <w:jc w:val="both"/>
            </w:pPr>
          </w:p>
        </w:tc>
        <w:tc>
          <w:tcPr>
            <w:tcW w:w="0" w:type="auto"/>
            <w:vMerge/>
            <w:shd w:val="clear" w:color="auto" w:fill="auto"/>
          </w:tcPr>
          <w:p w14:paraId="1F99C435" w14:textId="77777777" w:rsidR="00E07E9A" w:rsidRDefault="00E07E9A" w:rsidP="002639B1">
            <w:pPr>
              <w:jc w:val="both"/>
            </w:pPr>
          </w:p>
        </w:tc>
        <w:tc>
          <w:tcPr>
            <w:tcW w:w="0" w:type="auto"/>
            <w:shd w:val="clear" w:color="auto" w:fill="auto"/>
          </w:tcPr>
          <w:p w14:paraId="6F001975" w14:textId="77777777" w:rsidR="00E07E9A" w:rsidRDefault="00E07E9A" w:rsidP="00E07E9A">
            <w:pPr>
              <w:jc w:val="both"/>
            </w:pPr>
            <w:r w:rsidRPr="00535EE1">
              <w:t xml:space="preserve">_An </w:t>
            </w:r>
            <w:r w:rsidRPr="00535EE1">
              <w:rPr>
                <w:b/>
                <w:bCs/>
              </w:rPr>
              <w:t>32 Reihenuntersuchungen</w:t>
            </w:r>
            <w:r w:rsidRPr="00535EE1">
              <w:t xml:space="preserve"> in Schulen und Gemeinden haben </w:t>
            </w:r>
            <w:r w:rsidRPr="00535EE1">
              <w:rPr>
                <w:b/>
                <w:bCs/>
              </w:rPr>
              <w:t>126.000 Personen</w:t>
            </w:r>
            <w:r w:rsidRPr="00535EE1">
              <w:t xml:space="preserve"> teilgenommen.</w:t>
            </w:r>
          </w:p>
          <w:p w14:paraId="6908D668" w14:textId="77777777" w:rsidR="00E07E9A" w:rsidRPr="00B057ED" w:rsidRDefault="00E07E9A" w:rsidP="002639B1">
            <w:pPr>
              <w:jc w:val="both"/>
            </w:pPr>
          </w:p>
        </w:tc>
        <w:tc>
          <w:tcPr>
            <w:tcW w:w="0" w:type="auto"/>
            <w:gridSpan w:val="2"/>
          </w:tcPr>
          <w:p w14:paraId="1316339E" w14:textId="1C6C7E11" w:rsidR="00E07E9A" w:rsidRPr="003A3F0F" w:rsidRDefault="00E07E9A" w:rsidP="00B057ED">
            <w:pPr>
              <w:jc w:val="both"/>
            </w:pPr>
            <w:r w:rsidRPr="00E10FD4">
              <w:rPr>
                <w:b/>
                <w:bCs/>
              </w:rPr>
              <w:t>151.134 Menschen</w:t>
            </w:r>
            <w:r>
              <w:t xml:space="preserve"> wurden insgesamt in </w:t>
            </w:r>
            <w:r w:rsidRPr="00E10FD4">
              <w:rPr>
                <w:b/>
                <w:bCs/>
              </w:rPr>
              <w:t>200 Reihenuntersuchungen</w:t>
            </w:r>
            <w:r>
              <w:t xml:space="preserve"> untersucht/behandelt. Aufgrund der Corona-Pandemie durften die Reihenuntersuchungen über einen langen Zeitraum hinweg nur in kleinen Klustern stattfinden. Zudem ist die Ansiedlung von Menschen in den abgelegenen Gebieten sehr zerklüftet und das Projektteam entschied sich dazu, in kleinen Einheiten die Untersuchungen durchzuführen und damit den Reiseaufwand für Betroffene zu verringern. Diese Planänderung konnte kostenneutral umgesetzt werden.</w:t>
            </w:r>
          </w:p>
        </w:tc>
      </w:tr>
      <w:tr w:rsidR="00E07E9A" w:rsidRPr="003C36DD" w14:paraId="6C25B921" w14:textId="77777777" w:rsidTr="00F579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305"/>
        </w:trPr>
        <w:tc>
          <w:tcPr>
            <w:tcW w:w="0" w:type="auto"/>
            <w:gridSpan w:val="2"/>
            <w:vMerge/>
            <w:shd w:val="clear" w:color="auto" w:fill="auto"/>
          </w:tcPr>
          <w:p w14:paraId="4C8ED8F7" w14:textId="77777777" w:rsidR="00E07E9A" w:rsidRDefault="00E07E9A" w:rsidP="002639B1">
            <w:pPr>
              <w:numPr>
                <w:ilvl w:val="0"/>
                <w:numId w:val="2"/>
              </w:numPr>
              <w:jc w:val="both"/>
            </w:pPr>
          </w:p>
        </w:tc>
        <w:tc>
          <w:tcPr>
            <w:tcW w:w="0" w:type="auto"/>
            <w:vMerge/>
            <w:shd w:val="clear" w:color="auto" w:fill="auto"/>
          </w:tcPr>
          <w:p w14:paraId="1F2667EE" w14:textId="77777777" w:rsidR="00E07E9A" w:rsidRDefault="00E07E9A" w:rsidP="002639B1">
            <w:pPr>
              <w:jc w:val="both"/>
            </w:pPr>
          </w:p>
        </w:tc>
        <w:tc>
          <w:tcPr>
            <w:tcW w:w="0" w:type="auto"/>
            <w:shd w:val="clear" w:color="auto" w:fill="auto"/>
          </w:tcPr>
          <w:p w14:paraId="1F6DD407" w14:textId="7DE371DD" w:rsidR="00E07E9A" w:rsidRPr="00B057ED" w:rsidRDefault="00E07E9A" w:rsidP="00F57994">
            <w:pPr>
              <w:jc w:val="both"/>
            </w:pPr>
            <w:r>
              <w:t>_</w:t>
            </w:r>
            <w:r w:rsidRPr="00437D8E">
              <w:rPr>
                <w:b/>
                <w:bCs/>
              </w:rPr>
              <w:t>3.200 Menschen</w:t>
            </w:r>
            <w:r>
              <w:t xml:space="preserve"> wurden in 18 Reihenuntersuchungen in den Gemeinden zur Früherkennung von Bluthochdruck, Retinopathie und Glaukom untersucht</w:t>
            </w:r>
            <w:r w:rsidR="00F57994">
              <w:t>.</w:t>
            </w:r>
          </w:p>
        </w:tc>
        <w:tc>
          <w:tcPr>
            <w:tcW w:w="0" w:type="auto"/>
            <w:gridSpan w:val="2"/>
          </w:tcPr>
          <w:p w14:paraId="536BDDB8" w14:textId="11951A49" w:rsidR="003A3F0F" w:rsidRPr="003A3F0F" w:rsidRDefault="00E07E9A" w:rsidP="003A3F0F">
            <w:pPr>
              <w:jc w:val="both"/>
            </w:pPr>
            <w:r w:rsidRPr="00437D8E">
              <w:rPr>
                <w:b/>
                <w:bCs/>
              </w:rPr>
              <w:t>3912 Menschen</w:t>
            </w:r>
            <w:r>
              <w:t xml:space="preserve"> wurden in Reihenuntersuchungen zu Früherkennung von Bluthochdruck, Retinopathie und Glaukom untersucht.</w:t>
            </w:r>
          </w:p>
        </w:tc>
      </w:tr>
      <w:tr w:rsidR="00E07E9A" w:rsidRPr="003C36DD" w14:paraId="0A4A1BC2" w14:textId="77777777" w:rsidTr="00F579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688"/>
        </w:trPr>
        <w:tc>
          <w:tcPr>
            <w:tcW w:w="0" w:type="auto"/>
            <w:gridSpan w:val="2"/>
            <w:vMerge/>
            <w:shd w:val="clear" w:color="auto" w:fill="auto"/>
          </w:tcPr>
          <w:p w14:paraId="7E3C064B" w14:textId="77777777" w:rsidR="00E07E9A" w:rsidRDefault="00E07E9A" w:rsidP="002639B1">
            <w:pPr>
              <w:numPr>
                <w:ilvl w:val="0"/>
                <w:numId w:val="2"/>
              </w:numPr>
              <w:jc w:val="both"/>
            </w:pPr>
          </w:p>
        </w:tc>
        <w:tc>
          <w:tcPr>
            <w:tcW w:w="0" w:type="auto"/>
            <w:vMerge/>
            <w:shd w:val="clear" w:color="auto" w:fill="auto"/>
          </w:tcPr>
          <w:p w14:paraId="5FCA6D3F" w14:textId="77777777" w:rsidR="00E07E9A" w:rsidRDefault="00E07E9A" w:rsidP="002639B1">
            <w:pPr>
              <w:jc w:val="both"/>
            </w:pPr>
          </w:p>
        </w:tc>
        <w:tc>
          <w:tcPr>
            <w:tcW w:w="0" w:type="auto"/>
            <w:shd w:val="clear" w:color="auto" w:fill="auto"/>
          </w:tcPr>
          <w:p w14:paraId="73CDE96B" w14:textId="33486EAA" w:rsidR="00E07E9A" w:rsidRPr="00B057ED" w:rsidRDefault="00E07E9A" w:rsidP="00F57994">
            <w:pPr>
              <w:jc w:val="both"/>
            </w:pPr>
            <w:r>
              <w:t>_</w:t>
            </w:r>
            <w:r w:rsidRPr="00437D8E">
              <w:rPr>
                <w:b/>
                <w:bCs/>
              </w:rPr>
              <w:t>8.400 arme Menschen</w:t>
            </w:r>
            <w:r>
              <w:t xml:space="preserve"> aus den Gemeinden haben eine Kataraktoperation und </w:t>
            </w:r>
            <w:r w:rsidRPr="00437D8E">
              <w:rPr>
                <w:b/>
                <w:bCs/>
              </w:rPr>
              <w:t>320 Menschen</w:t>
            </w:r>
            <w:r>
              <w:t xml:space="preserve"> eine Ohrenbehandlung erhalten.</w:t>
            </w:r>
          </w:p>
        </w:tc>
        <w:tc>
          <w:tcPr>
            <w:tcW w:w="0" w:type="auto"/>
            <w:gridSpan w:val="2"/>
          </w:tcPr>
          <w:p w14:paraId="7ECB5184" w14:textId="77777777" w:rsidR="00E07E9A" w:rsidRDefault="00E07E9A" w:rsidP="00E07E9A">
            <w:pPr>
              <w:jc w:val="both"/>
            </w:pPr>
            <w:r w:rsidRPr="00437D8E">
              <w:rPr>
                <w:b/>
                <w:bCs/>
              </w:rPr>
              <w:t xml:space="preserve">11.017 </w:t>
            </w:r>
            <w:r>
              <w:rPr>
                <w:b/>
                <w:bCs/>
              </w:rPr>
              <w:t xml:space="preserve">von Armut betroffene </w:t>
            </w:r>
            <w:r w:rsidRPr="00437D8E">
              <w:rPr>
                <w:b/>
                <w:bCs/>
              </w:rPr>
              <w:t>Menschen</w:t>
            </w:r>
            <w:r>
              <w:t xml:space="preserve"> erhielten eine Kataraktoperation und </w:t>
            </w:r>
            <w:r w:rsidRPr="00437D8E">
              <w:rPr>
                <w:b/>
                <w:bCs/>
              </w:rPr>
              <w:t>384 Menschen</w:t>
            </w:r>
            <w:r>
              <w:t xml:space="preserve"> erhielten eine notwendige Ohrenbehandlung.</w:t>
            </w:r>
          </w:p>
          <w:p w14:paraId="3D809E6A" w14:textId="77777777" w:rsidR="00E07E9A" w:rsidRDefault="00E07E9A" w:rsidP="00B057ED">
            <w:pPr>
              <w:jc w:val="both"/>
              <w:rPr>
                <w:b/>
                <w:bCs/>
              </w:rPr>
            </w:pPr>
          </w:p>
        </w:tc>
      </w:tr>
      <w:tr w:rsidR="003A3F0F" w:rsidRPr="003C36DD" w14:paraId="07128B6C" w14:textId="77777777" w:rsidTr="00F579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0"/>
        </w:trPr>
        <w:tc>
          <w:tcPr>
            <w:tcW w:w="0" w:type="auto"/>
            <w:gridSpan w:val="2"/>
            <w:vMerge w:val="restart"/>
            <w:shd w:val="clear" w:color="auto" w:fill="auto"/>
          </w:tcPr>
          <w:p w14:paraId="6878C8D5" w14:textId="2EEDFB3A" w:rsidR="003A3F0F" w:rsidRPr="003C36DD" w:rsidRDefault="003A3F0F" w:rsidP="0014703F">
            <w:pPr>
              <w:numPr>
                <w:ilvl w:val="0"/>
                <w:numId w:val="2"/>
              </w:numPr>
              <w:jc w:val="both"/>
            </w:pPr>
            <w:r w:rsidRPr="002639B1">
              <w:t>Die Eingliederung integrierter barrierefreier augen- und ohrenmedizinischer Dienste im staatlichen Gesundheitssystems ist gesichert.</w:t>
            </w:r>
          </w:p>
        </w:tc>
        <w:tc>
          <w:tcPr>
            <w:tcW w:w="0" w:type="auto"/>
            <w:vMerge w:val="restart"/>
            <w:shd w:val="clear" w:color="auto" w:fill="auto"/>
          </w:tcPr>
          <w:p w14:paraId="7CBD8CE9" w14:textId="77BF58C1" w:rsidR="003A3F0F" w:rsidRPr="003C36DD" w:rsidRDefault="003A3F0F" w:rsidP="0014703F">
            <w:pPr>
              <w:jc w:val="both"/>
            </w:pPr>
            <w:r w:rsidRPr="002639B1">
              <w:t>_Die nationale Strategie für integrierte augen- und ohrenmedizinische Dienste im staatlichen Gesundheitssystem ist auf bisher nicht umgesetzt.  Es fehlt dem Staat an finanziellen Mitteln und an Fachwissen, um die Dienste im existierenden Gesundheitssystem aufzubauen.</w:t>
            </w:r>
          </w:p>
          <w:p w14:paraId="0ED3B850" w14:textId="77777777" w:rsidR="003A3F0F" w:rsidRPr="003C36DD" w:rsidRDefault="003A3F0F" w:rsidP="0014703F">
            <w:pPr>
              <w:jc w:val="both"/>
            </w:pPr>
          </w:p>
          <w:p w14:paraId="6B529DAA" w14:textId="77777777" w:rsidR="003A3F0F" w:rsidRPr="003C36DD" w:rsidRDefault="003A3F0F" w:rsidP="0014703F">
            <w:pPr>
              <w:jc w:val="both"/>
            </w:pPr>
          </w:p>
          <w:p w14:paraId="5B778355" w14:textId="77777777" w:rsidR="003A3F0F" w:rsidRPr="003C36DD" w:rsidRDefault="003A3F0F" w:rsidP="0014703F">
            <w:pPr>
              <w:jc w:val="both"/>
            </w:pPr>
          </w:p>
        </w:tc>
        <w:tc>
          <w:tcPr>
            <w:tcW w:w="0" w:type="auto"/>
            <w:shd w:val="clear" w:color="auto" w:fill="auto"/>
          </w:tcPr>
          <w:p w14:paraId="12F64865" w14:textId="3821A8A5" w:rsidR="003A3F0F" w:rsidRPr="003C36DD" w:rsidRDefault="003A3F0F" w:rsidP="002639B1">
            <w:pPr>
              <w:jc w:val="both"/>
            </w:pPr>
            <w:r>
              <w:t>In</w:t>
            </w:r>
            <w:r w:rsidRPr="00042D55">
              <w:rPr>
                <w:b/>
                <w:bCs/>
              </w:rPr>
              <w:t xml:space="preserve"> 4 Lobbying-Meetings</w:t>
            </w:r>
            <w:r>
              <w:t xml:space="preserve"> mit Vertretern der Distrikt- und Provinzbehörden wurde die Übernahme der aufgebauten augen- und ohrenmedizinischen Dienste in das medizinische Gesundheitssystem der Provinz verabschiedet und unterzeichnet.</w:t>
            </w:r>
          </w:p>
        </w:tc>
        <w:tc>
          <w:tcPr>
            <w:tcW w:w="0" w:type="auto"/>
            <w:gridSpan w:val="2"/>
          </w:tcPr>
          <w:p w14:paraId="0D440F7B" w14:textId="4DE7C2E1" w:rsidR="003A3F0F" w:rsidRPr="003C36DD" w:rsidRDefault="003A3F0F" w:rsidP="003A3F0F">
            <w:pPr>
              <w:jc w:val="both"/>
            </w:pPr>
            <w:r w:rsidRPr="00042D55">
              <w:t xml:space="preserve">Das Projekt hat bis Dezember 2023 </w:t>
            </w:r>
            <w:r w:rsidRPr="00042D55">
              <w:rPr>
                <w:b/>
                <w:bCs/>
              </w:rPr>
              <w:t>drei Lobbying-Meetings</w:t>
            </w:r>
            <w:r w:rsidRPr="00042D55">
              <w:t xml:space="preserve"> mit den Provinz- und Kommunalbehörden organisiert. Diese haben sich stark für die Integration von A</w:t>
            </w:r>
            <w:r>
              <w:t>ugengesundheitsd</w:t>
            </w:r>
            <w:r w:rsidRPr="00042D55">
              <w:t xml:space="preserve">iensten unter ihrer Verantwortung und die Übertragung der </w:t>
            </w:r>
            <w:proofErr w:type="spellStart"/>
            <w:r w:rsidRPr="00042D55">
              <w:t>IEEH</w:t>
            </w:r>
            <w:proofErr w:type="spellEnd"/>
            <w:r w:rsidRPr="00042D55">
              <w:t xml:space="preserve">-Dienste in das provinziale Gesundheitssystem sowie die Unterstützung der provinzialen Augen-Gesundheitsstrategie </w:t>
            </w:r>
            <w:r w:rsidRPr="00771C14">
              <w:t>eingesetzt und bestätigt.</w:t>
            </w:r>
            <w:r>
              <w:t xml:space="preserve"> Damit war dieses Ziel erreicht und ein viertes Lobby-Meeting nicht erforderlich.</w:t>
            </w:r>
          </w:p>
        </w:tc>
      </w:tr>
      <w:tr w:rsidR="003A3F0F" w:rsidRPr="003C36DD" w14:paraId="54DAA7B0" w14:textId="77777777" w:rsidTr="00F579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80"/>
        </w:trPr>
        <w:tc>
          <w:tcPr>
            <w:tcW w:w="0" w:type="auto"/>
            <w:gridSpan w:val="2"/>
            <w:vMerge/>
            <w:shd w:val="clear" w:color="auto" w:fill="auto"/>
          </w:tcPr>
          <w:p w14:paraId="6FB996DA" w14:textId="77777777" w:rsidR="003A3F0F" w:rsidRPr="002639B1" w:rsidRDefault="003A3F0F" w:rsidP="0014703F">
            <w:pPr>
              <w:numPr>
                <w:ilvl w:val="0"/>
                <w:numId w:val="2"/>
              </w:numPr>
              <w:jc w:val="both"/>
            </w:pPr>
          </w:p>
        </w:tc>
        <w:tc>
          <w:tcPr>
            <w:tcW w:w="0" w:type="auto"/>
            <w:vMerge/>
            <w:shd w:val="clear" w:color="auto" w:fill="auto"/>
          </w:tcPr>
          <w:p w14:paraId="3DDD1EC2" w14:textId="77777777" w:rsidR="003A3F0F" w:rsidRPr="002639B1" w:rsidRDefault="003A3F0F" w:rsidP="0014703F">
            <w:pPr>
              <w:jc w:val="both"/>
            </w:pPr>
          </w:p>
        </w:tc>
        <w:tc>
          <w:tcPr>
            <w:tcW w:w="0" w:type="auto"/>
            <w:shd w:val="clear" w:color="auto" w:fill="auto"/>
          </w:tcPr>
          <w:p w14:paraId="66F1D22A" w14:textId="463AC643" w:rsidR="003A3F0F" w:rsidRDefault="003A3F0F" w:rsidP="002639B1">
            <w:pPr>
              <w:jc w:val="both"/>
            </w:pPr>
            <w:r>
              <w:t xml:space="preserve">_In 4 Workshops wurden Regierungsvertreter hinsichtlich Entwicklung und Umsetzung der Strategie zur Übernahme integrierter augen- und ohrenmedizinischer Dienste in staatliche Gesundheitsprogramme fachlich beraten und ein </w:t>
            </w:r>
            <w:proofErr w:type="spellStart"/>
            <w:r>
              <w:t>MoU</w:t>
            </w:r>
            <w:proofErr w:type="spellEnd"/>
            <w:r>
              <w:t xml:space="preserve"> mit Umsetzungsplan wurde verabschiedet und unterzeichnet.</w:t>
            </w:r>
          </w:p>
        </w:tc>
        <w:tc>
          <w:tcPr>
            <w:tcW w:w="0" w:type="auto"/>
            <w:gridSpan w:val="2"/>
          </w:tcPr>
          <w:p w14:paraId="66187F5B" w14:textId="4FCDA2F2" w:rsidR="003A3F0F" w:rsidRPr="00042D55" w:rsidRDefault="003A3F0F" w:rsidP="0014703F">
            <w:pPr>
              <w:jc w:val="both"/>
            </w:pPr>
            <w:r w:rsidRPr="0025326B">
              <w:t xml:space="preserve">Während der </w:t>
            </w:r>
            <w:r w:rsidRPr="0025326B">
              <w:rPr>
                <w:b/>
                <w:bCs/>
              </w:rPr>
              <w:t>4 durchgeführten Workshops</w:t>
            </w:r>
            <w:r w:rsidRPr="0025326B">
              <w:t xml:space="preserve"> wurden die Regierungsvertreter konsultiert und beraten, um die Formulierung, Unterstützung und Umsetzung der Strategie zur Sicherstellung der Integration der </w:t>
            </w:r>
            <w:proofErr w:type="spellStart"/>
            <w:r w:rsidRPr="0025326B">
              <w:t>IEEH</w:t>
            </w:r>
            <w:proofErr w:type="spellEnd"/>
            <w:r w:rsidRPr="0025326B">
              <w:t>-Dienste in die primären Gesundheitsdienste zu fördern</w:t>
            </w:r>
            <w:r>
              <w:t>.</w:t>
            </w:r>
          </w:p>
        </w:tc>
      </w:tr>
      <w:tr w:rsidR="003A3F0F" w:rsidRPr="003C36DD" w14:paraId="770E1333" w14:textId="77777777" w:rsidTr="00F579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80"/>
        </w:trPr>
        <w:tc>
          <w:tcPr>
            <w:tcW w:w="0" w:type="auto"/>
            <w:gridSpan w:val="2"/>
            <w:vMerge/>
            <w:shd w:val="clear" w:color="auto" w:fill="auto"/>
          </w:tcPr>
          <w:p w14:paraId="635FFEC6" w14:textId="77777777" w:rsidR="003A3F0F" w:rsidRPr="002639B1" w:rsidRDefault="003A3F0F" w:rsidP="0014703F">
            <w:pPr>
              <w:numPr>
                <w:ilvl w:val="0"/>
                <w:numId w:val="2"/>
              </w:numPr>
              <w:jc w:val="both"/>
            </w:pPr>
          </w:p>
        </w:tc>
        <w:tc>
          <w:tcPr>
            <w:tcW w:w="0" w:type="auto"/>
            <w:vMerge/>
            <w:shd w:val="clear" w:color="auto" w:fill="auto"/>
          </w:tcPr>
          <w:p w14:paraId="74BDEB16" w14:textId="77777777" w:rsidR="003A3F0F" w:rsidRPr="002639B1" w:rsidRDefault="003A3F0F" w:rsidP="0014703F">
            <w:pPr>
              <w:jc w:val="both"/>
            </w:pPr>
          </w:p>
        </w:tc>
        <w:tc>
          <w:tcPr>
            <w:tcW w:w="0" w:type="auto"/>
            <w:shd w:val="clear" w:color="auto" w:fill="auto"/>
          </w:tcPr>
          <w:p w14:paraId="34F0A02E" w14:textId="06EDF37F" w:rsidR="003A3F0F" w:rsidRDefault="003A3F0F" w:rsidP="002639B1">
            <w:pPr>
              <w:jc w:val="both"/>
            </w:pPr>
            <w:r>
              <w:t xml:space="preserve">_In den 4 Lobbying-Meetings und 4 Workshops haben </w:t>
            </w:r>
            <w:proofErr w:type="spellStart"/>
            <w:r>
              <w:t>DPO</w:t>
            </w:r>
            <w:proofErr w:type="spellEnd"/>
            <w:r>
              <w:t>-Vertreter erreicht, dass die Vereinbarungen und Umsetzungspläne Inklusion von Menschen mit Behinderungen berücksichtigen.</w:t>
            </w:r>
          </w:p>
        </w:tc>
        <w:tc>
          <w:tcPr>
            <w:tcW w:w="0" w:type="auto"/>
            <w:gridSpan w:val="2"/>
          </w:tcPr>
          <w:p w14:paraId="0E3DE1DA" w14:textId="1CDC2783" w:rsidR="003A3F0F" w:rsidRPr="00042D55" w:rsidRDefault="003A3F0F" w:rsidP="0014703F">
            <w:pPr>
              <w:jc w:val="both"/>
            </w:pPr>
            <w:r w:rsidRPr="0025326B">
              <w:t>In allen Lobby-Meetings und Workshops haben Vertreter</w:t>
            </w:r>
            <w:r>
              <w:t>Innen</w:t>
            </w:r>
            <w:r w:rsidRPr="0025326B">
              <w:t xml:space="preserve"> von </w:t>
            </w:r>
            <w:proofErr w:type="spellStart"/>
            <w:r w:rsidRPr="0025326B">
              <w:t>DPOs</w:t>
            </w:r>
            <w:proofErr w:type="spellEnd"/>
            <w:r w:rsidRPr="0025326B">
              <w:t xml:space="preserve"> sowie </w:t>
            </w:r>
            <w:r>
              <w:t>Menschen</w:t>
            </w:r>
            <w:r w:rsidRPr="0025326B">
              <w:t xml:space="preserve"> mit Behinderungen teilgenommen und ihre Stimme und Rechte sichergestellt. Ebenso hat das Engagement der </w:t>
            </w:r>
            <w:proofErr w:type="spellStart"/>
            <w:r w:rsidRPr="0025326B">
              <w:t>DPOs</w:t>
            </w:r>
            <w:proofErr w:type="spellEnd"/>
            <w:r w:rsidRPr="0025326B">
              <w:t xml:space="preserve"> im Entwicklungsprozess der provinzialen Augen-Gesundheitsstrategie dazu beigetragen, dass diese Strategie die Einbeziehung von </w:t>
            </w:r>
            <w:r>
              <w:t>Menschen</w:t>
            </w:r>
            <w:r w:rsidRPr="0025326B">
              <w:t xml:space="preserve"> mit Behinderungen in die</w:t>
            </w:r>
            <w:r>
              <w:t xml:space="preserve"> Augengesundheitsdienste</w:t>
            </w:r>
            <w:r w:rsidRPr="0025326B">
              <w:t xml:space="preserve"> festlegt.</w:t>
            </w:r>
          </w:p>
        </w:tc>
      </w:tr>
    </w:tbl>
    <w:p w14:paraId="4E2D20F6" w14:textId="77777777" w:rsidR="00DB1E3D" w:rsidRDefault="00DB1E3D" w:rsidP="0014703F">
      <w:pPr>
        <w:jc w:val="both"/>
      </w:pPr>
    </w:p>
    <w:p w14:paraId="26C245BA" w14:textId="1984BCDD" w:rsidR="00DB1E3D" w:rsidRDefault="00DB1E3D" w:rsidP="0014703F">
      <w:pPr>
        <w:jc w:val="both"/>
        <w:sectPr w:rsidR="00DB1E3D" w:rsidSect="003C36DD">
          <w:pgSz w:w="16838" w:h="11906" w:orient="landscape"/>
          <w:pgMar w:top="1080" w:right="1135" w:bottom="1080" w:left="1440" w:header="708" w:footer="1012" w:gutter="0"/>
          <w:cols w:space="708"/>
          <w:titlePg/>
          <w:docGrid w:linePitch="360"/>
        </w:sectPr>
      </w:pPr>
    </w:p>
    <w:p w14:paraId="4A2B724A" w14:textId="77777777" w:rsidR="002E47AA" w:rsidRPr="002E47AA" w:rsidRDefault="00331FBA" w:rsidP="0014703F">
      <w:pPr>
        <w:pStyle w:val="Listenabsatz"/>
        <w:numPr>
          <w:ilvl w:val="0"/>
          <w:numId w:val="2"/>
        </w:numPr>
        <w:jc w:val="both"/>
        <w:outlineLvl w:val="0"/>
        <w:rPr>
          <w:b/>
          <w:color w:val="244061" w:themeColor="accent1" w:themeShade="80"/>
          <w:sz w:val="24"/>
          <w:szCs w:val="24"/>
        </w:rPr>
      </w:pPr>
      <w:r w:rsidRPr="002E47AA">
        <w:rPr>
          <w:b/>
          <w:color w:val="244061" w:themeColor="accent1" w:themeShade="80"/>
          <w:sz w:val="24"/>
          <w:szCs w:val="24"/>
        </w:rPr>
        <w:t xml:space="preserve">Projektdurchführung </w:t>
      </w:r>
    </w:p>
    <w:p w14:paraId="62892D56" w14:textId="3F0250B9" w:rsidR="00AC519B" w:rsidRPr="006656E8" w:rsidRDefault="00331FBA" w:rsidP="00397D51">
      <w:pPr>
        <w:pStyle w:val="Listenabsatz"/>
        <w:numPr>
          <w:ilvl w:val="1"/>
          <w:numId w:val="2"/>
        </w:numPr>
        <w:jc w:val="both"/>
        <w:outlineLvl w:val="1"/>
        <w:rPr>
          <w:sz w:val="24"/>
          <w:szCs w:val="24"/>
        </w:rPr>
      </w:pPr>
      <w:r w:rsidRPr="002E47AA">
        <w:rPr>
          <w:b/>
          <w:color w:val="244061" w:themeColor="accent1" w:themeShade="80"/>
          <w:sz w:val="24"/>
          <w:szCs w:val="24"/>
        </w:rPr>
        <w:t>Umsetzungen der Maßnahmen</w:t>
      </w:r>
      <w:r w:rsidR="000E6404">
        <w:rPr>
          <w:b/>
          <w:color w:val="244061" w:themeColor="accent1" w:themeShade="80"/>
          <w:sz w:val="24"/>
          <w:szCs w:val="24"/>
        </w:rPr>
        <w:t xml:space="preserve"> im Vergleich zum Antrag</w:t>
      </w:r>
    </w:p>
    <w:tbl>
      <w:tblPr>
        <w:tblStyle w:val="Tabellenraster"/>
        <w:tblW w:w="16676" w:type="dxa"/>
        <w:tblInd w:w="-646" w:type="dxa"/>
        <w:tblLook w:val="04A0" w:firstRow="1" w:lastRow="0" w:firstColumn="1" w:lastColumn="0" w:noHBand="0" w:noVBand="1"/>
      </w:tblPr>
      <w:tblGrid>
        <w:gridCol w:w="1555"/>
        <w:gridCol w:w="3118"/>
        <w:gridCol w:w="6401"/>
        <w:gridCol w:w="5602"/>
      </w:tblGrid>
      <w:tr w:rsidR="00F3001F" w:rsidRPr="00397D51" w14:paraId="51628E04" w14:textId="77777777" w:rsidTr="00E343C8">
        <w:trPr>
          <w:trHeight w:val="806"/>
        </w:trPr>
        <w:tc>
          <w:tcPr>
            <w:tcW w:w="4673" w:type="dxa"/>
            <w:gridSpan w:val="2"/>
            <w:noWrap/>
            <w:hideMark/>
          </w:tcPr>
          <w:p w14:paraId="649A2303" w14:textId="790F6AE8" w:rsidR="008E1837" w:rsidRPr="008E1837" w:rsidRDefault="008E1837" w:rsidP="00397D51">
            <w:pPr>
              <w:jc w:val="center"/>
              <w:rPr>
                <w:b/>
                <w:bCs/>
              </w:rPr>
            </w:pPr>
            <w:bookmarkStart w:id="0" w:name="_Hlk191287195"/>
            <w:r w:rsidRPr="008E1837">
              <w:rPr>
                <w:b/>
                <w:bCs/>
              </w:rPr>
              <w:t>Unterziel 1</w:t>
            </w:r>
          </w:p>
        </w:tc>
        <w:tc>
          <w:tcPr>
            <w:tcW w:w="12003" w:type="dxa"/>
            <w:gridSpan w:val="2"/>
            <w:hideMark/>
          </w:tcPr>
          <w:p w14:paraId="083E1970" w14:textId="56DF99D4" w:rsidR="008E1837" w:rsidRPr="008E1837" w:rsidRDefault="008E1837" w:rsidP="00397D51">
            <w:pPr>
              <w:jc w:val="both"/>
              <w:rPr>
                <w:b/>
                <w:bCs/>
              </w:rPr>
            </w:pPr>
            <w:r w:rsidRPr="008E1837">
              <w:rPr>
                <w:b/>
                <w:bCs/>
              </w:rPr>
              <w:t xml:space="preserve">Die Bevölkerung der 4 Zieldistrikte </w:t>
            </w:r>
            <w:proofErr w:type="spellStart"/>
            <w:r w:rsidRPr="008E1837">
              <w:rPr>
                <w:b/>
                <w:bCs/>
              </w:rPr>
              <w:t>Jumla</w:t>
            </w:r>
            <w:proofErr w:type="spellEnd"/>
            <w:r w:rsidRPr="008E1837">
              <w:rPr>
                <w:b/>
                <w:bCs/>
              </w:rPr>
              <w:t xml:space="preserve">, </w:t>
            </w:r>
            <w:proofErr w:type="spellStart"/>
            <w:r w:rsidRPr="008E1837">
              <w:rPr>
                <w:b/>
                <w:bCs/>
              </w:rPr>
              <w:t>Surkhet</w:t>
            </w:r>
            <w:proofErr w:type="spellEnd"/>
            <w:r w:rsidRPr="008E1837">
              <w:rPr>
                <w:b/>
                <w:bCs/>
              </w:rPr>
              <w:t xml:space="preserve">, </w:t>
            </w:r>
            <w:proofErr w:type="spellStart"/>
            <w:r w:rsidRPr="008E1837">
              <w:rPr>
                <w:b/>
                <w:bCs/>
              </w:rPr>
              <w:t>Dailekh</w:t>
            </w:r>
            <w:proofErr w:type="spellEnd"/>
            <w:r w:rsidRPr="008E1837">
              <w:rPr>
                <w:b/>
                <w:bCs/>
              </w:rPr>
              <w:t xml:space="preserve"> und Mugu ist über Prävention, Behandlungsmöglichkeiten sowie die inklusiven augen- und ohrenmedizinischen Dienste informiert.</w:t>
            </w:r>
          </w:p>
        </w:tc>
      </w:tr>
      <w:tr w:rsidR="00F3001F" w:rsidRPr="008B21DA" w14:paraId="65CFDA52" w14:textId="77777777" w:rsidTr="00E343C8">
        <w:trPr>
          <w:trHeight w:val="295"/>
        </w:trPr>
        <w:tc>
          <w:tcPr>
            <w:tcW w:w="1555" w:type="dxa"/>
            <w:noWrap/>
            <w:hideMark/>
          </w:tcPr>
          <w:p w14:paraId="4CEF0F5C" w14:textId="54DC8009" w:rsidR="008E1837" w:rsidRPr="008E1837" w:rsidRDefault="008E1837" w:rsidP="00044607">
            <w:pPr>
              <w:rPr>
                <w:b/>
                <w:bCs/>
              </w:rPr>
            </w:pPr>
            <w:bookmarkStart w:id="1" w:name="_Hlk191290669"/>
            <w:r w:rsidRPr="008E1837">
              <w:rPr>
                <w:b/>
                <w:bCs/>
              </w:rPr>
              <w:t>Aktivität /Budgetlinie</w:t>
            </w:r>
          </w:p>
        </w:tc>
        <w:tc>
          <w:tcPr>
            <w:tcW w:w="3118" w:type="dxa"/>
            <w:noWrap/>
            <w:hideMark/>
          </w:tcPr>
          <w:p w14:paraId="0A2D2972" w14:textId="0EADF70E" w:rsidR="008E1837" w:rsidRPr="00182F06" w:rsidRDefault="008E1837">
            <w:pPr>
              <w:jc w:val="center"/>
              <w:rPr>
                <w:b/>
                <w:bCs/>
              </w:rPr>
            </w:pPr>
            <w:r w:rsidRPr="00182F06">
              <w:rPr>
                <w:b/>
                <w:bCs/>
              </w:rPr>
              <w:t>Geplante Maßnahmen</w:t>
            </w:r>
            <w:r w:rsidR="00D213D0">
              <w:rPr>
                <w:b/>
                <w:bCs/>
              </w:rPr>
              <w:t xml:space="preserve"> (Soll)</w:t>
            </w:r>
          </w:p>
        </w:tc>
        <w:tc>
          <w:tcPr>
            <w:tcW w:w="6401" w:type="dxa"/>
            <w:noWrap/>
            <w:hideMark/>
          </w:tcPr>
          <w:p w14:paraId="019BB8E9" w14:textId="7253A50F" w:rsidR="008E1837" w:rsidRPr="00182F06" w:rsidRDefault="008E1837">
            <w:pPr>
              <w:jc w:val="center"/>
              <w:rPr>
                <w:b/>
                <w:bCs/>
              </w:rPr>
            </w:pPr>
            <w:r w:rsidRPr="00182F06">
              <w:rPr>
                <w:b/>
                <w:bCs/>
              </w:rPr>
              <w:t>Tatsächlich durchgeführte Maßnahmen</w:t>
            </w:r>
            <w:r w:rsidR="001213E0">
              <w:rPr>
                <w:b/>
                <w:bCs/>
              </w:rPr>
              <w:t xml:space="preserve"> (Ist)</w:t>
            </w:r>
          </w:p>
        </w:tc>
        <w:tc>
          <w:tcPr>
            <w:tcW w:w="5602" w:type="dxa"/>
            <w:hideMark/>
          </w:tcPr>
          <w:p w14:paraId="0BFC36D2" w14:textId="3212FB25" w:rsidR="008E1837" w:rsidRPr="008E1837" w:rsidRDefault="008E1837">
            <w:pPr>
              <w:jc w:val="center"/>
              <w:rPr>
                <w:b/>
                <w:bCs/>
              </w:rPr>
            </w:pPr>
            <w:r w:rsidRPr="008E1837">
              <w:rPr>
                <w:b/>
                <w:bCs/>
              </w:rPr>
              <w:t>Abweichungen/Verzögerungen</w:t>
            </w:r>
          </w:p>
        </w:tc>
      </w:tr>
      <w:bookmarkEnd w:id="0"/>
      <w:bookmarkEnd w:id="1"/>
      <w:tr w:rsidR="00F3001F" w:rsidRPr="008B21DA" w14:paraId="3B693EAB" w14:textId="77777777" w:rsidTr="00E343C8">
        <w:trPr>
          <w:trHeight w:val="979"/>
        </w:trPr>
        <w:tc>
          <w:tcPr>
            <w:tcW w:w="1555" w:type="dxa"/>
            <w:noWrap/>
            <w:hideMark/>
          </w:tcPr>
          <w:p w14:paraId="06E4FD9B" w14:textId="19E1EA0B" w:rsidR="0000107D" w:rsidRDefault="006A0084" w:rsidP="00044607">
            <w:r w:rsidRPr="00CE0B16">
              <w:t>A</w:t>
            </w:r>
            <w:r>
              <w:t>.</w:t>
            </w:r>
            <w:r w:rsidRPr="00CE0B16">
              <w:t>1.1</w:t>
            </w:r>
            <w:r>
              <w:t>.1/</w:t>
            </w:r>
            <w:r w:rsidR="0000107D">
              <w:t xml:space="preserve"> </w:t>
            </w:r>
            <w:r>
              <w:t>BL 2.3</w:t>
            </w:r>
          </w:p>
          <w:p w14:paraId="71F7794B" w14:textId="0ADC3569" w:rsidR="0000107D" w:rsidRPr="0000107D" w:rsidRDefault="0000107D" w:rsidP="00044607">
            <w:pPr>
              <w:rPr>
                <w:i/>
                <w:iCs/>
              </w:rPr>
            </w:pPr>
            <w:r w:rsidRPr="0000107D">
              <w:rPr>
                <w:i/>
                <w:iCs/>
              </w:rPr>
              <w:t>Radiospots zur Aufklärung über Augen- und Ohrengesundheit </w:t>
            </w:r>
          </w:p>
        </w:tc>
        <w:tc>
          <w:tcPr>
            <w:tcW w:w="3118" w:type="dxa"/>
            <w:noWrap/>
            <w:hideMark/>
          </w:tcPr>
          <w:p w14:paraId="3DF5159A" w14:textId="37115ADA" w:rsidR="006A0084" w:rsidRPr="009868EB" w:rsidRDefault="009B355F" w:rsidP="00044607">
            <w:r w:rsidRPr="009B355F">
              <w:t>Um die Menschen in den Gemeinden über Prävention von Augen- und Ohrenerkrankungen aufzuklären, ist eine Informationskampagne im lokalen Radio geplant. Die Inhalte der Spots, die regelmäßig innerhalb der Projektlaufzeit geschaltet werden sollen, beziehen sich auf Augen- und Ohrengesundheit, Hygienepraktiken und die angebotenen Gesundheitsdienste.</w:t>
            </w:r>
          </w:p>
        </w:tc>
        <w:tc>
          <w:tcPr>
            <w:tcW w:w="6401" w:type="dxa"/>
            <w:hideMark/>
          </w:tcPr>
          <w:p w14:paraId="7E4A8963" w14:textId="637AB5FC" w:rsidR="006A0084" w:rsidRPr="009868EB" w:rsidRDefault="006A0084" w:rsidP="00044607">
            <w:r>
              <w:rPr>
                <w:lang w:eastAsia="zh-CN"/>
              </w:rPr>
              <w:t xml:space="preserve">In den vier Distrikten Mugu, </w:t>
            </w:r>
            <w:proofErr w:type="spellStart"/>
            <w:r>
              <w:rPr>
                <w:lang w:eastAsia="zh-CN"/>
              </w:rPr>
              <w:t>Jumla</w:t>
            </w:r>
            <w:proofErr w:type="spellEnd"/>
            <w:r>
              <w:rPr>
                <w:lang w:eastAsia="zh-CN"/>
              </w:rPr>
              <w:t xml:space="preserve">, </w:t>
            </w:r>
            <w:proofErr w:type="spellStart"/>
            <w:r>
              <w:rPr>
                <w:lang w:eastAsia="zh-CN"/>
              </w:rPr>
              <w:t>Dailekh</w:t>
            </w:r>
            <w:proofErr w:type="spellEnd"/>
            <w:r>
              <w:rPr>
                <w:lang w:eastAsia="zh-CN"/>
              </w:rPr>
              <w:t xml:space="preserve"> und </w:t>
            </w:r>
            <w:proofErr w:type="spellStart"/>
            <w:r>
              <w:rPr>
                <w:lang w:eastAsia="zh-CN"/>
              </w:rPr>
              <w:t>Surkhet</w:t>
            </w:r>
            <w:proofErr w:type="spellEnd"/>
            <w:r>
              <w:rPr>
                <w:lang w:eastAsia="zh-CN"/>
              </w:rPr>
              <w:t xml:space="preserve"> wurden in 12 FM-Radiostationen über den Projektzeitraum hinweg </w:t>
            </w:r>
            <w:r w:rsidR="00F57994">
              <w:rPr>
                <w:lang w:eastAsia="zh-CN"/>
              </w:rPr>
              <w:t>7-mal</w:t>
            </w:r>
            <w:r>
              <w:rPr>
                <w:lang w:eastAsia="zh-CN"/>
              </w:rPr>
              <w:t xml:space="preserve"> täglich Radiospots über die Prävention von Augen- und Ohrendgesundheit gesendet.</w:t>
            </w:r>
          </w:p>
        </w:tc>
        <w:tc>
          <w:tcPr>
            <w:tcW w:w="5602" w:type="dxa"/>
          </w:tcPr>
          <w:p w14:paraId="7AF245B6" w14:textId="1F3AEF68" w:rsidR="006A0084" w:rsidRPr="009868EB" w:rsidRDefault="006A0084" w:rsidP="00044607"/>
        </w:tc>
      </w:tr>
      <w:tr w:rsidR="00F3001F" w:rsidRPr="008B21DA" w14:paraId="28CAC240" w14:textId="77777777" w:rsidTr="00E343C8">
        <w:trPr>
          <w:trHeight w:val="979"/>
        </w:trPr>
        <w:tc>
          <w:tcPr>
            <w:tcW w:w="1555" w:type="dxa"/>
            <w:noWrap/>
            <w:hideMark/>
          </w:tcPr>
          <w:p w14:paraId="013E5A12" w14:textId="7DE71487" w:rsidR="006A0084" w:rsidRDefault="006A0084" w:rsidP="00044607">
            <w:r w:rsidRPr="00CE0B16">
              <w:t>A</w:t>
            </w:r>
            <w:r>
              <w:t>.1.1.2/</w:t>
            </w:r>
            <w:r w:rsidR="00044607">
              <w:t xml:space="preserve"> </w:t>
            </w:r>
            <w:r>
              <w:t>BL 2.3</w:t>
            </w:r>
          </w:p>
          <w:p w14:paraId="4F960129" w14:textId="50121C23" w:rsidR="00044607" w:rsidRPr="00044607" w:rsidRDefault="00044607" w:rsidP="00044607">
            <w:pPr>
              <w:rPr>
                <w:i/>
                <w:iCs/>
              </w:rPr>
            </w:pPr>
            <w:r w:rsidRPr="00044607">
              <w:rPr>
                <w:i/>
                <w:iCs/>
              </w:rPr>
              <w:t>Straßentheater zu Aufklärung über Augen- und Ohrengesundheit</w:t>
            </w:r>
          </w:p>
        </w:tc>
        <w:tc>
          <w:tcPr>
            <w:tcW w:w="3118" w:type="dxa"/>
            <w:noWrap/>
            <w:hideMark/>
          </w:tcPr>
          <w:p w14:paraId="48B74FF8" w14:textId="5AE77C66" w:rsidR="006A0084" w:rsidRPr="009868EB" w:rsidRDefault="00EE388E" w:rsidP="00044607">
            <w:r w:rsidRPr="00EE388E">
              <w:t xml:space="preserve">Unter aktiver Beteiligung von den jeweilig in den Gemeinden vorhandenen </w:t>
            </w:r>
            <w:proofErr w:type="spellStart"/>
            <w:r w:rsidRPr="00EE388E">
              <w:t>DPOs</w:t>
            </w:r>
            <w:proofErr w:type="spellEnd"/>
            <w:r w:rsidRPr="00EE388E">
              <w:t xml:space="preserve"> (Disabled </w:t>
            </w:r>
            <w:proofErr w:type="spellStart"/>
            <w:r w:rsidRPr="00EE388E">
              <w:t>Persons</w:t>
            </w:r>
            <w:proofErr w:type="spellEnd"/>
            <w:r w:rsidRPr="00EE388E">
              <w:t xml:space="preserve"> </w:t>
            </w:r>
            <w:proofErr w:type="spellStart"/>
            <w:r w:rsidRPr="00EE388E">
              <w:t>Organisations</w:t>
            </w:r>
            <w:proofErr w:type="spellEnd"/>
            <w:r w:rsidRPr="00EE388E">
              <w:t>) sollen die Themen Prävention von Augen- und Ohrenerkrankungen, Hygiene und Behandlungsangebote durch lokale Schauspieler in lokaler Sprache vermittelt werden. In allen 4 Distrikten sind jeweils 2 Veranstaltungen geplant</w:t>
            </w:r>
            <w:r>
              <w:t>.</w:t>
            </w:r>
          </w:p>
        </w:tc>
        <w:tc>
          <w:tcPr>
            <w:tcW w:w="6401" w:type="dxa"/>
            <w:noWrap/>
          </w:tcPr>
          <w:p w14:paraId="3B83C146" w14:textId="43B4FF0E" w:rsidR="006A0084" w:rsidRPr="009868EB" w:rsidRDefault="006A0084" w:rsidP="00044607">
            <w:r>
              <w:t>Während der Projektlaufzeit konnten 8 Straßentheater in 8 Gemeinden der 4 Projektgebiete aufgeführt werden.</w:t>
            </w:r>
          </w:p>
        </w:tc>
        <w:tc>
          <w:tcPr>
            <w:tcW w:w="5602" w:type="dxa"/>
            <w:hideMark/>
          </w:tcPr>
          <w:p w14:paraId="0E81C459" w14:textId="1FAABEC2" w:rsidR="006A0084" w:rsidRDefault="006A0084" w:rsidP="00044607">
            <w:pPr>
              <w:pStyle w:val="KeinLeerraum"/>
            </w:pPr>
            <w:r>
              <w:t xml:space="preserve">Aufgrund der Corona-Pandemie und der damit verbundenen Versammlungsverbote konnten im Jahr 2021 keine Aufführungen stattfinden. Auch die Entwicklung des Drehbuchs verzögerte sich zunächst und konnte nicht planmäßig fertiggestellt. Dennoch konnten die Aufführungen nachgeholt und erfolgreich aufgeführt werden. </w:t>
            </w:r>
            <w:r>
              <w:rPr>
                <w:lang w:eastAsia="zh-CN"/>
              </w:rPr>
              <w:t xml:space="preserve">Etwa </w:t>
            </w:r>
            <w:r w:rsidRPr="00FC2ED8">
              <w:t>3745 Menschen</w:t>
            </w:r>
            <w:r>
              <w:t xml:space="preserve"> nahmen an den Veranstaltungen teil, darunter mindestens 43 Personen mit einer Behinderung.</w:t>
            </w:r>
          </w:p>
          <w:p w14:paraId="6793B670" w14:textId="2356551D" w:rsidR="006A0084" w:rsidRPr="009868EB" w:rsidRDefault="006A0084" w:rsidP="00044607"/>
        </w:tc>
      </w:tr>
      <w:tr w:rsidR="00F3001F" w:rsidRPr="008B21DA" w14:paraId="0D0DC8FC" w14:textId="77777777" w:rsidTr="00E343C8">
        <w:trPr>
          <w:trHeight w:val="1632"/>
        </w:trPr>
        <w:tc>
          <w:tcPr>
            <w:tcW w:w="1555" w:type="dxa"/>
            <w:noWrap/>
            <w:hideMark/>
          </w:tcPr>
          <w:p w14:paraId="7DD1B124" w14:textId="77777777" w:rsidR="00044E1E" w:rsidRDefault="00044E1E" w:rsidP="00044607">
            <w:r w:rsidRPr="00CE0B16">
              <w:t>A</w:t>
            </w:r>
            <w:r>
              <w:t>1.1.3/</w:t>
            </w:r>
            <w:r w:rsidR="00044607">
              <w:t xml:space="preserve"> </w:t>
            </w:r>
            <w:r>
              <w:t>BL</w:t>
            </w:r>
            <w:r w:rsidR="00E75EFC">
              <w:t xml:space="preserve"> </w:t>
            </w:r>
            <w:r>
              <w:t>2.3</w:t>
            </w:r>
          </w:p>
          <w:p w14:paraId="058AE9BF" w14:textId="7085BAAB" w:rsidR="00044607" w:rsidRPr="00CE0B16" w:rsidRDefault="00044607" w:rsidP="00044607">
            <w:r w:rsidRPr="00044607">
              <w:rPr>
                <w:i/>
                <w:iCs/>
              </w:rPr>
              <w:t>Konzeption und Produktion von Informationsmaterial</w:t>
            </w:r>
          </w:p>
        </w:tc>
        <w:tc>
          <w:tcPr>
            <w:tcW w:w="3118" w:type="dxa"/>
            <w:noWrap/>
            <w:hideMark/>
          </w:tcPr>
          <w:p w14:paraId="3D35E55B" w14:textId="1EFD24C6" w:rsidR="00044E1E" w:rsidRPr="006E44C9" w:rsidRDefault="006E44C9" w:rsidP="006E44C9">
            <w:pPr>
              <w:jc w:val="both"/>
            </w:pPr>
            <w:r w:rsidRPr="006E44C9">
              <w:t>IEC</w:t>
            </w:r>
            <w:r w:rsidR="00856384">
              <w:t xml:space="preserve"> </w:t>
            </w:r>
            <w:r w:rsidRPr="006E44C9">
              <w:t>Material (Information Education Communication) ist ein Medium, um die Bevölkerung bedarfsgerecht aufzuklären. Das Material – Poster, Broschüren, Flyer – soll für den jeweiligen Einsatz in leicht verständlicher und barrierefreier Sprache und Form konzipiert und hergestellt werden.</w:t>
            </w:r>
          </w:p>
        </w:tc>
        <w:tc>
          <w:tcPr>
            <w:tcW w:w="6401" w:type="dxa"/>
            <w:hideMark/>
          </w:tcPr>
          <w:p w14:paraId="63C2100C" w14:textId="4458640E" w:rsidR="00044E1E" w:rsidRDefault="00044E1E" w:rsidP="006E44C9">
            <w:pPr>
              <w:jc w:val="both"/>
            </w:pPr>
            <w:r>
              <w:t xml:space="preserve">In </w:t>
            </w:r>
            <w:proofErr w:type="spellStart"/>
            <w:r>
              <w:t>Birendranagar</w:t>
            </w:r>
            <w:proofErr w:type="spellEnd"/>
            <w:r>
              <w:t xml:space="preserve">, </w:t>
            </w:r>
            <w:proofErr w:type="spellStart"/>
            <w:r>
              <w:t>Surkhet</w:t>
            </w:r>
            <w:proofErr w:type="spellEnd"/>
            <w:r>
              <w:t xml:space="preserve">, wurde zunächst ein zweitägiger Workshop durchgeführt, bei dem die Gestaltung und Herstellung von IEC-Materialien zur Augen- und Ohrengesundheit diskutiert wurde. An dem Workshop nahmen Vertreter der HNO-Abteilung des </w:t>
            </w:r>
            <w:proofErr w:type="spellStart"/>
            <w:r>
              <w:t>Karnali</w:t>
            </w:r>
            <w:proofErr w:type="spellEnd"/>
            <w:r>
              <w:t xml:space="preserve"> Province Hospital, des </w:t>
            </w:r>
            <w:proofErr w:type="spellStart"/>
            <w:r>
              <w:t>Surkhet</w:t>
            </w:r>
            <w:proofErr w:type="spellEnd"/>
            <w:r>
              <w:t xml:space="preserve"> Eye Hospital, Projektmitarbeiter und Mitglieder des </w:t>
            </w:r>
            <w:proofErr w:type="spellStart"/>
            <w:r>
              <w:t>DPOs</w:t>
            </w:r>
            <w:proofErr w:type="spellEnd"/>
            <w:r>
              <w:t xml:space="preserve"> teil. </w:t>
            </w:r>
          </w:p>
          <w:p w14:paraId="57ACAAE6" w14:textId="5DD1BDA9" w:rsidR="00044E1E" w:rsidRPr="009868EB" w:rsidRDefault="00044E1E" w:rsidP="006E44C9">
            <w:pPr>
              <w:jc w:val="both"/>
            </w:pPr>
            <w:r>
              <w:t xml:space="preserve">Es wurden Faltblätter zum Thema Auge, Poster zum Thema Ohr </w:t>
            </w:r>
            <w:r w:rsidR="007C308D">
              <w:t>und Poster</w:t>
            </w:r>
            <w:r>
              <w:t xml:space="preserve"> zum Thema Augengesundheit entworfen, entwickelt, gedruckt und an 8 Gemeindekoordinatoren zur öffentlichen Verbreitung und Verteilung übergeben. Nach einem weiteren Workshop im März 2022 wurden die IEC-Materialien in barrierefreien Formaten gedruckt.</w:t>
            </w:r>
          </w:p>
        </w:tc>
        <w:tc>
          <w:tcPr>
            <w:tcW w:w="5602" w:type="dxa"/>
            <w:hideMark/>
          </w:tcPr>
          <w:p w14:paraId="2A6558D6" w14:textId="28B7EDFA" w:rsidR="00044E1E" w:rsidRPr="009868EB" w:rsidRDefault="008D7C90" w:rsidP="00044607">
            <w:r>
              <w:t>Keine Abweichungen.</w:t>
            </w:r>
          </w:p>
        </w:tc>
      </w:tr>
      <w:tr w:rsidR="00F3001F" w:rsidRPr="008B21DA" w14:paraId="05B9DAF8" w14:textId="77777777" w:rsidTr="00E343C8">
        <w:trPr>
          <w:trHeight w:val="1306"/>
        </w:trPr>
        <w:tc>
          <w:tcPr>
            <w:tcW w:w="1555" w:type="dxa"/>
            <w:noWrap/>
            <w:hideMark/>
          </w:tcPr>
          <w:p w14:paraId="63A94EC1" w14:textId="7DB0391B" w:rsidR="006A0084" w:rsidRDefault="006A0084" w:rsidP="00044607">
            <w:r w:rsidRPr="00CE0B16">
              <w:t>A</w:t>
            </w:r>
            <w:r>
              <w:t>.1.1.4/</w:t>
            </w:r>
            <w:r w:rsidR="00044607">
              <w:t xml:space="preserve"> </w:t>
            </w:r>
            <w:r>
              <w:t>BL 2.3</w:t>
            </w:r>
          </w:p>
          <w:p w14:paraId="64E42AB6" w14:textId="713F1CD9" w:rsidR="00044607" w:rsidRPr="00CE0B16" w:rsidRDefault="00044607" w:rsidP="00044607">
            <w:r w:rsidRPr="00044607">
              <w:rPr>
                <w:i/>
                <w:iCs/>
              </w:rPr>
              <w:t>Wandmalerei an zentralen Plätzen in Gemeinden</w:t>
            </w:r>
          </w:p>
        </w:tc>
        <w:tc>
          <w:tcPr>
            <w:tcW w:w="3118" w:type="dxa"/>
            <w:noWrap/>
            <w:hideMark/>
          </w:tcPr>
          <w:p w14:paraId="204766AE" w14:textId="73D3678A" w:rsidR="006A0084" w:rsidRPr="007C308D" w:rsidRDefault="00A2119D" w:rsidP="00044607">
            <w:r w:rsidRPr="00A2119D">
              <w:t xml:space="preserve">Über </w:t>
            </w:r>
            <w:r>
              <w:t xml:space="preserve">60 </w:t>
            </w:r>
            <w:r w:rsidRPr="00A2119D">
              <w:t>Wandbilder im öffentlichen Raum soll die Bevölkerung in den Gemeinden in einer für sie verständlichen, plakativen Weise über Augen- und Ohrengesundheit, präventive Maßnahmen und angebotene Services informiert werden.</w:t>
            </w:r>
          </w:p>
        </w:tc>
        <w:tc>
          <w:tcPr>
            <w:tcW w:w="6401" w:type="dxa"/>
            <w:hideMark/>
          </w:tcPr>
          <w:p w14:paraId="6E3ADD87" w14:textId="65A603FD" w:rsidR="006A0084" w:rsidRPr="009868EB" w:rsidRDefault="006A0084" w:rsidP="00044607">
            <w:r>
              <w:t>Es wurden 60 Wandmalereien an öffentlichen Plätzen der 8 Gemeinden in den vier Zieldistrikten</w:t>
            </w:r>
            <w:r w:rsidR="00963792">
              <w:t xml:space="preserve"> durchgeführt.</w:t>
            </w:r>
          </w:p>
        </w:tc>
        <w:tc>
          <w:tcPr>
            <w:tcW w:w="5602" w:type="dxa"/>
            <w:hideMark/>
          </w:tcPr>
          <w:p w14:paraId="44D04A29" w14:textId="0C20C8B1" w:rsidR="006A0084" w:rsidRPr="009868EB" w:rsidRDefault="006A0084" w:rsidP="00044607">
            <w:r w:rsidRPr="006A0084">
              <w:t xml:space="preserve">Obwohl </w:t>
            </w:r>
            <w:r>
              <w:t>bereits im Jahr 2021 mit der Anbringung der Wandmalereien begonnen werden sollte, konnten diese erst im ersten Quartal 2023 fertiggestellt werden. Im Jahr 2021 konnten aufgrund der Corona-Mobilitätseinschränkungen in Nepal keine Wandmalereien and Schulen und öffentlichen Plätzen angebracht werden. Im Jahr 2022 mussten zunächst die jeweiligen Lokalregierungen den Bildern zustimmen, was zu einer erneuten Verzögerung führte.</w:t>
            </w:r>
          </w:p>
        </w:tc>
      </w:tr>
      <w:tr w:rsidR="00F3001F" w:rsidRPr="008B21DA" w14:paraId="4E00EEB6" w14:textId="77777777" w:rsidTr="00E343C8">
        <w:trPr>
          <w:trHeight w:val="979"/>
        </w:trPr>
        <w:tc>
          <w:tcPr>
            <w:tcW w:w="1555" w:type="dxa"/>
            <w:noWrap/>
            <w:hideMark/>
          </w:tcPr>
          <w:p w14:paraId="60559CF4" w14:textId="6F86D8D7" w:rsidR="00EC6DE3" w:rsidRDefault="00EC6DE3" w:rsidP="00044607">
            <w:r w:rsidRPr="00CE0B16">
              <w:t>A</w:t>
            </w:r>
            <w:r>
              <w:t>.1.1.5/</w:t>
            </w:r>
            <w:r w:rsidR="007D53B4">
              <w:t xml:space="preserve"> </w:t>
            </w:r>
            <w:r>
              <w:t>BL 2.3</w:t>
            </w:r>
          </w:p>
          <w:p w14:paraId="461207ED" w14:textId="4F731535" w:rsidR="007D53B4" w:rsidRPr="00CE0B16" w:rsidRDefault="007D53B4" w:rsidP="00044607">
            <w:r w:rsidRPr="00044607">
              <w:rPr>
                <w:i/>
                <w:iCs/>
              </w:rPr>
              <w:t>Produktion eines Videospots</w:t>
            </w:r>
          </w:p>
        </w:tc>
        <w:tc>
          <w:tcPr>
            <w:tcW w:w="3118" w:type="dxa"/>
            <w:noWrap/>
            <w:hideMark/>
          </w:tcPr>
          <w:p w14:paraId="3CC6F2E7" w14:textId="535C75CC" w:rsidR="00EC6DE3" w:rsidRPr="00A2119D" w:rsidRDefault="007677F9" w:rsidP="00044607">
            <w:r>
              <w:t xml:space="preserve">Um die Themen Augen- und Ohrengesundheit </w:t>
            </w:r>
            <w:r w:rsidR="00AB0438">
              <w:t>sowie die Bedeutung von Prävention und Früherkennung zu transportieren</w:t>
            </w:r>
            <w:r w:rsidR="00D16D82">
              <w:t xml:space="preserve"> i</w:t>
            </w:r>
            <w:r w:rsidR="00D16D82" w:rsidRPr="002A5989">
              <w:rPr>
                <w:bCs/>
                <w:iCs/>
              </w:rPr>
              <w:t xml:space="preserve">st </w:t>
            </w:r>
            <w:r w:rsidR="00D16D82">
              <w:rPr>
                <w:bCs/>
                <w:iCs/>
              </w:rPr>
              <w:t xml:space="preserve">es </w:t>
            </w:r>
            <w:r w:rsidR="00D16D82" w:rsidRPr="002A5989">
              <w:rPr>
                <w:bCs/>
                <w:iCs/>
              </w:rPr>
              <w:t>geplant, einen Videospot unter Berücksichtigung lokaler, sozio-kultureller Gegebenheiten zu produzieren.</w:t>
            </w:r>
          </w:p>
        </w:tc>
        <w:tc>
          <w:tcPr>
            <w:tcW w:w="6401" w:type="dxa"/>
            <w:hideMark/>
          </w:tcPr>
          <w:p w14:paraId="37615FA9" w14:textId="7AA4D1EA" w:rsidR="00EC6DE3" w:rsidRPr="009868EB" w:rsidRDefault="00EC6DE3" w:rsidP="00044607">
            <w:r>
              <w:t>Es wurde ein Videospot produziert, der die Prävention von Katarakt, der Hauptursache von vermeidbarer Erblindung, thematisiert. Dieser Videospot wurde sowohl im regionalen Fernsehen ausgestrahlt als auch während Workshops, Seminaren und Outreach-Kampagnen.</w:t>
            </w:r>
          </w:p>
        </w:tc>
        <w:tc>
          <w:tcPr>
            <w:tcW w:w="5602" w:type="dxa"/>
          </w:tcPr>
          <w:p w14:paraId="6080F341" w14:textId="15A700CC" w:rsidR="00EC6DE3" w:rsidRPr="009868EB" w:rsidRDefault="00EC6DE3" w:rsidP="00044607">
            <w:r>
              <w:t>Aufgrund der Corona-Pandemie verzögerte sich sowohl die Ausarbeitung des Drehbuches als auch die Kontaktaufnahme und Zusammenarbeit mit den DarstellerInnen. Durch das bestehende Versammlungsverbot konnte erst im ersten Quartal 2022 mit den eigentlichen Arbeiten begonnen werden</w:t>
            </w:r>
            <w:r w:rsidR="00963792">
              <w:t>.</w:t>
            </w:r>
          </w:p>
        </w:tc>
      </w:tr>
      <w:tr w:rsidR="00F3001F" w:rsidRPr="008B21DA" w14:paraId="43C84CFB" w14:textId="77777777" w:rsidTr="00E343C8">
        <w:trPr>
          <w:trHeight w:val="1632"/>
        </w:trPr>
        <w:tc>
          <w:tcPr>
            <w:tcW w:w="1555" w:type="dxa"/>
            <w:noWrap/>
            <w:hideMark/>
          </w:tcPr>
          <w:p w14:paraId="636E328C" w14:textId="77777777" w:rsidR="00963792" w:rsidRDefault="00963792" w:rsidP="00044607">
            <w:r w:rsidRPr="00CE0B16">
              <w:t>A</w:t>
            </w:r>
            <w:r>
              <w:t>.1.1.6/</w:t>
            </w:r>
            <w:r w:rsidR="007D53B4">
              <w:t xml:space="preserve"> </w:t>
            </w:r>
            <w:r>
              <w:t>BL 3.4</w:t>
            </w:r>
          </w:p>
          <w:p w14:paraId="14D29DC0" w14:textId="18A9F8F4" w:rsidR="007D53B4" w:rsidRPr="00CE0B16" w:rsidRDefault="007D53B4" w:rsidP="00044607">
            <w:r w:rsidRPr="00044607">
              <w:rPr>
                <w:i/>
                <w:iCs/>
              </w:rPr>
              <w:t>Produktion von Informationstafeln für Schulen und öffentliche Plätze</w:t>
            </w:r>
          </w:p>
        </w:tc>
        <w:tc>
          <w:tcPr>
            <w:tcW w:w="3118" w:type="dxa"/>
            <w:noWrap/>
            <w:hideMark/>
          </w:tcPr>
          <w:p w14:paraId="6EFA9C39" w14:textId="2C410423" w:rsidR="00963792" w:rsidRPr="00EC44BE" w:rsidRDefault="008E41AF" w:rsidP="00044607">
            <w:r>
              <w:rPr>
                <w:bCs/>
                <w:iCs/>
              </w:rPr>
              <w:t>Zu den Themen</w:t>
            </w:r>
            <w:r w:rsidRPr="002A5989">
              <w:rPr>
                <w:bCs/>
                <w:iCs/>
              </w:rPr>
              <w:t xml:space="preserve"> Augen- und Ohrengesundheit</w:t>
            </w:r>
            <w:r>
              <w:rPr>
                <w:bCs/>
                <w:iCs/>
              </w:rPr>
              <w:t xml:space="preserve"> sowie über </w:t>
            </w:r>
            <w:r w:rsidRPr="002A5989">
              <w:rPr>
                <w:bCs/>
                <w:iCs/>
              </w:rPr>
              <w:t xml:space="preserve">die geplanten Maßnahmen </w:t>
            </w:r>
            <w:r>
              <w:rPr>
                <w:bCs/>
                <w:iCs/>
              </w:rPr>
              <w:t xml:space="preserve">wird </w:t>
            </w:r>
            <w:r w:rsidRPr="002A5989">
              <w:rPr>
                <w:bCs/>
                <w:iCs/>
              </w:rPr>
              <w:t xml:space="preserve">in den Gemeinden und Schulen auf öffentlichen Plätzen über Informationsboards </w:t>
            </w:r>
            <w:r w:rsidR="0015384B">
              <w:rPr>
                <w:bCs/>
                <w:iCs/>
              </w:rPr>
              <w:t xml:space="preserve">informiert. </w:t>
            </w:r>
            <w:r w:rsidR="005B5853">
              <w:rPr>
                <w:bCs/>
                <w:iCs/>
              </w:rPr>
              <w:t>Es sollen 8 Tafeln pro Distrikt angebracht werden.</w:t>
            </w:r>
          </w:p>
        </w:tc>
        <w:tc>
          <w:tcPr>
            <w:tcW w:w="6401" w:type="dxa"/>
            <w:hideMark/>
          </w:tcPr>
          <w:p w14:paraId="1F482FDE" w14:textId="7D0DA35C" w:rsidR="00963792" w:rsidRPr="009868EB" w:rsidRDefault="00963792" w:rsidP="00044607">
            <w:r>
              <w:t>32 Informationstafeln zum Thema Augen- und Ohrengesundheit wurden an Schulen und öffentlichen Plätzen in den vier Projektdistrikten angebracht.</w:t>
            </w:r>
          </w:p>
        </w:tc>
        <w:tc>
          <w:tcPr>
            <w:tcW w:w="5602" w:type="dxa"/>
          </w:tcPr>
          <w:p w14:paraId="3D10ACF7" w14:textId="0F38BFEC" w:rsidR="00963792" w:rsidRPr="009868EB" w:rsidRDefault="00963792" w:rsidP="00044607">
            <w:r>
              <w:t>Die Informationstafeln wurden planmäßig entworfen, konnten jedoch erst im ersten Quartal 2023 vollständig angebracht werden da die Abstimmung mit den lokalen Behörden sich enorm verzögerte.</w:t>
            </w:r>
            <w:r w:rsidR="00CD5DF5">
              <w:t xml:space="preserve"> Die erreichte Zahl an Informationstafeln weicht stark vom Sollwert ab wie er in der Wirkungsmatrix dargestellt wird. Dies liegt daran, dass innerhalb des Antrags eine Diskrepanz zwischen Wirkungsmatrix und narrativer Aktivitätenbeschreibung vorliegt. In dieser ist angegeben, dass 8 Informationstafeln pro Distrikt angebracht werden sollen. Aufgrund des ausreichenden Budgets hat der</w:t>
            </w:r>
            <w:r w:rsidR="009D172A">
              <w:t xml:space="preserve"> lokale Projektträger</w:t>
            </w:r>
            <w:r w:rsidR="00CD5DF5">
              <w:t xml:space="preserve"> sich daran orientiert.</w:t>
            </w:r>
          </w:p>
        </w:tc>
      </w:tr>
      <w:tr w:rsidR="00F3001F" w:rsidRPr="008B21DA" w14:paraId="31B29DC2" w14:textId="77777777" w:rsidTr="00E343C8">
        <w:trPr>
          <w:trHeight w:val="979"/>
        </w:trPr>
        <w:tc>
          <w:tcPr>
            <w:tcW w:w="1555" w:type="dxa"/>
            <w:noWrap/>
            <w:hideMark/>
          </w:tcPr>
          <w:p w14:paraId="693E743C" w14:textId="77777777" w:rsidR="00E66E43" w:rsidRDefault="00E66E43" w:rsidP="00044607">
            <w:r w:rsidRPr="00CE0B16">
              <w:t>A</w:t>
            </w:r>
            <w:r>
              <w:t>.1.1.7/</w:t>
            </w:r>
            <w:r w:rsidR="007D53B4">
              <w:t xml:space="preserve"> </w:t>
            </w:r>
            <w:r>
              <w:t>BL 2.3</w:t>
            </w:r>
          </w:p>
          <w:p w14:paraId="763E1D6F" w14:textId="1BFE1736" w:rsidR="007D53B4" w:rsidRPr="00CE0B16" w:rsidRDefault="007D53B4" w:rsidP="00044607">
            <w:r w:rsidRPr="00044607">
              <w:rPr>
                <w:i/>
                <w:iCs/>
              </w:rPr>
              <w:t>Wettbewerb zu Gesundheitspraktiken</w:t>
            </w:r>
          </w:p>
        </w:tc>
        <w:tc>
          <w:tcPr>
            <w:tcW w:w="3118" w:type="dxa"/>
            <w:noWrap/>
            <w:hideMark/>
          </w:tcPr>
          <w:p w14:paraId="47FC2CE0" w14:textId="7B44E79F" w:rsidR="00E66E43" w:rsidRPr="0051308D" w:rsidRDefault="0051308D" w:rsidP="00044607">
            <w:r w:rsidRPr="002A5989">
              <w:rPr>
                <w:bCs/>
                <w:iCs/>
              </w:rPr>
              <w:t>Um auch spielerisch das Thema Augen- und Ohrengesundheit und notwendige Hygienepraktiken der lokalen Bevölkerung und insbesondere Kindern zu vermitteln, ist die Durchführung eines jährlichen Wettbewerbs vorgesehen.</w:t>
            </w:r>
            <w:r w:rsidR="002A475E">
              <w:rPr>
                <w:bCs/>
                <w:iCs/>
              </w:rPr>
              <w:t xml:space="preserve"> Es sind 4 Wettbewerbe in 4 Jahren </w:t>
            </w:r>
            <w:r w:rsidR="00ED0DA5">
              <w:rPr>
                <w:bCs/>
                <w:iCs/>
              </w:rPr>
              <w:t>vorgesehen (siehe Abweichung).</w:t>
            </w:r>
          </w:p>
        </w:tc>
        <w:tc>
          <w:tcPr>
            <w:tcW w:w="6401" w:type="dxa"/>
            <w:hideMark/>
          </w:tcPr>
          <w:p w14:paraId="30526977" w14:textId="49B56FF6" w:rsidR="00E66E43" w:rsidRPr="009868EB" w:rsidRDefault="00E66E43" w:rsidP="00044607">
            <w:r>
              <w:t>12 Schulwettbewerbe zur Sensibilisierung von Kindern und Jugendlichen zum Thema Augen- und Ohrengesundheit sowie Hygienemaßnahmen</w:t>
            </w:r>
            <w:r w:rsidR="00ED0DA5">
              <w:t xml:space="preserve"> wurden durchgeführt</w:t>
            </w:r>
            <w:r w:rsidR="005872FA">
              <w:t>.</w:t>
            </w:r>
          </w:p>
        </w:tc>
        <w:tc>
          <w:tcPr>
            <w:tcW w:w="5602" w:type="dxa"/>
          </w:tcPr>
          <w:p w14:paraId="1308E5A6" w14:textId="11777AFC" w:rsidR="00E66E43" w:rsidRDefault="00E66E43" w:rsidP="00044607">
            <w:r>
              <w:t>Hier weist der bewilligte Projektantrag ebenfalls eine Diskrepanz zwischen Wirkungsmatrix und Aktivitätenbeschreibung bzw. Budgetberechnung auf. Während die Wirkungsmatrix einen Sollwert von 4 Schulwettbewerben angibt, errechnet sich die Anzahl in der narrativen Aktivitätenbeschreibung aus 4 Schulwettbewerben in den 4 Projektdistrikten</w:t>
            </w:r>
            <w:r w:rsidR="00A84E61">
              <w:t xml:space="preserve"> (siehe bewilligter </w:t>
            </w:r>
            <w:r w:rsidR="00F57994">
              <w:t>Antrag,</w:t>
            </w:r>
            <w:r w:rsidR="00A84E61">
              <w:t xml:space="preserve"> Seite 18).</w:t>
            </w:r>
          </w:p>
          <w:p w14:paraId="1E049AC8" w14:textId="3234762A" w:rsidR="00E66E43" w:rsidRPr="009868EB" w:rsidRDefault="009228E6" w:rsidP="00044607">
            <w:r>
              <w:rPr>
                <w:noProof/>
              </w:rPr>
              <mc:AlternateContent>
                <mc:Choice Requires="wps">
                  <w:drawing>
                    <wp:anchor distT="0" distB="0" distL="114300" distR="114300" simplePos="0" relativeHeight="251674625" behindDoc="0" locked="0" layoutInCell="1" allowOverlap="1" wp14:anchorId="4CD37916" wp14:editId="5A1D30CD">
                      <wp:simplePos x="0" y="0"/>
                      <wp:positionH relativeFrom="column">
                        <wp:posOffset>1995170</wp:posOffset>
                      </wp:positionH>
                      <wp:positionV relativeFrom="paragraph">
                        <wp:posOffset>642620</wp:posOffset>
                      </wp:positionV>
                      <wp:extent cx="107950" cy="45719"/>
                      <wp:effectExtent l="57150" t="38100" r="63500" b="107315"/>
                      <wp:wrapNone/>
                      <wp:docPr id="1293843654" name="Pfeil: nach rechts 2"/>
                      <wp:cNvGraphicFramePr/>
                      <a:graphic xmlns:a="http://schemas.openxmlformats.org/drawingml/2006/main">
                        <a:graphicData uri="http://schemas.microsoft.com/office/word/2010/wordprocessingShape">
                          <wps:wsp>
                            <wps:cNvSpPr/>
                            <wps:spPr>
                              <a:xfrm>
                                <a:off x="0" y="0"/>
                                <a:ext cx="107950" cy="45719"/>
                              </a:xfrm>
                              <a:prstGeom prst="rightArrow">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CE9B4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2" o:spid="_x0000_s1026" type="#_x0000_t13" style="position:absolute;margin-left:157.1pt;margin-top:50.6pt;width:8.5pt;height:3.6pt;z-index:25167462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" adj="17026" fillcolor="#9a4906 [1641]" strokecolor="#f68c36 [3049]">
                      <v:fill color2="#f68a32 [3017]" rotate="t" angle="180" colors="0 #cb6c1d;52429f #ff8f2a;1 #ff8f26" focus="100%" type="gradient">
                        <o:fill v:ext="view" type="gradientUnscaled"/>
                      </v:fill>
                      <v:shadow on="t" color="black" opacity="22937f" origin=",.5" offset="0,.63889mm"/>
                    </v:shape>
                  </w:pict>
                </mc:Fallback>
              </mc:AlternateContent>
            </w:r>
            <w:r>
              <w:rPr>
                <w:noProof/>
              </w:rPr>
              <w:drawing>
                <wp:anchor distT="0" distB="0" distL="114300" distR="114300" simplePos="0" relativeHeight="251659265" behindDoc="0" locked="0" layoutInCell="1" allowOverlap="1" wp14:anchorId="0B4DB281" wp14:editId="442A40DE">
                  <wp:simplePos x="0" y="0"/>
                  <wp:positionH relativeFrom="column">
                    <wp:posOffset>23495</wp:posOffset>
                  </wp:positionH>
                  <wp:positionV relativeFrom="paragraph">
                    <wp:posOffset>527050</wp:posOffset>
                  </wp:positionV>
                  <wp:extent cx="2790825" cy="367665"/>
                  <wp:effectExtent l="0" t="0" r="0" b="0"/>
                  <wp:wrapThrough wrapText="bothSides">
                    <wp:wrapPolygon edited="0">
                      <wp:start x="0" y="0"/>
                      <wp:lineTo x="0" y="20145"/>
                      <wp:lineTo x="21379" y="20145"/>
                      <wp:lineTo x="21379" y="0"/>
                      <wp:lineTo x="0" y="0"/>
                    </wp:wrapPolygon>
                  </wp:wrapThrough>
                  <wp:docPr id="166403934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039340" name=""/>
                          <pic:cNvPicPr/>
                        </pic:nvPicPr>
                        <pic:blipFill>
                          <a:blip r:embed="rId15">
                            <a:extLst>
                              <a:ext uri="{28A0092B-C50C-407E-A947-70E740481C1C}">
                                <a14:useLocalDpi xmlns:a14="http://schemas.microsoft.com/office/drawing/2010/main" val="0"/>
                              </a:ext>
                            </a:extLst>
                          </a:blip>
                          <a:stretch>
                            <a:fillRect/>
                          </a:stretch>
                        </pic:blipFill>
                        <pic:spPr>
                          <a:xfrm>
                            <a:off x="0" y="0"/>
                            <a:ext cx="2790825" cy="367665"/>
                          </a:xfrm>
                          <a:prstGeom prst="rect">
                            <a:avLst/>
                          </a:prstGeom>
                        </pic:spPr>
                      </pic:pic>
                    </a:graphicData>
                  </a:graphic>
                  <wp14:sizeRelH relativeFrom="margin">
                    <wp14:pctWidth>0</wp14:pctWidth>
                  </wp14:sizeRelH>
                  <wp14:sizeRelV relativeFrom="margin">
                    <wp14:pctHeight>0</wp14:pctHeight>
                  </wp14:sizeRelV>
                </wp:anchor>
              </w:drawing>
            </w:r>
            <w:r w:rsidR="00A84E61">
              <w:t>Der angenommene Sollwert von 16 Schulwettbewerben konnte nicht vollständig erreicht werden da im ersten Projektjahr aufgrund der Corona-Pandemie Schulen vollständig geschlossen waren.</w:t>
            </w:r>
          </w:p>
        </w:tc>
      </w:tr>
      <w:tr w:rsidR="00F3001F" w:rsidRPr="008B21DA" w14:paraId="7F0258DD" w14:textId="77777777" w:rsidTr="00E343C8">
        <w:trPr>
          <w:trHeight w:val="1306"/>
        </w:trPr>
        <w:tc>
          <w:tcPr>
            <w:tcW w:w="1555" w:type="dxa"/>
            <w:noWrap/>
            <w:hideMark/>
          </w:tcPr>
          <w:p w14:paraId="02D6AA60" w14:textId="77777777" w:rsidR="006746F1" w:rsidRDefault="006746F1" w:rsidP="00044607">
            <w:r w:rsidRPr="00CE0B16">
              <w:t>A</w:t>
            </w:r>
            <w:r>
              <w:t>.1.2.1/</w:t>
            </w:r>
            <w:r w:rsidR="007D53B4">
              <w:t xml:space="preserve"> </w:t>
            </w:r>
            <w:r>
              <w:t>BL 2.2</w:t>
            </w:r>
          </w:p>
          <w:p w14:paraId="2C5AF0AC" w14:textId="0052D8E1" w:rsidR="007D53B4" w:rsidRPr="00CE0B16" w:rsidRDefault="007D53B4" w:rsidP="00044607">
            <w:r w:rsidRPr="00044607">
              <w:rPr>
                <w:i/>
                <w:iCs/>
                <w:lang w:val="en-GB"/>
              </w:rPr>
              <w:t xml:space="preserve">Training </w:t>
            </w:r>
            <w:proofErr w:type="spellStart"/>
            <w:r w:rsidRPr="00044607">
              <w:rPr>
                <w:i/>
                <w:iCs/>
                <w:lang w:val="en-GB"/>
              </w:rPr>
              <w:t>Gemeindekoordinatoren</w:t>
            </w:r>
            <w:proofErr w:type="spellEnd"/>
          </w:p>
        </w:tc>
        <w:tc>
          <w:tcPr>
            <w:tcW w:w="3118" w:type="dxa"/>
            <w:noWrap/>
            <w:hideMark/>
          </w:tcPr>
          <w:p w14:paraId="37CFBE1E" w14:textId="7D8EFFD8" w:rsidR="006746F1" w:rsidRPr="00DC64AC" w:rsidRDefault="00DC64AC" w:rsidP="00044607">
            <w:pPr>
              <w:rPr>
                <w:lang w:val="en-GB"/>
              </w:rPr>
            </w:pPr>
            <w:r w:rsidRPr="00DC64AC">
              <w:t xml:space="preserve">Für die Maßnahmen in den Gemeinden werden pro Distrikt 2 Gemeindekoordinatoren und insgesamt 8 Gemeindekoordinatoren eingesetzt. Ihre Aufgabe wird die Mobilisierung der Gemeinden, die Aufklärung und Überweisung sowie Zusammenarbeit mit der Projektkoordination und den involvierten Gesundheitseinrichtungen, auf Basis-, Sekundär- und auch Tertiär-Ebene, sein. </w:t>
            </w:r>
            <w:proofErr w:type="spellStart"/>
            <w:r w:rsidRPr="00DC64AC">
              <w:rPr>
                <w:lang w:val="en-GB"/>
              </w:rPr>
              <w:t>Hierfür</w:t>
            </w:r>
            <w:proofErr w:type="spellEnd"/>
            <w:r w:rsidRPr="00DC64AC">
              <w:rPr>
                <w:lang w:val="en-GB"/>
              </w:rPr>
              <w:t xml:space="preserve"> </w:t>
            </w:r>
            <w:proofErr w:type="spellStart"/>
            <w:r w:rsidRPr="00DC64AC">
              <w:rPr>
                <w:lang w:val="en-GB"/>
              </w:rPr>
              <w:t>erhalten</w:t>
            </w:r>
            <w:proofErr w:type="spellEnd"/>
            <w:r w:rsidRPr="00DC64AC">
              <w:rPr>
                <w:lang w:val="en-GB"/>
              </w:rPr>
              <w:t xml:space="preserve"> </w:t>
            </w:r>
            <w:proofErr w:type="spellStart"/>
            <w:r w:rsidRPr="00DC64AC">
              <w:rPr>
                <w:lang w:val="en-GB"/>
              </w:rPr>
              <w:t>sie</w:t>
            </w:r>
            <w:proofErr w:type="spellEnd"/>
            <w:r w:rsidRPr="00DC64AC">
              <w:rPr>
                <w:lang w:val="en-GB"/>
              </w:rPr>
              <w:t xml:space="preserve"> </w:t>
            </w:r>
            <w:proofErr w:type="spellStart"/>
            <w:r w:rsidRPr="00DC64AC">
              <w:rPr>
                <w:lang w:val="en-GB"/>
              </w:rPr>
              <w:t>eine</w:t>
            </w:r>
            <w:proofErr w:type="spellEnd"/>
            <w:r w:rsidRPr="00DC64AC">
              <w:rPr>
                <w:lang w:val="en-GB"/>
              </w:rPr>
              <w:t xml:space="preserve"> </w:t>
            </w:r>
            <w:proofErr w:type="spellStart"/>
            <w:r w:rsidRPr="00DC64AC">
              <w:rPr>
                <w:lang w:val="en-GB"/>
              </w:rPr>
              <w:t>Fortbildung</w:t>
            </w:r>
            <w:proofErr w:type="spellEnd"/>
            <w:r w:rsidRPr="00DC64AC">
              <w:rPr>
                <w:lang w:val="en-GB"/>
              </w:rPr>
              <w:t>.</w:t>
            </w:r>
          </w:p>
        </w:tc>
        <w:tc>
          <w:tcPr>
            <w:tcW w:w="6401" w:type="dxa"/>
            <w:hideMark/>
          </w:tcPr>
          <w:p w14:paraId="37BD5140" w14:textId="62CC143D" w:rsidR="006746F1" w:rsidRPr="00770DEA" w:rsidRDefault="006746F1" w:rsidP="00044607">
            <w:r w:rsidRPr="006746F1">
              <w:t xml:space="preserve">In </w:t>
            </w:r>
            <w:proofErr w:type="spellStart"/>
            <w:r>
              <w:t>Birendranagar</w:t>
            </w:r>
            <w:proofErr w:type="spellEnd"/>
            <w:r>
              <w:t>/</w:t>
            </w:r>
            <w:proofErr w:type="spellStart"/>
            <w:r>
              <w:t>Surkhet</w:t>
            </w:r>
            <w:proofErr w:type="spellEnd"/>
            <w:r>
              <w:t xml:space="preserve"> wurden 8 </w:t>
            </w:r>
            <w:proofErr w:type="spellStart"/>
            <w:r>
              <w:t>GemeindekoordinatorInnen</w:t>
            </w:r>
            <w:proofErr w:type="spellEnd"/>
            <w:r>
              <w:t xml:space="preserve"> aus den vier Projektdistrikten zu den Themen Augen- und Ohrengesundheit weitergebildet.</w:t>
            </w:r>
          </w:p>
        </w:tc>
        <w:tc>
          <w:tcPr>
            <w:tcW w:w="5602" w:type="dxa"/>
          </w:tcPr>
          <w:p w14:paraId="3EF603F3" w14:textId="304B7AA7" w:rsidR="006746F1" w:rsidRPr="009868EB" w:rsidRDefault="006746F1" w:rsidP="00044607">
            <w:r>
              <w:t xml:space="preserve">Im Jahr 2021 wurden die 8 ausgewählten </w:t>
            </w:r>
            <w:proofErr w:type="spellStart"/>
            <w:r>
              <w:t>GemeindekoordinatorInnen</w:t>
            </w:r>
            <w:proofErr w:type="spellEnd"/>
            <w:r>
              <w:t xml:space="preserve"> (6 Frauen, 2 Männer) in einem mehrtägigeren Workshop weitergebildet. Im Jahr 2022 wurde ein Nachschulung der </w:t>
            </w:r>
            <w:proofErr w:type="spellStart"/>
            <w:r>
              <w:t>GemeindekoordinatorInnen</w:t>
            </w:r>
            <w:proofErr w:type="spellEnd"/>
            <w:r>
              <w:t xml:space="preserve"> durchgeführt.</w:t>
            </w:r>
          </w:p>
        </w:tc>
      </w:tr>
      <w:tr w:rsidR="00F3001F" w:rsidRPr="008B21DA" w14:paraId="2BCA9D53" w14:textId="77777777" w:rsidTr="00E343C8">
        <w:trPr>
          <w:trHeight w:val="326"/>
        </w:trPr>
        <w:tc>
          <w:tcPr>
            <w:tcW w:w="1555" w:type="dxa"/>
            <w:noWrap/>
            <w:hideMark/>
          </w:tcPr>
          <w:p w14:paraId="0E873546" w14:textId="77777777" w:rsidR="006746F1" w:rsidRPr="00DB06B5" w:rsidRDefault="006746F1" w:rsidP="00044607">
            <w:pPr>
              <w:rPr>
                <w:lang w:val="en-GB"/>
              </w:rPr>
            </w:pPr>
            <w:r w:rsidRPr="00DB06B5">
              <w:rPr>
                <w:lang w:val="en-GB"/>
              </w:rPr>
              <w:t>A.1.2.2/</w:t>
            </w:r>
            <w:r w:rsidR="00DB06B5" w:rsidRPr="00DB06B5">
              <w:rPr>
                <w:lang w:val="en-GB"/>
              </w:rPr>
              <w:t xml:space="preserve"> </w:t>
            </w:r>
            <w:r w:rsidRPr="00DB06B5">
              <w:rPr>
                <w:lang w:val="en-GB"/>
              </w:rPr>
              <w:t>BL 2.2</w:t>
            </w:r>
          </w:p>
          <w:p w14:paraId="18182374" w14:textId="74136EC1" w:rsidR="00DB06B5" w:rsidRPr="00DB06B5" w:rsidRDefault="00DB06B5" w:rsidP="00044607">
            <w:pPr>
              <w:rPr>
                <w:lang w:val="en-GB"/>
              </w:rPr>
            </w:pPr>
            <w:proofErr w:type="spellStart"/>
            <w:r w:rsidRPr="00044607">
              <w:rPr>
                <w:i/>
                <w:iCs/>
                <w:lang w:val="en-GB"/>
              </w:rPr>
              <w:t>Fortbildung</w:t>
            </w:r>
            <w:proofErr w:type="spellEnd"/>
            <w:r w:rsidRPr="00044607">
              <w:rPr>
                <w:i/>
                <w:iCs/>
                <w:lang w:val="en-GB"/>
              </w:rPr>
              <w:t xml:space="preserve"> von Female Community Health Volunteers (</w:t>
            </w:r>
            <w:proofErr w:type="spellStart"/>
            <w:r w:rsidRPr="00044607">
              <w:rPr>
                <w:i/>
                <w:iCs/>
                <w:lang w:val="en-GB"/>
              </w:rPr>
              <w:t>FCHV</w:t>
            </w:r>
            <w:proofErr w:type="spellEnd"/>
            <w:r w:rsidRPr="00044607">
              <w:rPr>
                <w:i/>
                <w:iCs/>
                <w:lang w:val="en-GB"/>
              </w:rPr>
              <w:t>)</w:t>
            </w:r>
          </w:p>
        </w:tc>
        <w:tc>
          <w:tcPr>
            <w:tcW w:w="3118" w:type="dxa"/>
            <w:noWrap/>
            <w:hideMark/>
          </w:tcPr>
          <w:p w14:paraId="7114D4B5" w14:textId="524B8BA9" w:rsidR="006746F1" w:rsidRPr="00B04372" w:rsidRDefault="003E6C8D" w:rsidP="00044607">
            <w:r w:rsidRPr="00B04372">
              <w:t xml:space="preserve">Es </w:t>
            </w:r>
            <w:r w:rsidR="00B04372">
              <w:t>werden</w:t>
            </w:r>
            <w:r w:rsidRPr="00B04372">
              <w:t xml:space="preserve"> insgesamt 20 </w:t>
            </w:r>
            <w:proofErr w:type="spellStart"/>
            <w:r w:rsidRPr="00B04372">
              <w:t>FCHVs</w:t>
            </w:r>
            <w:proofErr w:type="spellEnd"/>
            <w:r w:rsidRPr="00B04372">
              <w:t xml:space="preserve"> aus den 16 Gemeinden</w:t>
            </w:r>
            <w:r w:rsidR="00B04372">
              <w:t xml:space="preserve"> eine</w:t>
            </w:r>
            <w:r w:rsidRPr="00B04372">
              <w:t xml:space="preserve"> Schulung</w:t>
            </w:r>
            <w:r w:rsidR="00B04372">
              <w:t xml:space="preserve"> zu den Themen </w:t>
            </w:r>
            <w:r w:rsidRPr="00B04372">
              <w:t>Augen- und Ohrenerkrankungen, Prävention und Behandlungsmöglichkeiten</w:t>
            </w:r>
            <w:r w:rsidR="00B04372">
              <w:t xml:space="preserve"> erhalten</w:t>
            </w:r>
            <w:r w:rsidR="007A2DFC">
              <w:t>.</w:t>
            </w:r>
          </w:p>
        </w:tc>
        <w:tc>
          <w:tcPr>
            <w:tcW w:w="6401" w:type="dxa"/>
            <w:noWrap/>
            <w:hideMark/>
          </w:tcPr>
          <w:p w14:paraId="47310D1A" w14:textId="53C8DFAB" w:rsidR="006746F1" w:rsidRPr="009868EB" w:rsidRDefault="006565A6" w:rsidP="00044607">
            <w:r>
              <w:t>329 Freiwillige</w:t>
            </w:r>
            <w:r w:rsidRPr="002A5989">
              <w:rPr>
                <w:bCs/>
                <w:iCs/>
              </w:rPr>
              <w:t xml:space="preserve"> für die Aufklärung von Frauen über reproduktive Gesundheit, Verhütung und Vermittlung von grundlegenden Gesundheits- und Hygienepraktiken</w:t>
            </w:r>
            <w:r>
              <w:rPr>
                <w:bCs/>
                <w:iCs/>
              </w:rPr>
              <w:t xml:space="preserve"> wurden im Bereich </w:t>
            </w:r>
            <w:r w:rsidRPr="002A5989">
              <w:rPr>
                <w:bCs/>
                <w:iCs/>
              </w:rPr>
              <w:t>Augen- und Ohrenerkrankungen, Prävention und Behandlungsmöglichkeiten</w:t>
            </w:r>
            <w:r>
              <w:rPr>
                <w:bCs/>
                <w:iCs/>
              </w:rPr>
              <w:t xml:space="preserve"> weitergebildet.</w:t>
            </w:r>
          </w:p>
        </w:tc>
        <w:tc>
          <w:tcPr>
            <w:tcW w:w="5602" w:type="dxa"/>
          </w:tcPr>
          <w:p w14:paraId="6B77955D" w14:textId="00664941" w:rsidR="006746F1" w:rsidRDefault="00961DD5" w:rsidP="00044607">
            <w:r>
              <w:rPr>
                <w:noProof/>
              </w:rPr>
              <mc:AlternateContent>
                <mc:Choice Requires="wps">
                  <w:drawing>
                    <wp:anchor distT="0" distB="0" distL="114300" distR="114300" simplePos="0" relativeHeight="251672577" behindDoc="0" locked="0" layoutInCell="1" allowOverlap="1" wp14:anchorId="5CBD5D3B" wp14:editId="6F14EE85">
                      <wp:simplePos x="0" y="0"/>
                      <wp:positionH relativeFrom="column">
                        <wp:posOffset>2312670</wp:posOffset>
                      </wp:positionH>
                      <wp:positionV relativeFrom="paragraph">
                        <wp:posOffset>632460</wp:posOffset>
                      </wp:positionV>
                      <wp:extent cx="107950" cy="45719"/>
                      <wp:effectExtent l="57150" t="38100" r="63500" b="107315"/>
                      <wp:wrapNone/>
                      <wp:docPr id="741252701" name="Pfeil: nach rechts 2"/>
                      <wp:cNvGraphicFramePr/>
                      <a:graphic xmlns:a="http://schemas.openxmlformats.org/drawingml/2006/main">
                        <a:graphicData uri="http://schemas.microsoft.com/office/word/2010/wordprocessingShape">
                          <wps:wsp>
                            <wps:cNvSpPr/>
                            <wps:spPr>
                              <a:xfrm>
                                <a:off x="0" y="0"/>
                                <a:ext cx="107950" cy="45719"/>
                              </a:xfrm>
                              <a:prstGeom prst="rightArrow">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7F2E26" id="Pfeil: nach rechts 2" o:spid="_x0000_s1026" type="#_x0000_t13" style="position:absolute;margin-left:182.1pt;margin-top:49.8pt;width:8.5pt;height:3.6pt;z-index:25167257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" adj="17026" fillcolor="#9a4906 [1641]" strokecolor="#f68c36 [3049]">
                      <v:fill color2="#f68a32 [3017]" rotate="t" angle="180" colors="0 #cb6c1d;52429f #ff8f2a;1 #ff8f26" focus="100%" type="gradient">
                        <o:fill v:ext="view" type="gradientUnscaled"/>
                      </v:fill>
                      <v:shadow on="t" color="black" opacity="22937f" origin=",.5" offset="0,.63889mm"/>
                    </v:shape>
                  </w:pict>
                </mc:Fallback>
              </mc:AlternateContent>
            </w:r>
            <w:r w:rsidR="00FD2F8A">
              <w:t xml:space="preserve">Bei dieser Aktivität kam es erneut zu einer Ungenauigkeit zwischen der Wirkungsmatrix und der Berechnung der Aktivität in der narrativen Beschreibung. </w:t>
            </w:r>
          </w:p>
          <w:p w14:paraId="6921BEE6" w14:textId="5F112BD9" w:rsidR="00FD2F8A" w:rsidRDefault="007A2DFC" w:rsidP="00044607">
            <w:r w:rsidRPr="002A5989">
              <w:rPr>
                <w:noProof/>
              </w:rPr>
              <w:drawing>
                <wp:anchor distT="0" distB="0" distL="114300" distR="114300" simplePos="0" relativeHeight="251660289" behindDoc="1" locked="0" layoutInCell="1" allowOverlap="1" wp14:anchorId="076D6289" wp14:editId="56361AF3">
                  <wp:simplePos x="0" y="0"/>
                  <wp:positionH relativeFrom="column">
                    <wp:posOffset>27134</wp:posOffset>
                  </wp:positionH>
                  <wp:positionV relativeFrom="paragraph">
                    <wp:posOffset>23523</wp:posOffset>
                  </wp:positionV>
                  <wp:extent cx="3105150" cy="510540"/>
                  <wp:effectExtent l="0" t="0" r="0" b="3810"/>
                  <wp:wrapTight wrapText="bothSides">
                    <wp:wrapPolygon edited="0">
                      <wp:start x="0" y="0"/>
                      <wp:lineTo x="0" y="20955"/>
                      <wp:lineTo x="17890" y="20955"/>
                      <wp:lineTo x="21467" y="20149"/>
                      <wp:lineTo x="21467" y="0"/>
                      <wp:lineTo x="0" y="0"/>
                    </wp:wrapPolygon>
                  </wp:wrapTight>
                  <wp:docPr id="19004314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5150" cy="5105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723435" w14:textId="77882E73" w:rsidR="00FD2F8A" w:rsidRDefault="00FD2F8A" w:rsidP="00044607">
            <w:r>
              <w:t xml:space="preserve">Der </w:t>
            </w:r>
            <w:r w:rsidR="009D172A">
              <w:t>lokale Projektträger</w:t>
            </w:r>
            <w:r>
              <w:t xml:space="preserve"> ging hier von 16, eintägigen Schulungen mit jeweils 20 Teilnehmerinnen aus. Dies entspricht auch der Zahl der </w:t>
            </w:r>
            <w:r w:rsidR="007A2DFC">
              <w:t>Auszubildenden</w:t>
            </w:r>
            <w:r>
              <w:t xml:space="preserve"> Traditionellen Heiler, die in der folgenden Aktivität identisch berechnet wurde. Möglicherweise wurde in der Wirkungsmatrix die Zahl 3 vor der den 20 </w:t>
            </w:r>
            <w:proofErr w:type="spellStart"/>
            <w:r>
              <w:t>FCHV</w:t>
            </w:r>
            <w:proofErr w:type="spellEnd"/>
            <w:r>
              <w:t xml:space="preserve"> vergessen (20 anstelle von 320 </w:t>
            </w:r>
            <w:proofErr w:type="spellStart"/>
            <w:r>
              <w:t>FCHV</w:t>
            </w:r>
            <w:proofErr w:type="spellEnd"/>
            <w:r>
              <w:t>).</w:t>
            </w:r>
          </w:p>
          <w:p w14:paraId="7A846029" w14:textId="278FDED5" w:rsidR="00FD2F8A" w:rsidRDefault="00FD2F8A" w:rsidP="00044607">
            <w:r>
              <w:t xml:space="preserve">Da das veranschlagte Budget ausreichend für die Schulung von 320 </w:t>
            </w:r>
            <w:proofErr w:type="spellStart"/>
            <w:r>
              <w:t>FCHV</w:t>
            </w:r>
            <w:proofErr w:type="spellEnd"/>
            <w:r>
              <w:t xml:space="preserve"> war, hat der </w:t>
            </w:r>
            <w:r w:rsidR="009D172A">
              <w:t>lokale Projektträger</w:t>
            </w:r>
            <w:r>
              <w:t xml:space="preserve"> sich daran orientiert.</w:t>
            </w:r>
          </w:p>
          <w:p w14:paraId="3DE24054" w14:textId="1A499AA0" w:rsidR="00FD2F8A" w:rsidRPr="009868EB" w:rsidRDefault="00FD2F8A" w:rsidP="00044607"/>
        </w:tc>
      </w:tr>
      <w:tr w:rsidR="00F3001F" w:rsidRPr="008B21DA" w14:paraId="269889E7" w14:textId="77777777" w:rsidTr="00E343C8">
        <w:trPr>
          <w:trHeight w:val="20"/>
        </w:trPr>
        <w:tc>
          <w:tcPr>
            <w:tcW w:w="1555" w:type="dxa"/>
            <w:noWrap/>
            <w:hideMark/>
          </w:tcPr>
          <w:p w14:paraId="74AB553C" w14:textId="77777777" w:rsidR="006565A6" w:rsidRDefault="006565A6" w:rsidP="00044607">
            <w:r w:rsidRPr="00CE0B16">
              <w:t>A</w:t>
            </w:r>
            <w:r>
              <w:t>.1.2.3/</w:t>
            </w:r>
            <w:r w:rsidR="00DB06B5">
              <w:t xml:space="preserve"> </w:t>
            </w:r>
            <w:r>
              <w:t>BL 2.2</w:t>
            </w:r>
          </w:p>
          <w:p w14:paraId="17024595" w14:textId="6BF1E704" w:rsidR="00DB06B5" w:rsidRPr="00CE0B16" w:rsidRDefault="00DB06B5" w:rsidP="00044607">
            <w:r w:rsidRPr="00DB06B5">
              <w:rPr>
                <w:i/>
                <w:iCs/>
              </w:rPr>
              <w:t>Fortbildung der traditionellen Heiler</w:t>
            </w:r>
          </w:p>
        </w:tc>
        <w:tc>
          <w:tcPr>
            <w:tcW w:w="3118" w:type="dxa"/>
            <w:noWrap/>
            <w:hideMark/>
          </w:tcPr>
          <w:p w14:paraId="4D342318" w14:textId="7FAE70B3" w:rsidR="006565A6" w:rsidRPr="00214B26" w:rsidRDefault="00004AD8" w:rsidP="00044607">
            <w:r w:rsidRPr="00004AD8">
              <w:t xml:space="preserve">Es ist vorgesehen, pro Jahr 20 Heiler pro Distrikt und 320 Heiler insgesamt in einer 1-tätigen Orientierung fortzubilden. </w:t>
            </w:r>
            <w:r>
              <w:t>F</w:t>
            </w:r>
            <w:r w:rsidRPr="00004AD8">
              <w:t xml:space="preserve">ür diese Schulungen wird das Schulungskonzept “Community </w:t>
            </w:r>
            <w:proofErr w:type="spellStart"/>
            <w:r w:rsidRPr="00004AD8">
              <w:t>Mobilization</w:t>
            </w:r>
            <w:proofErr w:type="spellEnd"/>
            <w:r w:rsidRPr="00004AD8">
              <w:t xml:space="preserve"> on Eye and </w:t>
            </w:r>
            <w:proofErr w:type="spellStart"/>
            <w:r w:rsidRPr="00004AD8">
              <w:t>Ear</w:t>
            </w:r>
            <w:proofErr w:type="spellEnd"/>
            <w:r w:rsidRPr="00004AD8">
              <w:t xml:space="preserve"> Care” verwendet.</w:t>
            </w:r>
          </w:p>
        </w:tc>
        <w:tc>
          <w:tcPr>
            <w:tcW w:w="6401" w:type="dxa"/>
            <w:noWrap/>
            <w:hideMark/>
          </w:tcPr>
          <w:p w14:paraId="643331DF" w14:textId="7BA5CD88" w:rsidR="006565A6" w:rsidRPr="009868EB" w:rsidRDefault="006565A6" w:rsidP="00044607">
            <w:r>
              <w:t>339 traditionelle Heiler wurden im Bereich Augen- und Ohrengesundheit weitergebildet</w:t>
            </w:r>
            <w:r w:rsidR="00487CAE">
              <w:t>.</w:t>
            </w:r>
          </w:p>
        </w:tc>
        <w:tc>
          <w:tcPr>
            <w:tcW w:w="5602" w:type="dxa"/>
          </w:tcPr>
          <w:p w14:paraId="64E7AB03" w14:textId="4596AF77" w:rsidR="006565A6" w:rsidRPr="009868EB" w:rsidRDefault="00487CAE" w:rsidP="00044607">
            <w:r>
              <w:t xml:space="preserve">Über die Projektlaufzeit hinweg wurden in mehreren Trainings 339 Traditionelle Heiler weitergebildet. Die Zahl liegt etwas über dem </w:t>
            </w:r>
            <w:r w:rsidRPr="00DC7236">
              <w:t>Sollwert, da der Bedarf und die Nachfrage höher ausfiel als erwartet.</w:t>
            </w:r>
            <w:r w:rsidR="007F341C">
              <w:t xml:space="preserve"> Die Maßnahme konnte </w:t>
            </w:r>
            <w:r w:rsidR="007D350D">
              <w:t xml:space="preserve">dennoch </w:t>
            </w:r>
            <w:r w:rsidR="007F341C">
              <w:t xml:space="preserve">kostenneutral umgesetzt werden. </w:t>
            </w:r>
          </w:p>
        </w:tc>
      </w:tr>
      <w:tr w:rsidR="00F3001F" w:rsidRPr="008B21DA" w14:paraId="537C1024" w14:textId="77777777" w:rsidTr="00E343C8">
        <w:trPr>
          <w:trHeight w:val="653"/>
        </w:trPr>
        <w:tc>
          <w:tcPr>
            <w:tcW w:w="1555" w:type="dxa"/>
            <w:noWrap/>
            <w:hideMark/>
          </w:tcPr>
          <w:p w14:paraId="53E8FE6E" w14:textId="77777777" w:rsidR="00487CAE" w:rsidRDefault="00487CAE" w:rsidP="00044607">
            <w:r w:rsidRPr="00CE0B16">
              <w:t>A</w:t>
            </w:r>
            <w:r>
              <w:t>.1.2.4/</w:t>
            </w:r>
            <w:r w:rsidR="00DB06B5">
              <w:t xml:space="preserve"> </w:t>
            </w:r>
            <w:r>
              <w:t>BL 2.2</w:t>
            </w:r>
          </w:p>
          <w:p w14:paraId="44EF2767" w14:textId="2C75B726" w:rsidR="00DB06B5" w:rsidRPr="00CE0B16" w:rsidRDefault="00DB06B5" w:rsidP="00044607">
            <w:r w:rsidRPr="00044607">
              <w:rPr>
                <w:i/>
                <w:iCs/>
              </w:rPr>
              <w:t>Fortbildung von Eltern zu Augen- und Ohrengesundheit</w:t>
            </w:r>
          </w:p>
        </w:tc>
        <w:tc>
          <w:tcPr>
            <w:tcW w:w="3118" w:type="dxa"/>
            <w:noWrap/>
            <w:hideMark/>
          </w:tcPr>
          <w:p w14:paraId="440818B9" w14:textId="77777777" w:rsidR="00487CAE" w:rsidRDefault="00E25E6E" w:rsidP="00044607">
            <w:r w:rsidRPr="00E25E6E">
              <w:t>Die Eltern der Kinder, deren Seh- oder Hörbehinderung in den Screenings identifiziert wurde, sollen eine Schulung zum Umgang und zur Förderung ihrer Kinder erhalten. Neben dem Wissen zu Rehabilitation von Augen- und Ohrenerkrankungen, werden sie über Hygienepraktiken und gesunder Ernährung aufgeklärt.</w:t>
            </w:r>
          </w:p>
          <w:p w14:paraId="25C77502" w14:textId="2E0F28D6" w:rsidR="003A2527" w:rsidRPr="00E25E6E" w:rsidRDefault="00C132F6" w:rsidP="00044607">
            <w:r w:rsidRPr="002A5989">
              <w:rPr>
                <w:bCs/>
                <w:iCs/>
              </w:rPr>
              <w:t>Pro 1-tägiger Fortbildung nehmen 20 Elternteile und insgesamt 80 teil. Für insgesamt 4 Veranstaltungen in 4 Jahren</w:t>
            </w:r>
            <w:r>
              <w:rPr>
                <w:bCs/>
                <w:iCs/>
              </w:rPr>
              <w:t>.</w:t>
            </w:r>
          </w:p>
        </w:tc>
        <w:tc>
          <w:tcPr>
            <w:tcW w:w="6401" w:type="dxa"/>
            <w:noWrap/>
            <w:hideMark/>
          </w:tcPr>
          <w:p w14:paraId="6FE0985A" w14:textId="51EB6AEF" w:rsidR="00487CAE" w:rsidRPr="00487CAE" w:rsidRDefault="00487CAE" w:rsidP="00044607">
            <w:r w:rsidRPr="00487CAE">
              <w:t>395 Eltern wurden zu den Th</w:t>
            </w:r>
            <w:r>
              <w:t xml:space="preserve">emen </w:t>
            </w:r>
            <w:proofErr w:type="spellStart"/>
            <w:r>
              <w:t>Augen-und</w:t>
            </w:r>
            <w:proofErr w:type="spellEnd"/>
            <w:r>
              <w:t xml:space="preserve"> Ohrengesundheit weitergebildet</w:t>
            </w:r>
          </w:p>
        </w:tc>
        <w:tc>
          <w:tcPr>
            <w:tcW w:w="5602" w:type="dxa"/>
          </w:tcPr>
          <w:p w14:paraId="26440909" w14:textId="1016F0FF" w:rsidR="00487CAE" w:rsidRDefault="00487CAE" w:rsidP="00044607">
            <w:r>
              <w:t xml:space="preserve">Auch bei dieser Aktivität kam es zu einem Rechenfehler in der Wirkungsmatrix. Im narrativen Teil des Antrags wird dargelegt, </w:t>
            </w:r>
            <w:r w:rsidR="009B0EA4">
              <w:t>dass</w:t>
            </w:r>
            <w:r>
              <w:t xml:space="preserve"> 80 Eltern pro Veranstaltung</w:t>
            </w:r>
            <w:r w:rsidR="009B0EA4">
              <w:t xml:space="preserve">, an vier Veranstaltungen in 4 </w:t>
            </w:r>
            <w:r w:rsidR="00DF01C2">
              <w:t>Jahren</w:t>
            </w:r>
            <w:r>
              <w:t xml:space="preserve"> teilnehmen sollen</w:t>
            </w:r>
            <w:r w:rsidR="009B0EA4">
              <w:t xml:space="preserve">. </w:t>
            </w:r>
            <w:r w:rsidR="00DF01C2">
              <w:t>Auch das dargestellte Budget entspricht dieser Rechnung:</w:t>
            </w:r>
          </w:p>
          <w:p w14:paraId="1A65B5ED" w14:textId="5B2817DD" w:rsidR="00DF01C2" w:rsidRDefault="009228E6" w:rsidP="00044607">
            <w:r>
              <w:rPr>
                <w:noProof/>
              </w:rPr>
              <mc:AlternateContent>
                <mc:Choice Requires="wps">
                  <w:drawing>
                    <wp:anchor distT="0" distB="0" distL="114300" distR="114300" simplePos="0" relativeHeight="251676673" behindDoc="0" locked="0" layoutInCell="1" allowOverlap="1" wp14:anchorId="14C85571" wp14:editId="6E67E653">
                      <wp:simplePos x="0" y="0"/>
                      <wp:positionH relativeFrom="column">
                        <wp:posOffset>2566670</wp:posOffset>
                      </wp:positionH>
                      <wp:positionV relativeFrom="paragraph">
                        <wp:posOffset>119380</wp:posOffset>
                      </wp:positionV>
                      <wp:extent cx="107950" cy="45719"/>
                      <wp:effectExtent l="57150" t="38100" r="63500" b="107315"/>
                      <wp:wrapNone/>
                      <wp:docPr id="1289764778" name="Pfeil: nach rechts 2"/>
                      <wp:cNvGraphicFramePr/>
                      <a:graphic xmlns:a="http://schemas.openxmlformats.org/drawingml/2006/main">
                        <a:graphicData uri="http://schemas.microsoft.com/office/word/2010/wordprocessingShape">
                          <wps:wsp>
                            <wps:cNvSpPr/>
                            <wps:spPr>
                              <a:xfrm>
                                <a:off x="0" y="0"/>
                                <a:ext cx="107950" cy="45719"/>
                              </a:xfrm>
                              <a:prstGeom prst="rightArrow">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473377" id="Pfeil: nach rechts 2" o:spid="_x0000_s1026" type="#_x0000_t13" style="position:absolute;margin-left:202.1pt;margin-top:9.4pt;width:8.5pt;height:3.6pt;z-index:25167667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" adj="17026" fillcolor="#9a4906 [1641]" strokecolor="#f68c36 [3049]">
                      <v:fill color2="#f68a32 [3017]" rotate="t" angle="180" colors="0 #cb6c1d;52429f #ff8f2a;1 #ff8f26" focus="100%" type="gradient">
                        <o:fill v:ext="view" type="gradientUnscaled"/>
                      </v:fill>
                      <v:shadow on="t" color="black" opacity="22937f" origin=",.5" offset="0,.63889mm"/>
                    </v:shape>
                  </w:pict>
                </mc:Fallback>
              </mc:AlternateContent>
            </w:r>
            <w:r w:rsidR="00DF01C2">
              <w:rPr>
                <w:noProof/>
              </w:rPr>
              <w:drawing>
                <wp:inline distT="0" distB="0" distL="0" distR="0" wp14:anchorId="7FBF8D6C" wp14:editId="23DA5385">
                  <wp:extent cx="3420201" cy="485428"/>
                  <wp:effectExtent l="0" t="0" r="0" b="0"/>
                  <wp:docPr id="953208431"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26979" cy="500583"/>
                          </a:xfrm>
                          <a:prstGeom prst="rect">
                            <a:avLst/>
                          </a:prstGeom>
                          <a:noFill/>
                        </pic:spPr>
                      </pic:pic>
                    </a:graphicData>
                  </a:graphic>
                </wp:inline>
              </w:drawing>
            </w:r>
          </w:p>
          <w:p w14:paraId="714732FD" w14:textId="48B6C5D4" w:rsidR="00DF01C2" w:rsidRPr="009868EB" w:rsidRDefault="00DF01C2" w:rsidP="00044607">
            <w:r>
              <w:t xml:space="preserve">Aufgrund des hohen Bedarfes und der großen Teilnehmerzahl pro Training konnten 75 zusätzliche Eltern </w:t>
            </w:r>
            <w:r w:rsidR="00E03844">
              <w:t xml:space="preserve">kostenneutral </w:t>
            </w:r>
            <w:r>
              <w:t xml:space="preserve">weitergebildet werden. </w:t>
            </w:r>
          </w:p>
        </w:tc>
      </w:tr>
      <w:tr w:rsidR="00F3001F" w:rsidRPr="008B21DA" w14:paraId="47DA4CB4" w14:textId="77777777" w:rsidTr="00E343C8">
        <w:trPr>
          <w:trHeight w:val="979"/>
        </w:trPr>
        <w:tc>
          <w:tcPr>
            <w:tcW w:w="1555" w:type="dxa"/>
            <w:noWrap/>
            <w:hideMark/>
          </w:tcPr>
          <w:p w14:paraId="10CB22A5" w14:textId="2CB1B029" w:rsidR="00DF01C2" w:rsidRDefault="00DF01C2" w:rsidP="00044607">
            <w:r w:rsidRPr="00CE0B16">
              <w:t>A</w:t>
            </w:r>
            <w:r>
              <w:t>.1.2.5/</w:t>
            </w:r>
            <w:r w:rsidR="00DB06B5">
              <w:t xml:space="preserve"> </w:t>
            </w:r>
            <w:r>
              <w:t>BL 2.2</w:t>
            </w:r>
          </w:p>
          <w:p w14:paraId="59841536" w14:textId="5BFCC7A4" w:rsidR="00DB06B5" w:rsidRPr="00CE0B16" w:rsidRDefault="00DB06B5" w:rsidP="00044607">
            <w:proofErr w:type="spellStart"/>
            <w:r w:rsidRPr="00044607">
              <w:rPr>
                <w:i/>
                <w:iCs/>
              </w:rPr>
              <w:t>Capacity</w:t>
            </w:r>
            <w:proofErr w:type="spellEnd"/>
            <w:r w:rsidRPr="00044607">
              <w:rPr>
                <w:i/>
                <w:iCs/>
              </w:rPr>
              <w:t xml:space="preserve"> Development der Gemeindekrankenschwestern zu Augen- und Ohrenerkrankungen und Rehabilitation</w:t>
            </w:r>
          </w:p>
        </w:tc>
        <w:tc>
          <w:tcPr>
            <w:tcW w:w="3118" w:type="dxa"/>
            <w:hideMark/>
          </w:tcPr>
          <w:p w14:paraId="3B2E942E" w14:textId="61803857" w:rsidR="00DF01C2" w:rsidRPr="009A2A06" w:rsidRDefault="00391B26" w:rsidP="00044607">
            <w:r>
              <w:t>100</w:t>
            </w:r>
            <w:r w:rsidR="00815B28" w:rsidRPr="00815B28">
              <w:t xml:space="preserve"> Gemeindekrankenschwestern werden an vier 3-tägigen Fachtraining</w:t>
            </w:r>
            <w:r>
              <w:t>s</w:t>
            </w:r>
            <w:r w:rsidR="00815B28" w:rsidRPr="00815B28">
              <w:t xml:space="preserve"> zur Erkennung von Augen- und Ohrenerkrankungen sowie zu Behandlung und Rehabilitation teilnehmen.</w:t>
            </w:r>
          </w:p>
        </w:tc>
        <w:tc>
          <w:tcPr>
            <w:tcW w:w="6401" w:type="dxa"/>
            <w:hideMark/>
          </w:tcPr>
          <w:p w14:paraId="04F78135" w14:textId="22940CFB" w:rsidR="00DF01C2" w:rsidRPr="00DF01C2" w:rsidRDefault="00DF01C2" w:rsidP="00044607">
            <w:r w:rsidRPr="00DF01C2">
              <w:t>An vier dreitägigen Veranstaltungen w</w:t>
            </w:r>
            <w:r>
              <w:t xml:space="preserve">urden 115 Gemeindekrankenschwestern </w:t>
            </w:r>
            <w:r w:rsidRPr="002A5989">
              <w:rPr>
                <w:bCs/>
                <w:iCs/>
              </w:rPr>
              <w:t>zur Erkennung von Augen- und Ohrenerkrankungen sowie zu</w:t>
            </w:r>
            <w:r>
              <w:rPr>
                <w:bCs/>
                <w:iCs/>
              </w:rPr>
              <w:t>r</w:t>
            </w:r>
            <w:r w:rsidRPr="002A5989">
              <w:rPr>
                <w:bCs/>
                <w:iCs/>
              </w:rPr>
              <w:t xml:space="preserve"> Behandlung und Rehabilitation </w:t>
            </w:r>
            <w:r>
              <w:rPr>
                <w:bCs/>
                <w:iCs/>
              </w:rPr>
              <w:t>fortgebildet.</w:t>
            </w:r>
          </w:p>
        </w:tc>
        <w:tc>
          <w:tcPr>
            <w:tcW w:w="5602" w:type="dxa"/>
            <w:hideMark/>
          </w:tcPr>
          <w:p w14:paraId="5ECBB48C" w14:textId="7D240156" w:rsidR="00DF01C2" w:rsidRPr="009868EB" w:rsidRDefault="00DF01C2" w:rsidP="00044607">
            <w:r>
              <w:t xml:space="preserve">Aufgrund des enorm hohen Bedarfes wurden 15 Gemeindekrankenschwestern </w:t>
            </w:r>
            <w:r w:rsidR="00BD36D8">
              <w:t xml:space="preserve">in den vier Projektgebieten </w:t>
            </w:r>
            <w:r>
              <w:t>zusätzlich weitergebildet.</w:t>
            </w:r>
            <w:r w:rsidR="00886D7A">
              <w:t xml:space="preserve"> Dies konnte kostenneutral </w:t>
            </w:r>
            <w:r w:rsidR="00B435C4">
              <w:t>durchgeführt werden.</w:t>
            </w:r>
          </w:p>
        </w:tc>
      </w:tr>
      <w:tr w:rsidR="00F3001F" w:rsidRPr="008B21DA" w14:paraId="75D76AF7" w14:textId="77777777" w:rsidTr="00E343C8">
        <w:trPr>
          <w:trHeight w:val="979"/>
        </w:trPr>
        <w:tc>
          <w:tcPr>
            <w:tcW w:w="1555" w:type="dxa"/>
            <w:noWrap/>
            <w:hideMark/>
          </w:tcPr>
          <w:p w14:paraId="47D6DE4C" w14:textId="77777777" w:rsidR="00B112F3" w:rsidRDefault="00BD36D8" w:rsidP="00044607">
            <w:r w:rsidRPr="00CE0B16">
              <w:t>A</w:t>
            </w:r>
            <w:r w:rsidR="00B112F3">
              <w:t>.1.2.6/</w:t>
            </w:r>
            <w:r w:rsidR="00DB06B5">
              <w:t xml:space="preserve"> </w:t>
            </w:r>
            <w:r w:rsidR="00B112F3">
              <w:t>BL 2.2</w:t>
            </w:r>
          </w:p>
          <w:p w14:paraId="1CBD7A2C" w14:textId="191ADE81" w:rsidR="00DB06B5" w:rsidRPr="00CE0B16" w:rsidRDefault="00DB06B5" w:rsidP="00044607">
            <w:r w:rsidRPr="00044607">
              <w:rPr>
                <w:i/>
                <w:iCs/>
              </w:rPr>
              <w:t>Fortbildung des Gesundheitspersonals zu Emergency Response-Maßnahmen</w:t>
            </w:r>
          </w:p>
        </w:tc>
        <w:tc>
          <w:tcPr>
            <w:tcW w:w="3118" w:type="dxa"/>
            <w:noWrap/>
            <w:hideMark/>
          </w:tcPr>
          <w:p w14:paraId="2C04A93A" w14:textId="757DA15A" w:rsidR="00BD36D8" w:rsidRPr="00B435C4" w:rsidRDefault="00CD759F" w:rsidP="00044607">
            <w:r w:rsidRPr="00CD759F">
              <w:t>Es sollen 25 Mitarbeiter</w:t>
            </w:r>
            <w:r w:rsidR="005F76BB">
              <w:t>Innen</w:t>
            </w:r>
            <w:r w:rsidRPr="00CD759F">
              <w:t xml:space="preserve"> der 16 Gesundheitsstationen, ca. 7 Mitarbeiter</w:t>
            </w:r>
            <w:r w:rsidR="005F76BB">
              <w:t xml:space="preserve">Innen </w:t>
            </w:r>
            <w:r w:rsidRPr="00CD759F">
              <w:t>von Gesundheitsbehörden sowie 18 Lehrer</w:t>
            </w:r>
            <w:r w:rsidR="005F76BB">
              <w:t>Innen</w:t>
            </w:r>
            <w:r w:rsidRPr="00CD759F">
              <w:t>, die Kinder mit Behinderung</w:t>
            </w:r>
            <w:r w:rsidR="005F76BB">
              <w:t>en</w:t>
            </w:r>
            <w:r w:rsidRPr="00CD759F">
              <w:t xml:space="preserve"> unterrichten, zu Emergency Response für Menschen mit Behinderungen fortgebildet werden</w:t>
            </w:r>
            <w:r w:rsidR="003D2E7B">
              <w:t xml:space="preserve"> (insgesamt 50)</w:t>
            </w:r>
            <w:r w:rsidRPr="00CD759F">
              <w:t>.</w:t>
            </w:r>
          </w:p>
        </w:tc>
        <w:tc>
          <w:tcPr>
            <w:tcW w:w="6401" w:type="dxa"/>
            <w:hideMark/>
          </w:tcPr>
          <w:p w14:paraId="49DCD53C" w14:textId="3946CC3B" w:rsidR="00BD36D8" w:rsidRPr="00BD36D8" w:rsidRDefault="00BD36D8" w:rsidP="00044607">
            <w:r w:rsidRPr="00BD36D8">
              <w:t>101 Mitarbeiter aus dem Gesundheitswesen ko</w:t>
            </w:r>
            <w:r>
              <w:t xml:space="preserve">nnten an einer Fortbildung zu Emergency Response Maßnahmen teilnehmen. </w:t>
            </w:r>
          </w:p>
        </w:tc>
        <w:tc>
          <w:tcPr>
            <w:tcW w:w="5602" w:type="dxa"/>
            <w:hideMark/>
          </w:tcPr>
          <w:p w14:paraId="2357AEBE" w14:textId="344D254D" w:rsidR="00BD36D8" w:rsidRPr="009868EB" w:rsidRDefault="00B569DD" w:rsidP="00044607">
            <w:r>
              <w:t>In</w:t>
            </w:r>
            <w:r w:rsidR="00BD36D8">
              <w:t xml:space="preserve"> vier Workshops in den vier Distrikten wurden 18 LehrerInnen, 79 </w:t>
            </w:r>
            <w:proofErr w:type="spellStart"/>
            <w:r w:rsidR="00BD36D8">
              <w:t>GesundheitsmitarbeiterInnen</w:t>
            </w:r>
            <w:proofErr w:type="spellEnd"/>
            <w:r w:rsidR="00BD36D8">
              <w:t xml:space="preserve"> und vier MitarbeiterInnen des lokalen </w:t>
            </w:r>
            <w:r w:rsidR="009D172A">
              <w:t xml:space="preserve">Projektträgers </w:t>
            </w:r>
            <w:r w:rsidRPr="009868EB">
              <w:t>in</w:t>
            </w:r>
            <w:r w:rsidR="00BD36D8">
              <w:t xml:space="preserve"> behinderungssensiblen Nothilfemaßnahmen </w:t>
            </w:r>
            <w:r>
              <w:t xml:space="preserve">weitergebildet. Diese Zahl weicht stark vom Sollwert ab. Da der Bedarf enorm hoch war und die Distriktbehörden darum baten mehr TeilnehmerInnen zuzulassen, hat der </w:t>
            </w:r>
            <w:r w:rsidR="009D172A">
              <w:t>lokale Projektträger</w:t>
            </w:r>
            <w:r>
              <w:t xml:space="preserve"> dies umgesetzt. Die zusätzlichen Personen konnten kostenneutral mit trainiert werden. Der </w:t>
            </w:r>
            <w:r w:rsidR="009D172A">
              <w:t>lokale Projektträger</w:t>
            </w:r>
            <w:r>
              <w:t xml:space="preserve"> hat es leider versäumt diese Änderung mitzuteilen. Daher bitten wir rückwirkend um die Erlaubnis, eine erhöhte Zahl an TeilnehmerInnen zu den Trainings zuzulassen. </w:t>
            </w:r>
          </w:p>
        </w:tc>
      </w:tr>
      <w:tr w:rsidR="00F3001F" w:rsidRPr="008B21DA" w14:paraId="352D4F92" w14:textId="77777777" w:rsidTr="00E343C8">
        <w:trPr>
          <w:trHeight w:val="979"/>
        </w:trPr>
        <w:tc>
          <w:tcPr>
            <w:tcW w:w="1555" w:type="dxa"/>
            <w:noWrap/>
            <w:hideMark/>
          </w:tcPr>
          <w:p w14:paraId="0E185E7F" w14:textId="77777777" w:rsidR="008E1837" w:rsidRPr="002A475E" w:rsidRDefault="008E1837" w:rsidP="00044607">
            <w:pPr>
              <w:rPr>
                <w:lang w:val="en-GB"/>
              </w:rPr>
            </w:pPr>
            <w:r w:rsidRPr="002A475E">
              <w:rPr>
                <w:lang w:val="en-GB"/>
              </w:rPr>
              <w:t>A.1.2.7/</w:t>
            </w:r>
            <w:r w:rsidR="00DB06B5" w:rsidRPr="002A475E">
              <w:rPr>
                <w:lang w:val="en-GB"/>
              </w:rPr>
              <w:t xml:space="preserve"> </w:t>
            </w:r>
            <w:r w:rsidRPr="002A475E">
              <w:rPr>
                <w:lang w:val="en-GB"/>
              </w:rPr>
              <w:t>BL 2.2</w:t>
            </w:r>
          </w:p>
          <w:p w14:paraId="642F6B8E" w14:textId="57EDDB8B" w:rsidR="00DB06B5" w:rsidRPr="00DB06B5" w:rsidRDefault="00DB06B5" w:rsidP="00044607">
            <w:pPr>
              <w:rPr>
                <w:lang w:val="en-GB"/>
              </w:rPr>
            </w:pPr>
            <w:r w:rsidRPr="00044607">
              <w:rPr>
                <w:i/>
                <w:iCs/>
                <w:lang w:val="en-GB"/>
              </w:rPr>
              <w:t>Training in “Disability and Inclusion”</w:t>
            </w:r>
          </w:p>
        </w:tc>
        <w:tc>
          <w:tcPr>
            <w:tcW w:w="3118" w:type="dxa"/>
            <w:noWrap/>
            <w:hideMark/>
          </w:tcPr>
          <w:p w14:paraId="0A3E2119" w14:textId="5D7938C4" w:rsidR="008E1837" w:rsidRPr="002730B3" w:rsidRDefault="00894E6A" w:rsidP="005E41CD">
            <w:pPr>
              <w:jc w:val="both"/>
            </w:pPr>
            <w:r w:rsidRPr="00894E6A">
              <w:t xml:space="preserve">Die 4 </w:t>
            </w:r>
            <w:proofErr w:type="spellStart"/>
            <w:r w:rsidRPr="00894E6A">
              <w:t>DPOs</w:t>
            </w:r>
            <w:proofErr w:type="spellEnd"/>
            <w:r w:rsidRPr="00894E6A">
              <w:t>, die in den Gemeinden aktiv und vernetzt sind, sollen in die Implementierung einbezogen werden. Sie werden befähigt, Lobbying für die Berücksichtigung der Bedarfe und Anforderungen von Menschen mit Behinderungen auf Gemeinde- wie auch auf Distriktebene durchzuführen</w:t>
            </w:r>
            <w:r w:rsidRPr="00894E6A">
              <w:rPr>
                <w:i/>
                <w:iCs/>
              </w:rPr>
              <w:t>.</w:t>
            </w:r>
            <w:r w:rsidR="002730B3">
              <w:t xml:space="preserve"> 100 TeilnehmerInnen wurden eingeplant</w:t>
            </w:r>
            <w:r w:rsidR="003968EF">
              <w:t>.</w:t>
            </w:r>
          </w:p>
        </w:tc>
        <w:tc>
          <w:tcPr>
            <w:tcW w:w="6401" w:type="dxa"/>
            <w:hideMark/>
          </w:tcPr>
          <w:p w14:paraId="0C886EE3" w14:textId="5B8DD1EC" w:rsidR="008E1837" w:rsidRPr="008E1837" w:rsidRDefault="008E1837" w:rsidP="00044607">
            <w:r w:rsidRPr="008E1837">
              <w:t xml:space="preserve">99 Mitglieder der vier </w:t>
            </w:r>
            <w:proofErr w:type="spellStart"/>
            <w:r w:rsidRPr="008E1837">
              <w:t>DPOs</w:t>
            </w:r>
            <w:proofErr w:type="spellEnd"/>
            <w:r w:rsidRPr="008E1837">
              <w:t xml:space="preserve"> i</w:t>
            </w:r>
            <w:r>
              <w:t xml:space="preserve">n den Projektdistrikten wurden zu den </w:t>
            </w:r>
            <w:r w:rsidRPr="002A5989">
              <w:rPr>
                <w:bCs/>
                <w:iCs/>
              </w:rPr>
              <w:t>Schwerpunkte</w:t>
            </w:r>
            <w:r>
              <w:rPr>
                <w:bCs/>
                <w:iCs/>
              </w:rPr>
              <w:t>n</w:t>
            </w:r>
            <w:r w:rsidRPr="002A5989">
              <w:rPr>
                <w:bCs/>
                <w:iCs/>
              </w:rPr>
              <w:t xml:space="preserve"> “Disability </w:t>
            </w:r>
            <w:proofErr w:type="spellStart"/>
            <w:r w:rsidRPr="002A5989">
              <w:rPr>
                <w:bCs/>
                <w:iCs/>
              </w:rPr>
              <w:t>inclusion</w:t>
            </w:r>
            <w:proofErr w:type="spellEnd"/>
            <w:r w:rsidRPr="002A5989">
              <w:rPr>
                <w:bCs/>
                <w:iCs/>
              </w:rPr>
              <w:t xml:space="preserve"> </w:t>
            </w:r>
            <w:proofErr w:type="spellStart"/>
            <w:r w:rsidRPr="002A5989">
              <w:rPr>
                <w:bCs/>
                <w:iCs/>
              </w:rPr>
              <w:t>into</w:t>
            </w:r>
            <w:proofErr w:type="spellEnd"/>
            <w:r w:rsidRPr="002A5989">
              <w:rPr>
                <w:bCs/>
                <w:iCs/>
              </w:rPr>
              <w:t xml:space="preserve"> </w:t>
            </w:r>
            <w:proofErr w:type="spellStart"/>
            <w:r w:rsidRPr="002A5989">
              <w:rPr>
                <w:bCs/>
                <w:iCs/>
              </w:rPr>
              <w:t>the</w:t>
            </w:r>
            <w:proofErr w:type="spellEnd"/>
            <w:r w:rsidRPr="002A5989">
              <w:rPr>
                <w:bCs/>
                <w:iCs/>
              </w:rPr>
              <w:t xml:space="preserve"> </w:t>
            </w:r>
            <w:proofErr w:type="spellStart"/>
            <w:r w:rsidRPr="002A5989">
              <w:rPr>
                <w:bCs/>
                <w:iCs/>
              </w:rPr>
              <w:t>mainstream</w:t>
            </w:r>
            <w:proofErr w:type="spellEnd"/>
            <w:r w:rsidRPr="002A5989">
              <w:rPr>
                <w:bCs/>
                <w:iCs/>
              </w:rPr>
              <w:t xml:space="preserve"> </w:t>
            </w:r>
            <w:proofErr w:type="spellStart"/>
            <w:r w:rsidRPr="002A5989">
              <w:rPr>
                <w:bCs/>
                <w:iCs/>
              </w:rPr>
              <w:t>health</w:t>
            </w:r>
            <w:proofErr w:type="spellEnd"/>
            <w:r w:rsidRPr="002A5989">
              <w:rPr>
                <w:bCs/>
                <w:iCs/>
              </w:rPr>
              <w:t xml:space="preserve"> </w:t>
            </w:r>
            <w:proofErr w:type="spellStart"/>
            <w:r w:rsidRPr="002A5989">
              <w:rPr>
                <w:bCs/>
                <w:iCs/>
              </w:rPr>
              <w:t>system</w:t>
            </w:r>
            <w:proofErr w:type="spellEnd"/>
            <w:r w:rsidRPr="002A5989">
              <w:rPr>
                <w:bCs/>
                <w:iCs/>
              </w:rPr>
              <w:t xml:space="preserve">” und “Development </w:t>
            </w:r>
            <w:proofErr w:type="spellStart"/>
            <w:r w:rsidRPr="002A5989">
              <w:rPr>
                <w:bCs/>
                <w:iCs/>
              </w:rPr>
              <w:t>framework</w:t>
            </w:r>
            <w:proofErr w:type="spellEnd"/>
            <w:r w:rsidRPr="002A5989">
              <w:rPr>
                <w:bCs/>
                <w:iCs/>
              </w:rPr>
              <w:t xml:space="preserve">” </w:t>
            </w:r>
            <w:r>
              <w:rPr>
                <w:bCs/>
                <w:iCs/>
              </w:rPr>
              <w:t>weitergebildet</w:t>
            </w:r>
            <w:r w:rsidRPr="002A5989">
              <w:rPr>
                <w:bCs/>
                <w:iCs/>
              </w:rPr>
              <w:t>. Außerdem er</w:t>
            </w:r>
            <w:r>
              <w:rPr>
                <w:bCs/>
                <w:iCs/>
              </w:rPr>
              <w:t>hielten</w:t>
            </w:r>
            <w:r w:rsidRPr="002A5989">
              <w:rPr>
                <w:bCs/>
                <w:iCs/>
              </w:rPr>
              <w:t xml:space="preserve"> sie praktische Kenntnisse in Lobbying</w:t>
            </w:r>
            <w:r>
              <w:rPr>
                <w:bCs/>
                <w:iCs/>
              </w:rPr>
              <w:t xml:space="preserve"> und </w:t>
            </w:r>
            <w:r w:rsidRPr="002A5989">
              <w:rPr>
                <w:bCs/>
                <w:iCs/>
              </w:rPr>
              <w:t>Gesprächsführung</w:t>
            </w:r>
            <w:r>
              <w:rPr>
                <w:bCs/>
                <w:iCs/>
              </w:rPr>
              <w:t>.</w:t>
            </w:r>
          </w:p>
        </w:tc>
        <w:tc>
          <w:tcPr>
            <w:tcW w:w="5602" w:type="dxa"/>
          </w:tcPr>
          <w:p w14:paraId="0D87FE23" w14:textId="296B26E6" w:rsidR="008E1837" w:rsidRPr="009868EB" w:rsidRDefault="008E1837" w:rsidP="00044607">
            <w:r>
              <w:t xml:space="preserve">Es nahm eine Person weniger and den Trainings teil als geplant. </w:t>
            </w:r>
          </w:p>
        </w:tc>
      </w:tr>
      <w:tr w:rsidR="00F3001F" w:rsidRPr="008B21DA" w14:paraId="41A149F9" w14:textId="77777777" w:rsidTr="00E343C8">
        <w:trPr>
          <w:trHeight w:val="979"/>
        </w:trPr>
        <w:tc>
          <w:tcPr>
            <w:tcW w:w="16676" w:type="dxa"/>
            <w:gridSpan w:val="4"/>
            <w:noWrap/>
          </w:tcPr>
          <w:p w14:paraId="3DDF7BE8" w14:textId="77777777" w:rsidR="00C07B44" w:rsidRPr="00044607" w:rsidRDefault="00C07B44" w:rsidP="00044607">
            <w:pPr>
              <w:rPr>
                <w:i/>
                <w:iCs/>
              </w:rPr>
            </w:pPr>
          </w:p>
        </w:tc>
      </w:tr>
      <w:tr w:rsidR="00F3001F" w:rsidRPr="009868EB" w14:paraId="4D58286E" w14:textId="77777777" w:rsidTr="00E343C8">
        <w:trPr>
          <w:trHeight w:val="20"/>
        </w:trPr>
        <w:tc>
          <w:tcPr>
            <w:tcW w:w="4673" w:type="dxa"/>
            <w:gridSpan w:val="2"/>
            <w:noWrap/>
            <w:hideMark/>
          </w:tcPr>
          <w:p w14:paraId="70DC7923" w14:textId="7DDC9287" w:rsidR="008E1837" w:rsidRPr="00044607" w:rsidRDefault="008E1837" w:rsidP="00044607">
            <w:pPr>
              <w:rPr>
                <w:b/>
                <w:bCs/>
                <w:i/>
                <w:iCs/>
              </w:rPr>
            </w:pPr>
            <w:r w:rsidRPr="00044607">
              <w:rPr>
                <w:b/>
                <w:bCs/>
                <w:i/>
                <w:iCs/>
              </w:rPr>
              <w:t>Unterziel 2</w:t>
            </w:r>
          </w:p>
        </w:tc>
        <w:tc>
          <w:tcPr>
            <w:tcW w:w="12003" w:type="dxa"/>
            <w:gridSpan w:val="2"/>
            <w:hideMark/>
          </w:tcPr>
          <w:p w14:paraId="552025D4" w14:textId="53375EA2" w:rsidR="008E1837" w:rsidRPr="008E1837" w:rsidRDefault="008E1837" w:rsidP="00044607">
            <w:pPr>
              <w:rPr>
                <w:b/>
                <w:bCs/>
              </w:rPr>
            </w:pPr>
            <w:r w:rsidRPr="008E1837">
              <w:rPr>
                <w:b/>
                <w:bCs/>
              </w:rPr>
              <w:t xml:space="preserve">In den Zieldistrikten </w:t>
            </w:r>
            <w:proofErr w:type="spellStart"/>
            <w:r w:rsidRPr="008E1837">
              <w:rPr>
                <w:b/>
                <w:bCs/>
              </w:rPr>
              <w:t>Jumla</w:t>
            </w:r>
            <w:proofErr w:type="spellEnd"/>
            <w:r w:rsidRPr="008E1837">
              <w:rPr>
                <w:b/>
                <w:bCs/>
              </w:rPr>
              <w:t xml:space="preserve">, Mugu, </w:t>
            </w:r>
            <w:proofErr w:type="spellStart"/>
            <w:r w:rsidRPr="008E1837">
              <w:rPr>
                <w:b/>
                <w:bCs/>
              </w:rPr>
              <w:t>Surkhet</w:t>
            </w:r>
            <w:proofErr w:type="spellEnd"/>
            <w:r w:rsidRPr="008E1837">
              <w:rPr>
                <w:b/>
                <w:bCs/>
              </w:rPr>
              <w:t xml:space="preserve"> und </w:t>
            </w:r>
            <w:proofErr w:type="spellStart"/>
            <w:r w:rsidRPr="008E1837">
              <w:rPr>
                <w:b/>
                <w:bCs/>
              </w:rPr>
              <w:t>Dailekh</w:t>
            </w:r>
            <w:proofErr w:type="spellEnd"/>
            <w:r w:rsidRPr="008E1837">
              <w:rPr>
                <w:b/>
                <w:bCs/>
              </w:rPr>
              <w:t xml:space="preserve"> sind die fachlichen Kapazitäten </w:t>
            </w:r>
            <w:r w:rsidR="00E300AA" w:rsidRPr="008E1837">
              <w:rPr>
                <w:b/>
                <w:bCs/>
              </w:rPr>
              <w:t>und Infrastruktur</w:t>
            </w:r>
            <w:r w:rsidRPr="008E1837">
              <w:rPr>
                <w:b/>
                <w:bCs/>
              </w:rPr>
              <w:t xml:space="preserve"> für bezahlbare augen- und ohrenmedizinische Dienste dauerhaft verbessert</w:t>
            </w:r>
          </w:p>
        </w:tc>
      </w:tr>
      <w:tr w:rsidR="00F3001F" w:rsidRPr="009868EB" w14:paraId="39ABB74B" w14:textId="77777777" w:rsidTr="00E343C8">
        <w:trPr>
          <w:trHeight w:val="295"/>
        </w:trPr>
        <w:tc>
          <w:tcPr>
            <w:tcW w:w="1555" w:type="dxa"/>
            <w:noWrap/>
            <w:hideMark/>
          </w:tcPr>
          <w:p w14:paraId="4A13EBD0" w14:textId="46169D37" w:rsidR="008E1837" w:rsidRPr="008E1837" w:rsidRDefault="008E1837" w:rsidP="00044607">
            <w:pPr>
              <w:spacing w:after="200"/>
              <w:rPr>
                <w:b/>
                <w:bCs/>
              </w:rPr>
            </w:pPr>
            <w:r w:rsidRPr="008E1837">
              <w:rPr>
                <w:b/>
                <w:bCs/>
              </w:rPr>
              <w:t>Aktivität</w:t>
            </w:r>
            <w:r>
              <w:rPr>
                <w:b/>
                <w:bCs/>
              </w:rPr>
              <w:t xml:space="preserve">/ </w:t>
            </w:r>
            <w:r w:rsidRPr="008E1837">
              <w:rPr>
                <w:b/>
                <w:bCs/>
              </w:rPr>
              <w:t>Budgetlinie</w:t>
            </w:r>
          </w:p>
        </w:tc>
        <w:tc>
          <w:tcPr>
            <w:tcW w:w="3118" w:type="dxa"/>
            <w:noWrap/>
            <w:hideMark/>
          </w:tcPr>
          <w:p w14:paraId="794A5AF5" w14:textId="77777777" w:rsidR="008E1837" w:rsidRPr="00044607" w:rsidRDefault="008E1837" w:rsidP="00044607">
            <w:pPr>
              <w:rPr>
                <w:b/>
                <w:bCs/>
                <w:i/>
                <w:iCs/>
              </w:rPr>
            </w:pPr>
            <w:r w:rsidRPr="00044607">
              <w:rPr>
                <w:b/>
                <w:bCs/>
                <w:i/>
                <w:iCs/>
              </w:rPr>
              <w:t>Geplante Maßnahmen</w:t>
            </w:r>
          </w:p>
        </w:tc>
        <w:tc>
          <w:tcPr>
            <w:tcW w:w="6401" w:type="dxa"/>
            <w:noWrap/>
            <w:hideMark/>
          </w:tcPr>
          <w:p w14:paraId="34906563" w14:textId="77777777" w:rsidR="008E1837" w:rsidRPr="00182F06" w:rsidRDefault="008E1837" w:rsidP="00044607">
            <w:pPr>
              <w:rPr>
                <w:b/>
                <w:bCs/>
              </w:rPr>
            </w:pPr>
            <w:r w:rsidRPr="00182F06">
              <w:rPr>
                <w:b/>
                <w:bCs/>
              </w:rPr>
              <w:t>Tatsächlich durchgeführte Maßnahmen</w:t>
            </w:r>
          </w:p>
        </w:tc>
        <w:tc>
          <w:tcPr>
            <w:tcW w:w="5602" w:type="dxa"/>
            <w:hideMark/>
          </w:tcPr>
          <w:p w14:paraId="48673010" w14:textId="77777777" w:rsidR="008E1837" w:rsidRPr="008E1837" w:rsidRDefault="008E1837" w:rsidP="00044607">
            <w:pPr>
              <w:rPr>
                <w:b/>
                <w:bCs/>
              </w:rPr>
            </w:pPr>
            <w:r w:rsidRPr="008E1837">
              <w:rPr>
                <w:b/>
                <w:bCs/>
              </w:rPr>
              <w:t>Abweichungen/Verzögerungen</w:t>
            </w:r>
          </w:p>
        </w:tc>
      </w:tr>
      <w:tr w:rsidR="00F3001F" w14:paraId="0F9DDDBC" w14:textId="77777777" w:rsidTr="00E343C8">
        <w:tc>
          <w:tcPr>
            <w:tcW w:w="1555" w:type="dxa"/>
          </w:tcPr>
          <w:p w14:paraId="158A00DC" w14:textId="77777777" w:rsidR="00C07B44" w:rsidRDefault="00C07B44" w:rsidP="00044607">
            <w:r w:rsidRPr="00C07B44">
              <w:t>A.2.1.1/</w:t>
            </w:r>
            <w:r w:rsidR="00DB06B5">
              <w:t xml:space="preserve"> </w:t>
            </w:r>
            <w:r w:rsidRPr="00C07B44">
              <w:t>BL 2.3</w:t>
            </w:r>
          </w:p>
          <w:p w14:paraId="43C9478A" w14:textId="6A4FAC98" w:rsidR="00DB06B5" w:rsidRPr="00C07B44" w:rsidRDefault="00DB06B5" w:rsidP="00044607">
            <w:r w:rsidRPr="00044607">
              <w:rPr>
                <w:i/>
                <w:iCs/>
              </w:rPr>
              <w:t>Regelmäßige Reihenuntersuchungen in Gemeinden und Schulen</w:t>
            </w:r>
          </w:p>
        </w:tc>
        <w:tc>
          <w:tcPr>
            <w:tcW w:w="3118" w:type="dxa"/>
          </w:tcPr>
          <w:p w14:paraId="1BCA5602" w14:textId="64B7C693" w:rsidR="001C7DB9" w:rsidRPr="004C3472" w:rsidRDefault="004C3472" w:rsidP="00044607">
            <w:pPr>
              <w:tabs>
                <w:tab w:val="left" w:pos="567"/>
              </w:tabs>
            </w:pPr>
            <w:r w:rsidRPr="004C3472">
              <w:t xml:space="preserve">Um möglichst die Bevölkerung vor Ort auch in den abgelegenen Regionen zu erreichen, </w:t>
            </w:r>
            <w:r w:rsidR="00897959">
              <w:t>sollen</w:t>
            </w:r>
            <w:r w:rsidRPr="004C3472">
              <w:t xml:space="preserve"> </w:t>
            </w:r>
            <w:r w:rsidR="00897959" w:rsidRPr="00897959">
              <w:t xml:space="preserve">126.000 Menschen in 16 Gemeinden </w:t>
            </w:r>
            <w:r w:rsidR="00897959">
              <w:t xml:space="preserve">in </w:t>
            </w:r>
            <w:r w:rsidR="00A11834">
              <w:t xml:space="preserve">32 </w:t>
            </w:r>
            <w:r w:rsidRPr="004C3472">
              <w:t>flächendeckende</w:t>
            </w:r>
            <w:r w:rsidR="00897959">
              <w:t>n</w:t>
            </w:r>
            <w:r w:rsidRPr="004C3472">
              <w:t xml:space="preserve"> Reihenuntersuchungen in den Gemeinden und Schulen </w:t>
            </w:r>
            <w:r w:rsidR="00897959">
              <w:t>untersucht werden.</w:t>
            </w:r>
          </w:p>
        </w:tc>
        <w:tc>
          <w:tcPr>
            <w:tcW w:w="6401" w:type="dxa"/>
          </w:tcPr>
          <w:p w14:paraId="1B9465B3" w14:textId="6F934BC9" w:rsidR="008E1837" w:rsidRDefault="00C07B44" w:rsidP="00044607">
            <w:pPr>
              <w:tabs>
                <w:tab w:val="left" w:pos="567"/>
              </w:tabs>
            </w:pPr>
            <w:r>
              <w:t xml:space="preserve">151.134 Menschen konnten </w:t>
            </w:r>
            <w:r w:rsidR="00EA1273">
              <w:t>in</w:t>
            </w:r>
            <w:r w:rsidRPr="009228E6">
              <w:t xml:space="preserve"> </w:t>
            </w:r>
            <w:r w:rsidR="009228E6" w:rsidRPr="009228E6">
              <w:t>200</w:t>
            </w:r>
            <w:r w:rsidRPr="009228E6">
              <w:t xml:space="preserve"> Reihen</w:t>
            </w:r>
            <w:r>
              <w:t>untersuchungen untersucht werden.</w:t>
            </w:r>
          </w:p>
          <w:p w14:paraId="3C5256DB" w14:textId="6A5A5D9A" w:rsidR="001C7DB9" w:rsidRPr="00C07B44" w:rsidRDefault="001C7DB9" w:rsidP="00044607">
            <w:pPr>
              <w:tabs>
                <w:tab w:val="left" w:pos="567"/>
              </w:tabs>
            </w:pPr>
          </w:p>
        </w:tc>
        <w:tc>
          <w:tcPr>
            <w:tcW w:w="5602" w:type="dxa"/>
          </w:tcPr>
          <w:p w14:paraId="3DDAD804" w14:textId="20C58202" w:rsidR="008E1837" w:rsidRPr="00C07B44" w:rsidRDefault="00C07B44" w:rsidP="0028553D">
            <w:pPr>
              <w:pStyle w:val="Listenabsatz"/>
              <w:ind w:left="0"/>
              <w:jc w:val="both"/>
            </w:pPr>
            <w:r>
              <w:t xml:space="preserve">Der Sollwert dieser Aktivität wurde </w:t>
            </w:r>
            <w:r w:rsidR="0004014C">
              <w:t xml:space="preserve">auf 126.000 Menschen festgelegt. </w:t>
            </w:r>
            <w:r w:rsidR="0028553D">
              <w:t xml:space="preserve">Die Übererreichung des Sollwertes entstand durch die zusätzlich durchgeführten Outreach- und Operationscamps, die von </w:t>
            </w:r>
            <w:proofErr w:type="spellStart"/>
            <w:r w:rsidR="0028553D">
              <w:t>Bengo</w:t>
            </w:r>
            <w:proofErr w:type="spellEnd"/>
            <w:r w:rsidR="00621AC3">
              <w:t xml:space="preserve"> </w:t>
            </w:r>
            <w:r w:rsidR="0028553D">
              <w:t>genehmigt wurden</w:t>
            </w:r>
            <w:r w:rsidR="00DC3080">
              <w:t xml:space="preserve"> (siehe auch A.</w:t>
            </w:r>
            <w:r w:rsidR="00191B56">
              <w:t>2.3.1 und A.2.3.</w:t>
            </w:r>
            <w:r w:rsidR="00E35D5A">
              <w:t>2).</w:t>
            </w:r>
            <w:r w:rsidR="00EA1273">
              <w:t xml:space="preserve"> Zudem </w:t>
            </w:r>
            <w:r w:rsidR="00531444">
              <w:t xml:space="preserve">konnten aufgrund der Corona-Pandemie die Untersuchungen nur in sehr kleinen Klustern stattfinden. Dies erklärt die </w:t>
            </w:r>
            <w:r w:rsidR="00A11834">
              <w:t>hohe Zahl an Reihenuntersuchungen.</w:t>
            </w:r>
          </w:p>
        </w:tc>
      </w:tr>
      <w:tr w:rsidR="00F3001F" w14:paraId="13068F60" w14:textId="77777777" w:rsidTr="00E343C8">
        <w:tc>
          <w:tcPr>
            <w:tcW w:w="1555" w:type="dxa"/>
          </w:tcPr>
          <w:p w14:paraId="42685D16" w14:textId="77777777" w:rsidR="0004014C" w:rsidRDefault="0004014C" w:rsidP="00044607">
            <w:r>
              <w:t>A.2.1.2/</w:t>
            </w:r>
            <w:r w:rsidR="00DB06B5">
              <w:t xml:space="preserve"> </w:t>
            </w:r>
            <w:r>
              <w:t>BL 2.3</w:t>
            </w:r>
          </w:p>
          <w:p w14:paraId="36502554" w14:textId="38C7F9EC" w:rsidR="00DB06B5" w:rsidRPr="00C07B44" w:rsidRDefault="00DB06B5" w:rsidP="00044607">
            <w:r w:rsidRPr="00044607">
              <w:rPr>
                <w:i/>
                <w:iCs/>
              </w:rPr>
              <w:t>Früherkennung in Reihenuntersuchungen</w:t>
            </w:r>
          </w:p>
        </w:tc>
        <w:tc>
          <w:tcPr>
            <w:tcW w:w="3118" w:type="dxa"/>
          </w:tcPr>
          <w:p w14:paraId="3BB4CB8D" w14:textId="267C685E" w:rsidR="008E1837" w:rsidRPr="00D83671" w:rsidRDefault="00AC63A1" w:rsidP="00AC63A1">
            <w:pPr>
              <w:tabs>
                <w:tab w:val="left" w:pos="567"/>
              </w:tabs>
            </w:pPr>
            <w:r>
              <w:rPr>
                <w:bCs/>
                <w:iCs/>
              </w:rPr>
              <w:t>F</w:t>
            </w:r>
            <w:r w:rsidRPr="002A5989">
              <w:rPr>
                <w:bCs/>
                <w:iCs/>
              </w:rPr>
              <w:t xml:space="preserve">ür die Früherkennung von Augen- und Ohrenerkrankungen </w:t>
            </w:r>
            <w:r>
              <w:rPr>
                <w:bCs/>
                <w:iCs/>
              </w:rPr>
              <w:t xml:space="preserve">sollen </w:t>
            </w:r>
            <w:r w:rsidRPr="002A5989">
              <w:rPr>
                <w:bCs/>
                <w:iCs/>
              </w:rPr>
              <w:t xml:space="preserve">Reihenuntersuchungen durch ein Team des </w:t>
            </w:r>
            <w:proofErr w:type="spellStart"/>
            <w:r w:rsidRPr="002A5989">
              <w:rPr>
                <w:bCs/>
                <w:iCs/>
              </w:rPr>
              <w:t>Surkhet</w:t>
            </w:r>
            <w:proofErr w:type="spellEnd"/>
            <w:r w:rsidRPr="002A5989">
              <w:rPr>
                <w:bCs/>
                <w:iCs/>
              </w:rPr>
              <w:t xml:space="preserve"> </w:t>
            </w:r>
            <w:r>
              <w:rPr>
                <w:bCs/>
                <w:iCs/>
              </w:rPr>
              <w:t xml:space="preserve">Eye </w:t>
            </w:r>
            <w:r w:rsidRPr="002A5989">
              <w:rPr>
                <w:bCs/>
                <w:iCs/>
              </w:rPr>
              <w:t xml:space="preserve">Hospital (Augenarzt, Techniker Ophthalmologie, Krankenschwester) in den Gemeinden </w:t>
            </w:r>
            <w:r>
              <w:rPr>
                <w:bCs/>
                <w:iCs/>
              </w:rPr>
              <w:t>stattfinden</w:t>
            </w:r>
            <w:r w:rsidRPr="002A5989">
              <w:rPr>
                <w:bCs/>
                <w:iCs/>
              </w:rPr>
              <w:t xml:space="preserve">. </w:t>
            </w:r>
            <w:r w:rsidR="00CB67CE" w:rsidRPr="002A5989">
              <w:rPr>
                <w:bCs/>
                <w:iCs/>
              </w:rPr>
              <w:t>Ziel ist es, pro Jahr 800 Menschen zu untersuchen und somit insgesamt 3.200 Untersuchungen durchzuführen.</w:t>
            </w:r>
          </w:p>
        </w:tc>
        <w:tc>
          <w:tcPr>
            <w:tcW w:w="6401" w:type="dxa"/>
          </w:tcPr>
          <w:p w14:paraId="21F1B75E" w14:textId="2A7C58E3" w:rsidR="008E1837" w:rsidRPr="00C07B44" w:rsidRDefault="0004014C" w:rsidP="00044607">
            <w:pPr>
              <w:tabs>
                <w:tab w:val="left" w:pos="567"/>
              </w:tabs>
            </w:pPr>
            <w:r>
              <w:t xml:space="preserve">3912 Menschen über 40 Jahre wurden in Früherkennungsuntersuchungen auf </w:t>
            </w:r>
            <w:r w:rsidRPr="0004014C">
              <w:t>diabetische und hypertensive Retinopathie und Glaukom</w:t>
            </w:r>
            <w:r>
              <w:t xml:space="preserve"> untersucht.</w:t>
            </w:r>
          </w:p>
        </w:tc>
        <w:tc>
          <w:tcPr>
            <w:tcW w:w="5602" w:type="dxa"/>
          </w:tcPr>
          <w:p w14:paraId="51144E24" w14:textId="54193B66" w:rsidR="008E1837" w:rsidRPr="00C07B44" w:rsidRDefault="0004014C" w:rsidP="00044607">
            <w:pPr>
              <w:tabs>
                <w:tab w:val="left" w:pos="567"/>
              </w:tabs>
            </w:pPr>
            <w:r>
              <w:t>Der Sollwert dieser Aktivität wurde ebenfalls übererreicht</w:t>
            </w:r>
            <w:r w:rsidR="00170AAA">
              <w:t xml:space="preserve"> da mehr Outreach- und Operationscamps durchgeführt wurden (siehe </w:t>
            </w:r>
            <w:r w:rsidR="00E66664">
              <w:t xml:space="preserve">A.2.1.1) </w:t>
            </w:r>
            <w:r>
              <w:t xml:space="preserve">Durch den enormen Bedarf an Früherkennungsuntersuchungen </w:t>
            </w:r>
            <w:r w:rsidR="00BC1EC2">
              <w:t>musste auf dieser Budgetlinie mehr verausgabt werden als planmäßig veranschlagt. Diese Überverausgabung konnte jedoch innerhalb des Gesamtbudgets ausgeglichen werden.</w:t>
            </w:r>
            <w:r>
              <w:t xml:space="preserve">  </w:t>
            </w:r>
          </w:p>
        </w:tc>
      </w:tr>
      <w:tr w:rsidR="00F3001F" w14:paraId="33445940" w14:textId="77777777" w:rsidTr="00E343C8">
        <w:tc>
          <w:tcPr>
            <w:tcW w:w="1555" w:type="dxa"/>
          </w:tcPr>
          <w:p w14:paraId="129F3F80" w14:textId="77777777" w:rsidR="00BC1EC2" w:rsidRDefault="00BC1EC2" w:rsidP="00044607">
            <w:pPr>
              <w:tabs>
                <w:tab w:val="left" w:pos="567"/>
              </w:tabs>
            </w:pPr>
            <w:r>
              <w:t>A.2.1.3/</w:t>
            </w:r>
            <w:r w:rsidR="00DB06B5">
              <w:t xml:space="preserve"> </w:t>
            </w:r>
            <w:r>
              <w:t>BL 2.3</w:t>
            </w:r>
          </w:p>
          <w:p w14:paraId="7DB7169C" w14:textId="0253BE63" w:rsidR="00DB06B5" w:rsidRPr="00C07B44" w:rsidRDefault="00DB06B5" w:rsidP="00044607">
            <w:pPr>
              <w:tabs>
                <w:tab w:val="left" w:pos="567"/>
              </w:tabs>
            </w:pPr>
            <w:r w:rsidRPr="00044607">
              <w:rPr>
                <w:i/>
                <w:iCs/>
              </w:rPr>
              <w:t>Besondere Feiertage</w:t>
            </w:r>
          </w:p>
        </w:tc>
        <w:tc>
          <w:tcPr>
            <w:tcW w:w="3118" w:type="dxa"/>
          </w:tcPr>
          <w:p w14:paraId="73EB5C79" w14:textId="0CE5653B" w:rsidR="008E1837" w:rsidRPr="003241EA" w:rsidRDefault="002F7BFF" w:rsidP="00044607">
            <w:pPr>
              <w:tabs>
                <w:tab w:val="left" w:pos="567"/>
              </w:tabs>
            </w:pPr>
            <w:r w:rsidRPr="002A5989">
              <w:rPr>
                <w:bCs/>
                <w:iCs/>
              </w:rPr>
              <w:t>Zu speziellen Feiertagen wie dem « </w:t>
            </w:r>
            <w:proofErr w:type="spellStart"/>
            <w:r w:rsidRPr="002A5989">
              <w:rPr>
                <w:bCs/>
                <w:iCs/>
              </w:rPr>
              <w:t>Sight</w:t>
            </w:r>
            <w:proofErr w:type="spellEnd"/>
            <w:r w:rsidRPr="002A5989">
              <w:rPr>
                <w:bCs/>
                <w:iCs/>
              </w:rPr>
              <w:t xml:space="preserve"> Day », « World Disability Day » oder « World </w:t>
            </w:r>
            <w:proofErr w:type="spellStart"/>
            <w:r w:rsidRPr="002A5989">
              <w:rPr>
                <w:bCs/>
                <w:iCs/>
              </w:rPr>
              <w:t>Diabetic</w:t>
            </w:r>
            <w:proofErr w:type="spellEnd"/>
            <w:r w:rsidRPr="002A5989">
              <w:rPr>
                <w:bCs/>
                <w:iCs/>
              </w:rPr>
              <w:t xml:space="preserve"> Day » werden in den Gemeinden Veranstaltungen durchgeführt, um auf Prävention und Rehabilitation von Augen- und Ohrenerkrankungen sowie Behinderung und Inklusion aufmerksam zu machen</w:t>
            </w:r>
            <w:r>
              <w:rPr>
                <w:bCs/>
                <w:iCs/>
              </w:rPr>
              <w:t xml:space="preserve"> (Soll: 32 Veranstaltungen).</w:t>
            </w:r>
          </w:p>
        </w:tc>
        <w:tc>
          <w:tcPr>
            <w:tcW w:w="6401" w:type="dxa"/>
          </w:tcPr>
          <w:p w14:paraId="27478D43" w14:textId="166561D6" w:rsidR="001F6A66" w:rsidRPr="001F6A66" w:rsidRDefault="001F6A66" w:rsidP="00044607">
            <w:pPr>
              <w:tabs>
                <w:tab w:val="left" w:pos="567"/>
              </w:tabs>
              <w:rPr>
                <w:bCs/>
                <w:iCs/>
              </w:rPr>
            </w:pPr>
            <w:r>
              <w:rPr>
                <w:bCs/>
                <w:iCs/>
              </w:rPr>
              <w:t>An</w:t>
            </w:r>
            <w:r w:rsidRPr="002A5989">
              <w:rPr>
                <w:bCs/>
                <w:iCs/>
              </w:rPr>
              <w:t xml:space="preserve"> </w:t>
            </w:r>
            <w:r>
              <w:rPr>
                <w:bCs/>
                <w:iCs/>
              </w:rPr>
              <w:t xml:space="preserve">32 </w:t>
            </w:r>
            <w:r w:rsidRPr="002A5989">
              <w:rPr>
                <w:bCs/>
                <w:iCs/>
              </w:rPr>
              <w:t xml:space="preserve">speziellen Feiertagen wie dem </w:t>
            </w:r>
            <w:r>
              <w:rPr>
                <w:bCs/>
                <w:iCs/>
              </w:rPr>
              <w:t>„</w:t>
            </w:r>
            <w:proofErr w:type="spellStart"/>
            <w:r w:rsidRPr="002A5989">
              <w:rPr>
                <w:bCs/>
                <w:iCs/>
              </w:rPr>
              <w:t>Sight</w:t>
            </w:r>
            <w:proofErr w:type="spellEnd"/>
            <w:r w:rsidRPr="002A5989">
              <w:rPr>
                <w:bCs/>
                <w:iCs/>
              </w:rPr>
              <w:t xml:space="preserve"> Day</w:t>
            </w:r>
            <w:r>
              <w:rPr>
                <w:bCs/>
                <w:iCs/>
              </w:rPr>
              <w:t>“</w:t>
            </w:r>
            <w:r w:rsidRPr="002A5989">
              <w:rPr>
                <w:bCs/>
                <w:iCs/>
              </w:rPr>
              <w:t xml:space="preserve">, </w:t>
            </w:r>
            <w:r>
              <w:rPr>
                <w:bCs/>
                <w:iCs/>
              </w:rPr>
              <w:t>„</w:t>
            </w:r>
            <w:r w:rsidRPr="002A5989">
              <w:rPr>
                <w:bCs/>
                <w:iCs/>
              </w:rPr>
              <w:t>World Disability Day</w:t>
            </w:r>
            <w:r>
              <w:rPr>
                <w:bCs/>
                <w:iCs/>
              </w:rPr>
              <w:t xml:space="preserve">“, „World </w:t>
            </w:r>
            <w:proofErr w:type="spellStart"/>
            <w:r>
              <w:rPr>
                <w:bCs/>
                <w:iCs/>
              </w:rPr>
              <w:t>Glaucoma</w:t>
            </w:r>
            <w:proofErr w:type="spellEnd"/>
            <w:r>
              <w:rPr>
                <w:bCs/>
                <w:iCs/>
              </w:rPr>
              <w:t xml:space="preserve"> Day“</w:t>
            </w:r>
            <w:r w:rsidRPr="002A5989">
              <w:rPr>
                <w:bCs/>
                <w:iCs/>
              </w:rPr>
              <w:t xml:space="preserve"> oder </w:t>
            </w:r>
            <w:r>
              <w:rPr>
                <w:bCs/>
                <w:iCs/>
              </w:rPr>
              <w:t>„</w:t>
            </w:r>
            <w:r w:rsidRPr="002A5989">
              <w:rPr>
                <w:bCs/>
                <w:iCs/>
              </w:rPr>
              <w:t xml:space="preserve">World </w:t>
            </w:r>
            <w:proofErr w:type="spellStart"/>
            <w:r w:rsidRPr="002A5989">
              <w:rPr>
                <w:bCs/>
                <w:iCs/>
              </w:rPr>
              <w:t>Diabetic</w:t>
            </w:r>
            <w:proofErr w:type="spellEnd"/>
            <w:r w:rsidRPr="002A5989">
              <w:rPr>
                <w:bCs/>
                <w:iCs/>
              </w:rPr>
              <w:t xml:space="preserve"> Day</w:t>
            </w:r>
            <w:r>
              <w:rPr>
                <w:bCs/>
                <w:iCs/>
              </w:rPr>
              <w:t>“</w:t>
            </w:r>
            <w:r w:rsidRPr="002A5989">
              <w:rPr>
                <w:bCs/>
                <w:iCs/>
              </w:rPr>
              <w:t xml:space="preserve"> w</w:t>
            </w:r>
            <w:r>
              <w:rPr>
                <w:bCs/>
                <w:iCs/>
              </w:rPr>
              <w:t>u</w:t>
            </w:r>
            <w:r w:rsidRPr="002A5989">
              <w:rPr>
                <w:bCs/>
                <w:iCs/>
              </w:rPr>
              <w:t xml:space="preserve">rden in den </w:t>
            </w:r>
            <w:r>
              <w:rPr>
                <w:bCs/>
                <w:iCs/>
              </w:rPr>
              <w:t xml:space="preserve">8 </w:t>
            </w:r>
            <w:r w:rsidRPr="002A5989">
              <w:rPr>
                <w:bCs/>
                <w:iCs/>
              </w:rPr>
              <w:t>Gemeinden Veranstaltungen durchgeführt, um auf Prävention und Rehabilitation von Augen- und Ohrenerkrankungen sowie Behinderung und Inklusion aufmerksam zu machen</w:t>
            </w:r>
            <w:r>
              <w:rPr>
                <w:bCs/>
                <w:iCs/>
              </w:rPr>
              <w:t>.</w:t>
            </w:r>
          </w:p>
        </w:tc>
        <w:tc>
          <w:tcPr>
            <w:tcW w:w="5602" w:type="dxa"/>
          </w:tcPr>
          <w:p w14:paraId="7F030E31" w14:textId="74F5B2C6" w:rsidR="008E1837" w:rsidRPr="00C07B44" w:rsidRDefault="001F6A66" w:rsidP="00044607">
            <w:pPr>
              <w:tabs>
                <w:tab w:val="left" w:pos="567"/>
              </w:tabs>
            </w:pPr>
            <w:r>
              <w:t>Keine Abweichungen.</w:t>
            </w:r>
          </w:p>
        </w:tc>
      </w:tr>
      <w:tr w:rsidR="00F3001F" w14:paraId="4667BDDF" w14:textId="77777777" w:rsidTr="00E343C8">
        <w:trPr>
          <w:trHeight w:val="547"/>
        </w:trPr>
        <w:tc>
          <w:tcPr>
            <w:tcW w:w="1555" w:type="dxa"/>
            <w:vAlign w:val="center"/>
          </w:tcPr>
          <w:p w14:paraId="15F703D3" w14:textId="3634F719" w:rsidR="00BC1EC2" w:rsidRPr="00BC1EC2" w:rsidRDefault="00BC1EC2" w:rsidP="00044607">
            <w:pPr>
              <w:tabs>
                <w:tab w:val="left" w:pos="567"/>
              </w:tabs>
              <w:rPr>
                <w:b/>
                <w:bCs/>
              </w:rPr>
            </w:pPr>
            <w:r w:rsidRPr="00BC1EC2">
              <w:rPr>
                <w:b/>
                <w:bCs/>
              </w:rPr>
              <w:t>A.2.2</w:t>
            </w:r>
          </w:p>
        </w:tc>
        <w:tc>
          <w:tcPr>
            <w:tcW w:w="15121" w:type="dxa"/>
            <w:gridSpan w:val="3"/>
            <w:vAlign w:val="center"/>
          </w:tcPr>
          <w:p w14:paraId="7D4B2217" w14:textId="02EC0F8B" w:rsidR="00BC1EC2" w:rsidRPr="00044607" w:rsidRDefault="00BC1EC2" w:rsidP="00044607">
            <w:pPr>
              <w:tabs>
                <w:tab w:val="left" w:pos="567"/>
              </w:tabs>
              <w:rPr>
                <w:b/>
                <w:bCs/>
                <w:i/>
                <w:iCs/>
              </w:rPr>
            </w:pPr>
            <w:r w:rsidRPr="00044607">
              <w:rPr>
                <w:b/>
                <w:bCs/>
                <w:i/>
                <w:iCs/>
              </w:rPr>
              <w:t>Aufbau integrierter Augen- und Ohrengesundheitsdienste</w:t>
            </w:r>
          </w:p>
        </w:tc>
      </w:tr>
      <w:tr w:rsidR="00F3001F" w14:paraId="50C7D195" w14:textId="77777777" w:rsidTr="00E343C8">
        <w:tc>
          <w:tcPr>
            <w:tcW w:w="1555" w:type="dxa"/>
          </w:tcPr>
          <w:p w14:paraId="78F25B3B" w14:textId="77777777" w:rsidR="00BC1EC2" w:rsidRDefault="00BC1EC2" w:rsidP="00044607">
            <w:pPr>
              <w:tabs>
                <w:tab w:val="left" w:pos="567"/>
              </w:tabs>
            </w:pPr>
            <w:r>
              <w:t>A.2.2.1/</w:t>
            </w:r>
            <w:r w:rsidR="00DB06B5">
              <w:t xml:space="preserve"> </w:t>
            </w:r>
            <w:r>
              <w:t>BL 2.4</w:t>
            </w:r>
          </w:p>
          <w:p w14:paraId="6020B202" w14:textId="04A2EA63" w:rsidR="00DB06B5" w:rsidRPr="00C07B44" w:rsidRDefault="00DB06B5" w:rsidP="00044607">
            <w:pPr>
              <w:tabs>
                <w:tab w:val="left" w:pos="567"/>
              </w:tabs>
            </w:pPr>
            <w:r w:rsidRPr="00044607">
              <w:rPr>
                <w:i/>
                <w:iCs/>
              </w:rPr>
              <w:t>Fachstudie zu Ohrengesundheit</w:t>
            </w:r>
          </w:p>
        </w:tc>
        <w:tc>
          <w:tcPr>
            <w:tcW w:w="3118" w:type="dxa"/>
          </w:tcPr>
          <w:p w14:paraId="6159D4AF" w14:textId="35DCAE27" w:rsidR="008E1837" w:rsidRPr="002F7BFF" w:rsidRDefault="003029BB" w:rsidP="00044607">
            <w:pPr>
              <w:tabs>
                <w:tab w:val="left" w:pos="567"/>
              </w:tabs>
            </w:pPr>
            <w:r>
              <w:rPr>
                <w:bCs/>
                <w:iCs/>
              </w:rPr>
              <w:t xml:space="preserve">Für </w:t>
            </w:r>
            <w:r w:rsidRPr="002A5989">
              <w:rPr>
                <w:bCs/>
                <w:iCs/>
              </w:rPr>
              <w:t xml:space="preserve">Ohrengesundheit und Hörbehinderungen, existieren weder für Nepal noch für die Provinz </w:t>
            </w:r>
            <w:proofErr w:type="spellStart"/>
            <w:r w:rsidRPr="002A5989">
              <w:rPr>
                <w:bCs/>
                <w:iCs/>
              </w:rPr>
              <w:t>Karnali</w:t>
            </w:r>
            <w:proofErr w:type="spellEnd"/>
            <w:r w:rsidR="00FC0959">
              <w:rPr>
                <w:bCs/>
                <w:iCs/>
              </w:rPr>
              <w:t xml:space="preserve"> </w:t>
            </w:r>
            <w:r w:rsidR="00D44E9A">
              <w:rPr>
                <w:bCs/>
                <w:iCs/>
              </w:rPr>
              <w:t>verlässliche Daten</w:t>
            </w:r>
            <w:r w:rsidRPr="002A5989">
              <w:rPr>
                <w:bCs/>
                <w:iCs/>
              </w:rPr>
              <w:t>. Für diese Baseline zu Ohrengesundheit soll deshalb eine Studie durchgeführt werden. Als Methode soll die „</w:t>
            </w:r>
            <w:proofErr w:type="spellStart"/>
            <w:r w:rsidRPr="002A5989">
              <w:rPr>
                <w:bCs/>
                <w:iCs/>
              </w:rPr>
              <w:t>WHO’s</w:t>
            </w:r>
            <w:proofErr w:type="spellEnd"/>
            <w:r w:rsidRPr="002A5989">
              <w:rPr>
                <w:bCs/>
                <w:iCs/>
              </w:rPr>
              <w:t xml:space="preserve"> Survey Handbook </w:t>
            </w:r>
            <w:proofErr w:type="spellStart"/>
            <w:r w:rsidRPr="002A5989">
              <w:rPr>
                <w:bCs/>
                <w:iCs/>
              </w:rPr>
              <w:t>for</w:t>
            </w:r>
            <w:proofErr w:type="spellEnd"/>
            <w:r w:rsidRPr="002A5989">
              <w:rPr>
                <w:bCs/>
                <w:iCs/>
              </w:rPr>
              <w:t xml:space="preserve"> </w:t>
            </w:r>
            <w:proofErr w:type="spellStart"/>
            <w:r w:rsidRPr="002A5989">
              <w:rPr>
                <w:bCs/>
                <w:iCs/>
              </w:rPr>
              <w:t>Ear</w:t>
            </w:r>
            <w:proofErr w:type="spellEnd"/>
            <w:r w:rsidRPr="002A5989">
              <w:rPr>
                <w:bCs/>
                <w:iCs/>
              </w:rPr>
              <w:t xml:space="preserve"> and Hearing Care“ eingesetzt werden. Diese Methode wurde von der WHO in technischer und praktischer Unterstützung durch die CBM entwickelt und im April 2020 veröffentlicht</w:t>
            </w:r>
            <w:r w:rsidR="00F45A3E">
              <w:rPr>
                <w:bCs/>
                <w:iCs/>
              </w:rPr>
              <w:t>.</w:t>
            </w:r>
          </w:p>
        </w:tc>
        <w:tc>
          <w:tcPr>
            <w:tcW w:w="6401" w:type="dxa"/>
          </w:tcPr>
          <w:p w14:paraId="4E41353C" w14:textId="576950BD" w:rsidR="008E1837" w:rsidRPr="00C07B44" w:rsidRDefault="001F6A66" w:rsidP="00044607">
            <w:pPr>
              <w:tabs>
                <w:tab w:val="left" w:pos="567"/>
              </w:tabs>
            </w:pPr>
            <w:r>
              <w:t xml:space="preserve">Eine Fachstudie zu Ohrengesundheit in den Distrikten </w:t>
            </w:r>
            <w:proofErr w:type="spellStart"/>
            <w:r>
              <w:t>Salyan</w:t>
            </w:r>
            <w:proofErr w:type="spellEnd"/>
            <w:r>
              <w:t xml:space="preserve"> und </w:t>
            </w:r>
            <w:proofErr w:type="spellStart"/>
            <w:r>
              <w:t>Surkhet</w:t>
            </w:r>
            <w:proofErr w:type="spellEnd"/>
            <w:r>
              <w:t xml:space="preserve"> konnte durchgeführt werden.</w:t>
            </w:r>
          </w:p>
        </w:tc>
        <w:tc>
          <w:tcPr>
            <w:tcW w:w="5602" w:type="dxa"/>
          </w:tcPr>
          <w:p w14:paraId="36A41BB5" w14:textId="38E81971" w:rsidR="008E1837" w:rsidRPr="00C07B44" w:rsidRDefault="001F6A66" w:rsidP="00044607">
            <w:pPr>
              <w:tabs>
                <w:tab w:val="left" w:pos="567"/>
              </w:tabs>
            </w:pPr>
            <w:r>
              <w:t xml:space="preserve">Die Durchführung der Ohrenstudie verzögerte sich aus unterschiedlichen Gründen erheblich. Im ersten Projektjahr (für welches die Studie geplant war) konnte aufgrund der Pandemie-Restriktionen keine Datenerhebung stattfinden. Dies zog sich bis </w:t>
            </w:r>
            <w:r w:rsidR="00C468DC">
              <w:t>Mitte</w:t>
            </w:r>
            <w:r>
              <w:t xml:space="preserve"> des zweiten Projektjahres. Nach Aufhebung der Restriktionen wurde in Zusammenarbeit mit einem Ohrengesundheitsspezialisten von CBM </w:t>
            </w:r>
            <w:r w:rsidR="00C468DC">
              <w:t xml:space="preserve">das Grundgerüst sowie die </w:t>
            </w:r>
            <w:proofErr w:type="spellStart"/>
            <w:r w:rsidR="00C468DC">
              <w:t>ToRs</w:t>
            </w:r>
            <w:proofErr w:type="spellEnd"/>
            <w:r w:rsidR="00C468DC">
              <w:t xml:space="preserve"> zu der Studie entwickelt. Aufgrund des geringen Budgets musste die Ausschreibung für die Vergabe der Studiendurchführung zweimal erfolgen. Da es nicht möglich war die Studie innerhalb des Budgets umzusetzen, wurde ein Teil der Reserve dafür aufgewendet. Die Durchführung und Auswertung der Ohrengesundheitsstudie erforderte weiterhin mehr Zeit als ursprünglich angedacht, woraufhin die Projektlaufzeit um drei Monate verlängert werden musste. Anfang März 2024 konnte die Studie erfolgreich abgeschlossen werden. Die Ergebnisse wurden i</w:t>
            </w:r>
            <w:r w:rsidR="00352C03">
              <w:t>m</w:t>
            </w:r>
            <w:r w:rsidR="00C468DC">
              <w:t xml:space="preserve"> </w:t>
            </w:r>
            <w:r w:rsidR="00352C03">
              <w:t>„</w:t>
            </w:r>
            <w:r w:rsidR="00352C03" w:rsidRPr="00352C03">
              <w:t xml:space="preserve">Journal </w:t>
            </w:r>
            <w:proofErr w:type="spellStart"/>
            <w:r w:rsidR="00352C03" w:rsidRPr="00352C03">
              <w:t>of</w:t>
            </w:r>
            <w:proofErr w:type="spellEnd"/>
            <w:r w:rsidR="00352C03" w:rsidRPr="00352C03">
              <w:t xml:space="preserve"> </w:t>
            </w:r>
            <w:proofErr w:type="spellStart"/>
            <w:r w:rsidR="00352C03" w:rsidRPr="00352C03">
              <w:t>Laryngology</w:t>
            </w:r>
            <w:proofErr w:type="spellEnd"/>
            <w:r w:rsidR="00352C03" w:rsidRPr="00352C03">
              <w:t xml:space="preserve"> and </w:t>
            </w:r>
            <w:proofErr w:type="spellStart"/>
            <w:r w:rsidR="00352C03" w:rsidRPr="00352C03">
              <w:t>Otology</w:t>
            </w:r>
            <w:proofErr w:type="spellEnd"/>
            <w:r w:rsidR="00352C03" w:rsidRPr="00352C03">
              <w:t>“</w:t>
            </w:r>
            <w:r w:rsidR="00C468DC">
              <w:t xml:space="preserve"> veröffentlicht da dies bisher die einzige Studie ihrer Art in </w:t>
            </w:r>
            <w:r w:rsidR="00F45A3E">
              <w:t>Nepal</w:t>
            </w:r>
            <w:r w:rsidR="00C468DC">
              <w:t xml:space="preserve"> war. </w:t>
            </w:r>
          </w:p>
        </w:tc>
      </w:tr>
      <w:tr w:rsidR="00F3001F" w14:paraId="3CDFA692" w14:textId="77777777" w:rsidTr="00E343C8">
        <w:tc>
          <w:tcPr>
            <w:tcW w:w="1555" w:type="dxa"/>
            <w:vAlign w:val="center"/>
          </w:tcPr>
          <w:p w14:paraId="432C33AC" w14:textId="77777777" w:rsidR="00BC1EC2" w:rsidRDefault="00BC1EC2" w:rsidP="00044607">
            <w:pPr>
              <w:tabs>
                <w:tab w:val="left" w:pos="567"/>
              </w:tabs>
            </w:pPr>
            <w:r>
              <w:t>A.2.2.2/</w:t>
            </w:r>
            <w:r w:rsidR="00036D9E">
              <w:t xml:space="preserve"> </w:t>
            </w:r>
            <w:r>
              <w:t>BL 1.1</w:t>
            </w:r>
          </w:p>
          <w:p w14:paraId="1CC03160" w14:textId="11C73184" w:rsidR="00036D9E" w:rsidRPr="00C07B44" w:rsidRDefault="00036D9E" w:rsidP="00044607">
            <w:pPr>
              <w:tabs>
                <w:tab w:val="left" w:pos="567"/>
              </w:tabs>
            </w:pPr>
            <w:r w:rsidRPr="00EB3F87">
              <w:rPr>
                <w:i/>
                <w:iCs/>
              </w:rPr>
              <w:t>Ausstattung der staatlichen Basis-Gesundheitsstationen</w:t>
            </w:r>
          </w:p>
        </w:tc>
        <w:tc>
          <w:tcPr>
            <w:tcW w:w="3118" w:type="dxa"/>
          </w:tcPr>
          <w:p w14:paraId="1432E71A" w14:textId="2CDD95E6" w:rsidR="008E1837" w:rsidRPr="006B6438" w:rsidRDefault="006B6438" w:rsidP="00AA525E">
            <w:pPr>
              <w:tabs>
                <w:tab w:val="left" w:pos="567"/>
              </w:tabs>
              <w:jc w:val="both"/>
              <w:rPr>
                <w:highlight w:val="yellow"/>
              </w:rPr>
            </w:pPr>
            <w:r w:rsidRPr="006B6438">
              <w:t>12 staatliche Basis-Gesundheitsstationen in den 4 Zieldistrikten sind für die medizinische Erstversorgung in den Gemeinden zuständig und sollen eine Grundausstattung für die Untersuchung und Behandlung einfacher Augen- und Ohrenerkrankungen erhalten.</w:t>
            </w:r>
          </w:p>
        </w:tc>
        <w:tc>
          <w:tcPr>
            <w:tcW w:w="6401" w:type="dxa"/>
          </w:tcPr>
          <w:p w14:paraId="2985D7B6" w14:textId="77777777" w:rsidR="008E1837" w:rsidRDefault="00E8525B" w:rsidP="00044607">
            <w:pPr>
              <w:tabs>
                <w:tab w:val="left" w:pos="567"/>
              </w:tabs>
            </w:pPr>
            <w:r>
              <w:t xml:space="preserve">17 staatliche Basis-Gesundheitsstationen in den 4 Zieldistrikten </w:t>
            </w:r>
            <w:r w:rsidR="007A5533">
              <w:t xml:space="preserve">erhielten eine Grundausstattung </w:t>
            </w:r>
            <w:r w:rsidR="007A5533" w:rsidRPr="006B6438">
              <w:t>für die Untersuchung und Behandlung einfacher Augen- und Ohrenerkrankungen</w:t>
            </w:r>
            <w:r w:rsidR="007A5533">
              <w:t>.</w:t>
            </w:r>
            <w:r w:rsidR="004F6ED8">
              <w:t xml:space="preserve"> Folgende Geräte wurden beschafft:</w:t>
            </w:r>
          </w:p>
          <w:p w14:paraId="7CB299F2" w14:textId="77777777" w:rsidR="00EB3F87" w:rsidRDefault="00EB3F87" w:rsidP="00044607">
            <w:pPr>
              <w:tabs>
                <w:tab w:val="left" w:pos="567"/>
              </w:tabs>
            </w:pPr>
          </w:p>
          <w:p w14:paraId="5AEEDEFB" w14:textId="77777777" w:rsidR="004F6ED8" w:rsidRDefault="001824EC" w:rsidP="00044607">
            <w:pPr>
              <w:tabs>
                <w:tab w:val="left" w:pos="567"/>
              </w:tabs>
            </w:pPr>
            <w:r>
              <w:rPr>
                <w:noProof/>
              </w:rPr>
              <w:drawing>
                <wp:inline distT="0" distB="0" distL="0" distR="0" wp14:anchorId="123A04A8" wp14:editId="103D01DF">
                  <wp:extent cx="1863969" cy="775160"/>
                  <wp:effectExtent l="0" t="0" r="3175" b="6350"/>
                  <wp:docPr id="72074496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744969" name=""/>
                          <pic:cNvPicPr/>
                        </pic:nvPicPr>
                        <pic:blipFill>
                          <a:blip r:embed="rId18"/>
                          <a:stretch>
                            <a:fillRect/>
                          </a:stretch>
                        </pic:blipFill>
                        <pic:spPr>
                          <a:xfrm>
                            <a:off x="0" y="0"/>
                            <a:ext cx="1917451" cy="797401"/>
                          </a:xfrm>
                          <a:prstGeom prst="rect">
                            <a:avLst/>
                          </a:prstGeom>
                        </pic:spPr>
                      </pic:pic>
                    </a:graphicData>
                  </a:graphic>
                </wp:inline>
              </w:drawing>
            </w:r>
          </w:p>
          <w:p w14:paraId="7FD87EE6" w14:textId="5EE4FFE6" w:rsidR="001824EC" w:rsidRPr="00C07B44" w:rsidRDefault="001824EC" w:rsidP="00044607">
            <w:pPr>
              <w:tabs>
                <w:tab w:val="left" w:pos="567"/>
              </w:tabs>
            </w:pPr>
          </w:p>
        </w:tc>
        <w:tc>
          <w:tcPr>
            <w:tcW w:w="5602" w:type="dxa"/>
          </w:tcPr>
          <w:p w14:paraId="2F892F13" w14:textId="2DFDBB54" w:rsidR="008E1837" w:rsidRPr="00EB3F87" w:rsidRDefault="00D2713F" w:rsidP="00EB3F87">
            <w:pPr>
              <w:jc w:val="both"/>
              <w:rPr>
                <w:b/>
                <w:bCs/>
              </w:rPr>
            </w:pPr>
            <w:r>
              <w:t xml:space="preserve">Dieses Ziel wurde erheblich übererreicht. Ich möchte </w:t>
            </w:r>
            <w:r w:rsidRPr="00327ECA">
              <w:t xml:space="preserve">höflich darauf hinweisen, dass </w:t>
            </w:r>
            <w:r>
              <w:t>der lokale Projektträger</w:t>
            </w:r>
            <w:r w:rsidRPr="00327ECA">
              <w:t xml:space="preserve"> </w:t>
            </w:r>
            <w:r>
              <w:t xml:space="preserve">die </w:t>
            </w:r>
            <w:r w:rsidRPr="00327ECA">
              <w:t>zusätzliche</w:t>
            </w:r>
            <w:r>
              <w:t>n</w:t>
            </w:r>
            <w:r w:rsidRPr="00327ECA">
              <w:t xml:space="preserve"> Einrichtungen aussta</w:t>
            </w:r>
            <w:r>
              <w:t>ttete</w:t>
            </w:r>
            <w:r w:rsidRPr="00327ECA">
              <w:t xml:space="preserve">, ohne dies im Vorfeld mit uns </w:t>
            </w:r>
            <w:r>
              <w:t>zu besprechen</w:t>
            </w:r>
            <w:r w:rsidRPr="00327ECA">
              <w:t xml:space="preserve">. </w:t>
            </w:r>
            <w:r>
              <w:t>Sein Vorgehen</w:t>
            </w:r>
            <w:r w:rsidRPr="00327ECA">
              <w:t xml:space="preserve"> basierte auf einer internen Budgetberechnung, die von einer ursprünglich höheren Anzahl an Einrichtungen ausging. Da die zusätzlichen Einrichtungen jedoch nicht zu einer Überschreitung der Unterbudgetlinie geführt haben und zudem dem Projektziel förderlich sind, bitten wir um </w:t>
            </w:r>
            <w:r>
              <w:t xml:space="preserve">Entschuldigung für das Eigenmächtige Verhalten des lokalen Projektträgers und gleichzeitig um </w:t>
            </w:r>
            <w:r w:rsidRPr="00327ECA">
              <w:t>Ihre nachträgliche Genehmigung für die Ausstattung von fünf zusätzlichen Einrichtungen.</w:t>
            </w:r>
          </w:p>
        </w:tc>
      </w:tr>
      <w:tr w:rsidR="00F3001F" w14:paraId="7AFB3EB6" w14:textId="77777777" w:rsidTr="00E343C8">
        <w:tc>
          <w:tcPr>
            <w:tcW w:w="1555" w:type="dxa"/>
            <w:vAlign w:val="center"/>
          </w:tcPr>
          <w:p w14:paraId="29CE772E" w14:textId="77777777" w:rsidR="00BC1EC2" w:rsidRDefault="00BC1EC2" w:rsidP="00044607">
            <w:pPr>
              <w:tabs>
                <w:tab w:val="left" w:pos="567"/>
              </w:tabs>
            </w:pPr>
            <w:r>
              <w:t>A.2.2.3/</w:t>
            </w:r>
            <w:r w:rsidR="00036D9E">
              <w:t xml:space="preserve"> </w:t>
            </w:r>
            <w:r>
              <w:t>BL 1.1</w:t>
            </w:r>
          </w:p>
          <w:p w14:paraId="6B06117E" w14:textId="70BEFB45" w:rsidR="00036D9E" w:rsidRPr="00C07B44" w:rsidRDefault="00036D9E" w:rsidP="00044607">
            <w:pPr>
              <w:tabs>
                <w:tab w:val="left" w:pos="567"/>
              </w:tabs>
            </w:pPr>
            <w:r w:rsidRPr="00BC00D6">
              <w:rPr>
                <w:i/>
                <w:iCs/>
              </w:rPr>
              <w:t>Aufbau eines integrierten Augen- und Ohrengesundheitsdienstes</w:t>
            </w:r>
          </w:p>
        </w:tc>
        <w:tc>
          <w:tcPr>
            <w:tcW w:w="3118" w:type="dxa"/>
          </w:tcPr>
          <w:p w14:paraId="62DA0289" w14:textId="65C04D0F" w:rsidR="008E1837" w:rsidRPr="001824EC" w:rsidRDefault="003C0B62" w:rsidP="00AA525E">
            <w:pPr>
              <w:tabs>
                <w:tab w:val="left" w:pos="567"/>
              </w:tabs>
              <w:jc w:val="both"/>
              <w:rPr>
                <w:highlight w:val="yellow"/>
              </w:rPr>
            </w:pPr>
            <w:r w:rsidRPr="003C0B62">
              <w:t>4 primäre Gesundheitsstationen, die es in jedem Distrikt gibt, sollen ebenso für die Grundversorgung mit augen- und ohrenmedizinischen Diensten aufgebaut werden, wobei sie neben Untersuchungen auch einfache Behandlungen durchführen werden.</w:t>
            </w:r>
          </w:p>
        </w:tc>
        <w:tc>
          <w:tcPr>
            <w:tcW w:w="6401" w:type="dxa"/>
          </w:tcPr>
          <w:p w14:paraId="60A03409" w14:textId="6EA27FD6" w:rsidR="008E1837" w:rsidRPr="00C07B44" w:rsidRDefault="00A16049" w:rsidP="00044607">
            <w:pPr>
              <w:tabs>
                <w:tab w:val="left" w:pos="567"/>
              </w:tabs>
            </w:pPr>
            <w:r>
              <w:t>4 primäre Gesund</w:t>
            </w:r>
            <w:r w:rsidR="00BC00D6">
              <w:t>heitsstationen wurden planmäßig ausgestattet.</w:t>
            </w:r>
          </w:p>
        </w:tc>
        <w:tc>
          <w:tcPr>
            <w:tcW w:w="5602" w:type="dxa"/>
          </w:tcPr>
          <w:p w14:paraId="7CF9172E" w14:textId="72B6ECAC" w:rsidR="008E1837" w:rsidRPr="00C07B44" w:rsidRDefault="00BC00D6" w:rsidP="00044607">
            <w:pPr>
              <w:tabs>
                <w:tab w:val="left" w:pos="567"/>
              </w:tabs>
            </w:pPr>
            <w:r>
              <w:t>Keine Abweichungen.</w:t>
            </w:r>
          </w:p>
        </w:tc>
      </w:tr>
      <w:tr w:rsidR="00F3001F" w:rsidRPr="006847AE" w14:paraId="197AF1B5" w14:textId="77777777" w:rsidTr="00E343C8">
        <w:tc>
          <w:tcPr>
            <w:tcW w:w="1555" w:type="dxa"/>
          </w:tcPr>
          <w:p w14:paraId="658427E0" w14:textId="77777777" w:rsidR="00BC1EC2" w:rsidRDefault="00BC1EC2" w:rsidP="00044607">
            <w:pPr>
              <w:tabs>
                <w:tab w:val="left" w:pos="567"/>
              </w:tabs>
            </w:pPr>
            <w:r>
              <w:t>A.2.2.4/</w:t>
            </w:r>
            <w:r w:rsidR="000C3F85">
              <w:t xml:space="preserve"> </w:t>
            </w:r>
            <w:r>
              <w:t>BL 1.1</w:t>
            </w:r>
          </w:p>
          <w:p w14:paraId="13A1C7D4" w14:textId="0E877335" w:rsidR="000C3F85" w:rsidRPr="00C07B44" w:rsidRDefault="00A41865" w:rsidP="00044607">
            <w:pPr>
              <w:tabs>
                <w:tab w:val="left" w:pos="567"/>
              </w:tabs>
            </w:pPr>
            <w:r w:rsidRPr="00044607">
              <w:rPr>
                <w:i/>
                <w:iCs/>
              </w:rPr>
              <w:t xml:space="preserve">Aufbau eines Gesundheitszentrums zu einer Augenklinik  </w:t>
            </w:r>
          </w:p>
        </w:tc>
        <w:tc>
          <w:tcPr>
            <w:tcW w:w="3118" w:type="dxa"/>
          </w:tcPr>
          <w:p w14:paraId="407BBF4C" w14:textId="4BAA4ABB" w:rsidR="008E1837" w:rsidRPr="00543513" w:rsidRDefault="00D200FC" w:rsidP="00044607">
            <w:pPr>
              <w:tabs>
                <w:tab w:val="left" w:pos="567"/>
              </w:tabs>
            </w:pPr>
            <w:r w:rsidRPr="00D200FC">
              <w:t xml:space="preserve">Die Kapazitäten eines der aufgebauten Gesundheitszentren soll für spezialisierte Augenbehandlungen und -operationen erweitert und neben dem </w:t>
            </w:r>
            <w:proofErr w:type="spellStart"/>
            <w:r w:rsidRPr="00D200FC">
              <w:t>Surkhet</w:t>
            </w:r>
            <w:proofErr w:type="spellEnd"/>
            <w:r w:rsidRPr="00D200FC">
              <w:t xml:space="preserve"> Eye Hospital als zweite Überweisungsklinik für Augenoperationen dienen.</w:t>
            </w:r>
          </w:p>
        </w:tc>
        <w:tc>
          <w:tcPr>
            <w:tcW w:w="6401" w:type="dxa"/>
          </w:tcPr>
          <w:p w14:paraId="2DD319A0" w14:textId="44A4773A" w:rsidR="008E1837" w:rsidRDefault="006847AE" w:rsidP="00044607">
            <w:pPr>
              <w:tabs>
                <w:tab w:val="left" w:pos="567"/>
              </w:tabs>
            </w:pPr>
            <w:r w:rsidRPr="006847AE">
              <w:t xml:space="preserve">Das existierende Eye care Center in </w:t>
            </w:r>
            <w:proofErr w:type="spellStart"/>
            <w:r w:rsidRPr="006847AE">
              <w:t>Mehalkuna</w:t>
            </w:r>
            <w:proofErr w:type="spellEnd"/>
            <w:r w:rsidRPr="006847AE">
              <w:t xml:space="preserve">, </w:t>
            </w:r>
            <w:proofErr w:type="spellStart"/>
            <w:r w:rsidRPr="006847AE">
              <w:t>Gurvakot</w:t>
            </w:r>
            <w:proofErr w:type="spellEnd"/>
            <w:r w:rsidRPr="006847AE">
              <w:t xml:space="preserve"> </w:t>
            </w:r>
            <w:proofErr w:type="spellStart"/>
            <w:r w:rsidRPr="006847AE">
              <w:t>Municiplaity</w:t>
            </w:r>
            <w:proofErr w:type="spellEnd"/>
            <w:r w:rsidRPr="006847AE">
              <w:t xml:space="preserve">, </w:t>
            </w:r>
            <w:proofErr w:type="spellStart"/>
            <w:r w:rsidRPr="006847AE">
              <w:t>Surkhet</w:t>
            </w:r>
            <w:proofErr w:type="spellEnd"/>
            <w:r w:rsidRPr="006847AE">
              <w:t xml:space="preserve"> wurde zu einem</w:t>
            </w:r>
            <w:r>
              <w:t xml:space="preserve"> chirurgischen Augenzentrum ausgebaut. </w:t>
            </w:r>
            <w:r w:rsidR="00BC00D6">
              <w:t>Folgendes Equipment wurde beschafft:</w:t>
            </w:r>
          </w:p>
          <w:p w14:paraId="24E27BA8" w14:textId="77777777" w:rsidR="00BC00D6" w:rsidRDefault="00BC00D6" w:rsidP="00044607">
            <w:pPr>
              <w:tabs>
                <w:tab w:val="left" w:pos="567"/>
              </w:tabs>
            </w:pPr>
            <w:r>
              <w:rPr>
                <w:noProof/>
              </w:rPr>
              <w:drawing>
                <wp:inline distT="0" distB="0" distL="0" distR="0" wp14:anchorId="4B8C2DDB" wp14:editId="38193A9F">
                  <wp:extent cx="1762125" cy="1012190"/>
                  <wp:effectExtent l="0" t="0" r="9525" b="0"/>
                  <wp:docPr id="1206428715"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62125" cy="1012190"/>
                          </a:xfrm>
                          <a:prstGeom prst="rect">
                            <a:avLst/>
                          </a:prstGeom>
                          <a:noFill/>
                        </pic:spPr>
                      </pic:pic>
                    </a:graphicData>
                  </a:graphic>
                </wp:inline>
              </w:drawing>
            </w:r>
          </w:p>
          <w:p w14:paraId="666691AF" w14:textId="3AEAABD2" w:rsidR="00BC00D6" w:rsidRPr="006847AE" w:rsidRDefault="00BC00D6" w:rsidP="00044607">
            <w:pPr>
              <w:tabs>
                <w:tab w:val="left" w:pos="567"/>
              </w:tabs>
            </w:pPr>
          </w:p>
        </w:tc>
        <w:tc>
          <w:tcPr>
            <w:tcW w:w="5602" w:type="dxa"/>
          </w:tcPr>
          <w:p w14:paraId="17AF9C56" w14:textId="37F49635" w:rsidR="008E1837" w:rsidRDefault="00E04263" w:rsidP="00044607">
            <w:pPr>
              <w:tabs>
                <w:tab w:val="left" w:pos="567"/>
              </w:tabs>
            </w:pPr>
            <w:r>
              <w:t>Aufgrund der erhöhten Preise in Nepal kam es auf dieser Position zu einer Überverausgabung</w:t>
            </w:r>
            <w:r w:rsidR="00543513">
              <w:t xml:space="preserve"> des geplanten Budgets,</w:t>
            </w:r>
            <w:r>
              <w:t xml:space="preserve"> </w:t>
            </w:r>
            <w:r w:rsidR="004568EF">
              <w:t xml:space="preserve">die jedoch innerhalb des Projektes ausgeglichen </w:t>
            </w:r>
            <w:r w:rsidR="00577F24">
              <w:t xml:space="preserve">werden </w:t>
            </w:r>
            <w:r w:rsidR="004568EF">
              <w:t>konnte.</w:t>
            </w:r>
          </w:p>
          <w:p w14:paraId="41C51307" w14:textId="3B910B92" w:rsidR="006847AE" w:rsidRDefault="006847AE" w:rsidP="00044607">
            <w:pPr>
              <w:tabs>
                <w:tab w:val="left" w:pos="567"/>
              </w:tabs>
            </w:pPr>
          </w:p>
          <w:p w14:paraId="07EFE6EE" w14:textId="272C3D01" w:rsidR="006847AE" w:rsidRPr="006847AE" w:rsidRDefault="006847AE" w:rsidP="00044607">
            <w:pPr>
              <w:tabs>
                <w:tab w:val="left" w:pos="567"/>
              </w:tabs>
            </w:pPr>
          </w:p>
        </w:tc>
      </w:tr>
      <w:tr w:rsidR="00F3001F" w14:paraId="4D51A1DC" w14:textId="77777777" w:rsidTr="00E343C8">
        <w:tc>
          <w:tcPr>
            <w:tcW w:w="1555" w:type="dxa"/>
          </w:tcPr>
          <w:p w14:paraId="64AEC05E" w14:textId="77777777" w:rsidR="00AC630E" w:rsidRDefault="00AC630E" w:rsidP="00044607">
            <w:pPr>
              <w:tabs>
                <w:tab w:val="left" w:pos="567"/>
              </w:tabs>
            </w:pPr>
            <w:r>
              <w:t>A.2.2.5/</w:t>
            </w:r>
            <w:r w:rsidR="00A41865">
              <w:t xml:space="preserve"> </w:t>
            </w:r>
            <w:r>
              <w:t>BL 1.1</w:t>
            </w:r>
          </w:p>
          <w:p w14:paraId="1C977DE7" w14:textId="1F16BF80" w:rsidR="00A41865" w:rsidRPr="00C07B44" w:rsidRDefault="00A41865" w:rsidP="00044607">
            <w:pPr>
              <w:tabs>
                <w:tab w:val="left" w:pos="567"/>
              </w:tabs>
            </w:pPr>
            <w:r w:rsidRPr="00044607">
              <w:rPr>
                <w:i/>
                <w:iCs/>
              </w:rPr>
              <w:t xml:space="preserve">Aufbau einer Low Vision-Abteilung am </w:t>
            </w:r>
            <w:proofErr w:type="spellStart"/>
            <w:r w:rsidRPr="00044607">
              <w:rPr>
                <w:i/>
                <w:iCs/>
              </w:rPr>
              <w:t>Surkhet</w:t>
            </w:r>
            <w:proofErr w:type="spellEnd"/>
            <w:r w:rsidRPr="00044607">
              <w:rPr>
                <w:i/>
                <w:iCs/>
              </w:rPr>
              <w:t xml:space="preserve"> Augenkrankenhaus</w:t>
            </w:r>
          </w:p>
        </w:tc>
        <w:tc>
          <w:tcPr>
            <w:tcW w:w="3118" w:type="dxa"/>
          </w:tcPr>
          <w:p w14:paraId="7AC5D5E4" w14:textId="6910F9DF" w:rsidR="008E1837" w:rsidRPr="00A10EAC" w:rsidRDefault="00C559CE" w:rsidP="00044607">
            <w:pPr>
              <w:tabs>
                <w:tab w:val="left" w:pos="567"/>
              </w:tabs>
            </w:pPr>
            <w:r w:rsidRPr="00C82897">
              <w:t xml:space="preserve">Am </w:t>
            </w:r>
            <w:proofErr w:type="spellStart"/>
            <w:r w:rsidRPr="00C82897">
              <w:t>Surkhet</w:t>
            </w:r>
            <w:proofErr w:type="spellEnd"/>
            <w:r w:rsidRPr="00C82897">
              <w:t xml:space="preserve"> Eye Hospital in der Provinzhauptstadt </w:t>
            </w:r>
            <w:proofErr w:type="spellStart"/>
            <w:r w:rsidRPr="00C82897">
              <w:t>Surkhet</w:t>
            </w:r>
            <w:proofErr w:type="spellEnd"/>
            <w:r w:rsidRPr="00C82897">
              <w:t>, von wo aus die Maßnahmen fachlich gesteuert werden, soll eine Low Vision-Abteilung für Sehhilfen aufgebaut werden.</w:t>
            </w:r>
            <w:r w:rsidR="00C82897" w:rsidRPr="00C82897">
              <w:t xml:space="preserve"> Ziel ist insbesondere, dass die Menschen in den Zielgemeinden, die in den Reihenuntersuchungen und bei Untersuchungen in den Basis- und Primärgesundheitszentren identifiziert wurden und eine Sehhilfe benötigen, in der Low Vision-Abteilung eine entsprechende Behandlung und angepasste Sehhilfe erhalten.</w:t>
            </w:r>
          </w:p>
        </w:tc>
        <w:tc>
          <w:tcPr>
            <w:tcW w:w="6401" w:type="dxa"/>
          </w:tcPr>
          <w:p w14:paraId="75A31282" w14:textId="38F713B0" w:rsidR="00577F24" w:rsidRDefault="005D4DC9" w:rsidP="00577F24">
            <w:pPr>
              <w:tabs>
                <w:tab w:val="left" w:pos="567"/>
              </w:tabs>
            </w:pPr>
            <w:r>
              <w:t xml:space="preserve">Innerhalb des </w:t>
            </w:r>
            <w:proofErr w:type="spellStart"/>
            <w:r>
              <w:t>Surkhet</w:t>
            </w:r>
            <w:proofErr w:type="spellEnd"/>
            <w:r>
              <w:t xml:space="preserve"> Eye Hospitals wurde eine Low-Vision Abteilung etabliert.</w:t>
            </w:r>
            <w:r w:rsidR="00577F24">
              <w:t xml:space="preserve"> Folgendes Equipment wurde für </w:t>
            </w:r>
            <w:r w:rsidR="00C82897">
              <w:t xml:space="preserve">die </w:t>
            </w:r>
            <w:r w:rsidR="00577F24">
              <w:t>Abteilung beschafft:</w:t>
            </w:r>
          </w:p>
          <w:p w14:paraId="77E36EE3" w14:textId="285582E2" w:rsidR="00790245" w:rsidRDefault="00790245" w:rsidP="00577F24">
            <w:pPr>
              <w:tabs>
                <w:tab w:val="left" w:pos="567"/>
              </w:tabs>
            </w:pPr>
            <w:r>
              <w:rPr>
                <w:noProof/>
              </w:rPr>
              <w:drawing>
                <wp:inline distT="0" distB="0" distL="0" distR="0" wp14:anchorId="738AE43A" wp14:editId="326273E4">
                  <wp:extent cx="2204357" cy="2040684"/>
                  <wp:effectExtent l="0" t="0" r="5715" b="0"/>
                  <wp:docPr id="3590175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01753" name=""/>
                          <pic:cNvPicPr/>
                        </pic:nvPicPr>
                        <pic:blipFill>
                          <a:blip r:embed="rId20"/>
                          <a:stretch>
                            <a:fillRect/>
                          </a:stretch>
                        </pic:blipFill>
                        <pic:spPr>
                          <a:xfrm>
                            <a:off x="0" y="0"/>
                            <a:ext cx="2213804" cy="2049430"/>
                          </a:xfrm>
                          <a:prstGeom prst="rect">
                            <a:avLst/>
                          </a:prstGeom>
                        </pic:spPr>
                      </pic:pic>
                    </a:graphicData>
                  </a:graphic>
                </wp:inline>
              </w:drawing>
            </w:r>
          </w:p>
          <w:p w14:paraId="12AB76E7" w14:textId="0C0A0EF3" w:rsidR="008E1837" w:rsidRPr="00C07B44" w:rsidRDefault="008E1837" w:rsidP="00044607">
            <w:pPr>
              <w:tabs>
                <w:tab w:val="left" w:pos="567"/>
              </w:tabs>
            </w:pPr>
          </w:p>
        </w:tc>
        <w:tc>
          <w:tcPr>
            <w:tcW w:w="5602" w:type="dxa"/>
          </w:tcPr>
          <w:p w14:paraId="56FD451F" w14:textId="274BD8DA" w:rsidR="005D7F73" w:rsidRPr="00C07B44" w:rsidRDefault="00A10EAC" w:rsidP="00044607">
            <w:pPr>
              <w:tabs>
                <w:tab w:val="left" w:pos="567"/>
              </w:tabs>
            </w:pPr>
            <w:r>
              <w:t>Keine Abweichungen</w:t>
            </w:r>
          </w:p>
        </w:tc>
      </w:tr>
      <w:tr w:rsidR="00F3001F" w14:paraId="0E2F5F0E" w14:textId="77777777" w:rsidTr="00E343C8">
        <w:tc>
          <w:tcPr>
            <w:tcW w:w="1555" w:type="dxa"/>
          </w:tcPr>
          <w:p w14:paraId="733975CA" w14:textId="77777777" w:rsidR="00AC630E" w:rsidRDefault="00AC630E" w:rsidP="00044607">
            <w:pPr>
              <w:tabs>
                <w:tab w:val="left" w:pos="567"/>
              </w:tabs>
            </w:pPr>
            <w:r w:rsidRPr="00AC630E">
              <w:t>A.2.2.6/</w:t>
            </w:r>
            <w:r w:rsidR="005721FD">
              <w:t xml:space="preserve"> </w:t>
            </w:r>
            <w:r w:rsidRPr="00AC630E">
              <w:t>BL 1.1</w:t>
            </w:r>
          </w:p>
          <w:p w14:paraId="48EF5C49" w14:textId="7E68BC64" w:rsidR="005721FD" w:rsidRPr="00AC630E" w:rsidRDefault="005721FD" w:rsidP="00044607">
            <w:pPr>
              <w:tabs>
                <w:tab w:val="left" w:pos="567"/>
              </w:tabs>
            </w:pPr>
            <w:r w:rsidRPr="00044607">
              <w:rPr>
                <w:i/>
                <w:iCs/>
              </w:rPr>
              <w:t xml:space="preserve">Verbesserung der augenmedizinischen Dienste am </w:t>
            </w:r>
            <w:proofErr w:type="spellStart"/>
            <w:r w:rsidRPr="00044607">
              <w:rPr>
                <w:i/>
                <w:iCs/>
              </w:rPr>
              <w:t>Surkhet</w:t>
            </w:r>
            <w:proofErr w:type="spellEnd"/>
            <w:r w:rsidRPr="00044607">
              <w:rPr>
                <w:i/>
                <w:iCs/>
              </w:rPr>
              <w:t xml:space="preserve"> Eye Hospital</w:t>
            </w:r>
          </w:p>
        </w:tc>
        <w:tc>
          <w:tcPr>
            <w:tcW w:w="3118" w:type="dxa"/>
          </w:tcPr>
          <w:p w14:paraId="21B44160" w14:textId="3166D2BD" w:rsidR="00AC630E" w:rsidRPr="00C82897" w:rsidRDefault="000B14A8" w:rsidP="00044607">
            <w:pPr>
              <w:tabs>
                <w:tab w:val="left" w:pos="567"/>
              </w:tabs>
            </w:pPr>
            <w:r w:rsidRPr="000B14A8">
              <w:t xml:space="preserve">Das </w:t>
            </w:r>
            <w:proofErr w:type="spellStart"/>
            <w:r w:rsidRPr="000B14A8">
              <w:t>SEH</w:t>
            </w:r>
            <w:proofErr w:type="spellEnd"/>
            <w:r w:rsidRPr="000B14A8">
              <w:t xml:space="preserve"> soll zu einem tertiären Augenkrankenhaus aufgewertet werden und als Überweisungskrankenhaus für die primären Einrichtungen sowie aber auch für das </w:t>
            </w:r>
            <w:proofErr w:type="spellStart"/>
            <w:r w:rsidRPr="000B14A8">
              <w:t>Karnali</w:t>
            </w:r>
            <w:proofErr w:type="spellEnd"/>
            <w:r w:rsidRPr="000B14A8">
              <w:t xml:space="preserve"> </w:t>
            </w:r>
            <w:proofErr w:type="spellStart"/>
            <w:r w:rsidRPr="000B14A8">
              <w:t>Provincial</w:t>
            </w:r>
            <w:proofErr w:type="spellEnd"/>
            <w:r w:rsidRPr="000B14A8">
              <w:t xml:space="preserve"> Hospital als Überweisungskrankenhaus dienen. Hierfür soll das </w:t>
            </w:r>
            <w:proofErr w:type="spellStart"/>
            <w:r w:rsidRPr="000B14A8">
              <w:t>SEH</w:t>
            </w:r>
            <w:proofErr w:type="spellEnd"/>
            <w:r w:rsidRPr="000B14A8">
              <w:t xml:space="preserve"> die notwendige Ausstattung erhalten, mit der mehr Patienten mit verbesserter Qualität behandelt werden können</w:t>
            </w:r>
          </w:p>
        </w:tc>
        <w:tc>
          <w:tcPr>
            <w:tcW w:w="6401" w:type="dxa"/>
          </w:tcPr>
          <w:p w14:paraId="38B0AE16" w14:textId="77777777" w:rsidR="00AC630E" w:rsidRDefault="005D7F73" w:rsidP="00044607">
            <w:pPr>
              <w:tabs>
                <w:tab w:val="left" w:pos="567"/>
              </w:tabs>
            </w:pPr>
            <w:r>
              <w:t xml:space="preserve">Die Ophthalmologischen Dienste am </w:t>
            </w:r>
            <w:proofErr w:type="spellStart"/>
            <w:r>
              <w:t>Surkhet</w:t>
            </w:r>
            <w:proofErr w:type="spellEnd"/>
            <w:r>
              <w:t xml:space="preserve"> Eye Hospital wurden durch zusätzliches Equipment verbessert.</w:t>
            </w:r>
            <w:r w:rsidR="0086798D">
              <w:t xml:space="preserve"> Folgendes Equipment wurde beschafft:</w:t>
            </w:r>
          </w:p>
          <w:p w14:paraId="1CDE8712" w14:textId="77777777" w:rsidR="0086798D" w:rsidRDefault="0086798D" w:rsidP="00044607">
            <w:pPr>
              <w:tabs>
                <w:tab w:val="left" w:pos="567"/>
              </w:tabs>
            </w:pPr>
            <w:r>
              <w:rPr>
                <w:noProof/>
              </w:rPr>
              <w:drawing>
                <wp:inline distT="0" distB="0" distL="0" distR="0" wp14:anchorId="3BC28736" wp14:editId="30C9FC28">
                  <wp:extent cx="2414442" cy="1033808"/>
                  <wp:effectExtent l="0" t="0" r="5080" b="0"/>
                  <wp:docPr id="26361567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615670" name=""/>
                          <pic:cNvPicPr/>
                        </pic:nvPicPr>
                        <pic:blipFill>
                          <a:blip r:embed="rId21"/>
                          <a:stretch>
                            <a:fillRect/>
                          </a:stretch>
                        </pic:blipFill>
                        <pic:spPr>
                          <a:xfrm>
                            <a:off x="0" y="0"/>
                            <a:ext cx="2427603" cy="1039443"/>
                          </a:xfrm>
                          <a:prstGeom prst="rect">
                            <a:avLst/>
                          </a:prstGeom>
                        </pic:spPr>
                      </pic:pic>
                    </a:graphicData>
                  </a:graphic>
                </wp:inline>
              </w:drawing>
            </w:r>
          </w:p>
          <w:p w14:paraId="1B3CC616" w14:textId="77E8DF11" w:rsidR="0086798D" w:rsidRPr="00AC630E" w:rsidRDefault="0086798D" w:rsidP="00044607">
            <w:pPr>
              <w:tabs>
                <w:tab w:val="left" w:pos="567"/>
              </w:tabs>
            </w:pPr>
          </w:p>
        </w:tc>
        <w:tc>
          <w:tcPr>
            <w:tcW w:w="5602" w:type="dxa"/>
          </w:tcPr>
          <w:p w14:paraId="3BAF4982" w14:textId="6B3EB306" w:rsidR="00AC630E" w:rsidRDefault="005D7F73" w:rsidP="00044607">
            <w:pPr>
              <w:tabs>
                <w:tab w:val="left" w:pos="567"/>
              </w:tabs>
            </w:pPr>
            <w:r>
              <w:t>Folgendes Equipment wurde für die Verbesserung der Ophthalmologischen Dienste beschafft:</w:t>
            </w:r>
          </w:p>
          <w:p w14:paraId="1B3453E4" w14:textId="2264A619" w:rsidR="005D7F73" w:rsidRDefault="008E66BD" w:rsidP="00044607">
            <w:pPr>
              <w:tabs>
                <w:tab w:val="left" w:pos="567"/>
              </w:tabs>
            </w:pPr>
            <w:r>
              <w:t>Keine Abweichungen.</w:t>
            </w:r>
          </w:p>
          <w:p w14:paraId="4BD03934" w14:textId="2EBDC240" w:rsidR="005D7F73" w:rsidRPr="00AC630E" w:rsidRDefault="005D7F73" w:rsidP="00044607">
            <w:pPr>
              <w:tabs>
                <w:tab w:val="left" w:pos="567"/>
              </w:tabs>
            </w:pPr>
          </w:p>
        </w:tc>
      </w:tr>
      <w:tr w:rsidR="00F3001F" w14:paraId="4C430679" w14:textId="77777777" w:rsidTr="00E343C8">
        <w:tc>
          <w:tcPr>
            <w:tcW w:w="1555" w:type="dxa"/>
          </w:tcPr>
          <w:p w14:paraId="51DD3DB0" w14:textId="77777777" w:rsidR="00AC630E" w:rsidRDefault="00AC630E" w:rsidP="00044607">
            <w:pPr>
              <w:tabs>
                <w:tab w:val="left" w:pos="567"/>
              </w:tabs>
            </w:pPr>
            <w:r>
              <w:t>A.2.2.7/</w:t>
            </w:r>
            <w:r w:rsidR="005721FD">
              <w:t xml:space="preserve"> </w:t>
            </w:r>
            <w:r>
              <w:t>BL 1.1</w:t>
            </w:r>
          </w:p>
          <w:p w14:paraId="4A5E436C" w14:textId="2F945A63" w:rsidR="005721FD" w:rsidRPr="00AC630E" w:rsidRDefault="005721FD" w:rsidP="00044607">
            <w:pPr>
              <w:tabs>
                <w:tab w:val="left" w:pos="567"/>
              </w:tabs>
            </w:pPr>
            <w:r w:rsidRPr="00044607">
              <w:rPr>
                <w:i/>
                <w:iCs/>
              </w:rPr>
              <w:t xml:space="preserve">Stärkung HNO-Abteilung am </w:t>
            </w:r>
            <w:proofErr w:type="spellStart"/>
            <w:r w:rsidRPr="00044607">
              <w:rPr>
                <w:i/>
                <w:iCs/>
              </w:rPr>
              <w:t>Karnali</w:t>
            </w:r>
            <w:proofErr w:type="spellEnd"/>
            <w:r w:rsidRPr="00044607">
              <w:rPr>
                <w:i/>
                <w:iCs/>
              </w:rPr>
              <w:t xml:space="preserve"> </w:t>
            </w:r>
            <w:proofErr w:type="spellStart"/>
            <w:r w:rsidRPr="00044607">
              <w:rPr>
                <w:i/>
                <w:iCs/>
              </w:rPr>
              <w:t>Provincial</w:t>
            </w:r>
            <w:proofErr w:type="spellEnd"/>
            <w:r w:rsidRPr="00044607">
              <w:rPr>
                <w:i/>
                <w:iCs/>
              </w:rPr>
              <w:t xml:space="preserve"> Hospital in </w:t>
            </w:r>
            <w:proofErr w:type="spellStart"/>
            <w:r w:rsidRPr="00044607">
              <w:rPr>
                <w:i/>
                <w:iCs/>
              </w:rPr>
              <w:t>Surkhet</w:t>
            </w:r>
            <w:proofErr w:type="spellEnd"/>
          </w:p>
        </w:tc>
        <w:tc>
          <w:tcPr>
            <w:tcW w:w="3118" w:type="dxa"/>
          </w:tcPr>
          <w:p w14:paraId="1D4D6DF0" w14:textId="0C7F467D" w:rsidR="00AC630E" w:rsidRPr="0057148B" w:rsidRDefault="0057148B" w:rsidP="00044607">
            <w:pPr>
              <w:tabs>
                <w:tab w:val="left" w:pos="567"/>
              </w:tabs>
            </w:pPr>
            <w:r w:rsidRPr="0057148B">
              <w:t xml:space="preserve">Aufgrund mangelnder Ausstattung ist die Qualität des </w:t>
            </w:r>
            <w:proofErr w:type="spellStart"/>
            <w:r w:rsidR="004C356D">
              <w:t>ENT</w:t>
            </w:r>
            <w:proofErr w:type="spellEnd"/>
            <w:r w:rsidR="004C356D">
              <w:t>-</w:t>
            </w:r>
            <w:r w:rsidRPr="0057148B">
              <w:t xml:space="preserve">Service </w:t>
            </w:r>
            <w:r w:rsidR="004C356D">
              <w:t xml:space="preserve">am </w:t>
            </w:r>
            <w:proofErr w:type="spellStart"/>
            <w:r w:rsidR="004C356D" w:rsidRPr="002A5989">
              <w:rPr>
                <w:bCs/>
                <w:iCs/>
              </w:rPr>
              <w:t>Karnali</w:t>
            </w:r>
            <w:proofErr w:type="spellEnd"/>
            <w:r w:rsidR="004C356D" w:rsidRPr="002A5989">
              <w:rPr>
                <w:bCs/>
                <w:iCs/>
              </w:rPr>
              <w:t xml:space="preserve"> </w:t>
            </w:r>
            <w:proofErr w:type="spellStart"/>
            <w:r w:rsidR="004C356D" w:rsidRPr="002A5989">
              <w:rPr>
                <w:bCs/>
                <w:iCs/>
              </w:rPr>
              <w:t>Provincial</w:t>
            </w:r>
            <w:proofErr w:type="spellEnd"/>
            <w:r w:rsidR="004C356D" w:rsidRPr="002A5989">
              <w:rPr>
                <w:bCs/>
                <w:iCs/>
              </w:rPr>
              <w:t xml:space="preserve"> Hospital</w:t>
            </w:r>
            <w:r w:rsidR="004C356D" w:rsidRPr="0057148B">
              <w:t xml:space="preserve"> </w:t>
            </w:r>
            <w:r w:rsidRPr="0057148B">
              <w:t>nicht ausreichend. Es fehlt an einem Audiologie-Messgerät für Hörtests sowie an anderer Ausstattung zur Versorgung von Ohrenerkrankungen und -operationen. Diese sollen im Rahmen des Projektes angeschafft werden, so dass das Krankenhaus befähigt ist, seine Aufgabe als tertiäres Krankenhaus für Ohrenbehandlungen wahrzunehmen.</w:t>
            </w:r>
          </w:p>
        </w:tc>
        <w:tc>
          <w:tcPr>
            <w:tcW w:w="6401" w:type="dxa"/>
          </w:tcPr>
          <w:p w14:paraId="4787C586" w14:textId="4C54DC13" w:rsidR="00AC630E" w:rsidRDefault="005D7F73" w:rsidP="00044607">
            <w:pPr>
              <w:tabs>
                <w:tab w:val="left" w:pos="567"/>
              </w:tabs>
              <w:rPr>
                <w:noProof/>
              </w:rPr>
            </w:pPr>
            <w:r>
              <w:t xml:space="preserve">Die HNO-Dienste, insbesondere die Ohrengesundheitsdienste, am </w:t>
            </w:r>
            <w:proofErr w:type="spellStart"/>
            <w:r w:rsidRPr="005D7F73">
              <w:t>Karnali</w:t>
            </w:r>
            <w:proofErr w:type="spellEnd"/>
            <w:r w:rsidRPr="005D7F73">
              <w:t xml:space="preserve"> </w:t>
            </w:r>
            <w:proofErr w:type="spellStart"/>
            <w:r w:rsidRPr="005D7F73">
              <w:t>Provincial</w:t>
            </w:r>
            <w:proofErr w:type="spellEnd"/>
            <w:r w:rsidRPr="005D7F73">
              <w:t xml:space="preserve"> Hospital in </w:t>
            </w:r>
            <w:proofErr w:type="spellStart"/>
            <w:r w:rsidRPr="005D7F73">
              <w:t>Surkhet</w:t>
            </w:r>
            <w:proofErr w:type="spellEnd"/>
            <w:r>
              <w:t xml:space="preserve"> wurden durch die Beschaffung von </w:t>
            </w:r>
            <w:r w:rsidR="004C356D">
              <w:t xml:space="preserve">folgendem </w:t>
            </w:r>
            <w:r>
              <w:t>medizinischem Equipment verbessert</w:t>
            </w:r>
            <w:r w:rsidR="004C356D">
              <w:t>:</w:t>
            </w:r>
            <w:r w:rsidR="004C356D">
              <w:rPr>
                <w:noProof/>
              </w:rPr>
              <w:t xml:space="preserve"> </w:t>
            </w:r>
          </w:p>
          <w:p w14:paraId="3E7F52A6" w14:textId="6E8BB32F" w:rsidR="004C356D" w:rsidRPr="00AC630E" w:rsidRDefault="00C213BA" w:rsidP="00044607">
            <w:pPr>
              <w:tabs>
                <w:tab w:val="left" w:pos="567"/>
              </w:tabs>
            </w:pPr>
            <w:r>
              <w:rPr>
                <w:noProof/>
              </w:rPr>
              <w:drawing>
                <wp:anchor distT="0" distB="0" distL="114300" distR="114300" simplePos="0" relativeHeight="251677697" behindDoc="0" locked="0" layoutInCell="1" allowOverlap="1" wp14:anchorId="513C8AC2" wp14:editId="6B211F08">
                  <wp:simplePos x="0" y="0"/>
                  <wp:positionH relativeFrom="column">
                    <wp:posOffset>0</wp:posOffset>
                  </wp:positionH>
                  <wp:positionV relativeFrom="paragraph">
                    <wp:posOffset>15875</wp:posOffset>
                  </wp:positionV>
                  <wp:extent cx="1818005" cy="1452245"/>
                  <wp:effectExtent l="0" t="0" r="0" b="0"/>
                  <wp:wrapNone/>
                  <wp:docPr id="131669450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694504"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18005" cy="1452245"/>
                          </a:xfrm>
                          <a:prstGeom prst="rect">
                            <a:avLst/>
                          </a:prstGeom>
                        </pic:spPr>
                      </pic:pic>
                    </a:graphicData>
                  </a:graphic>
                </wp:anchor>
              </w:drawing>
            </w:r>
          </w:p>
        </w:tc>
        <w:tc>
          <w:tcPr>
            <w:tcW w:w="5602" w:type="dxa"/>
          </w:tcPr>
          <w:p w14:paraId="518DE97B" w14:textId="5C88E9E4" w:rsidR="005D7F73" w:rsidRPr="003461F7" w:rsidRDefault="005D7F73" w:rsidP="008B3360">
            <w:pPr>
              <w:tabs>
                <w:tab w:val="left" w:pos="567"/>
              </w:tabs>
              <w:rPr>
                <w:highlight w:val="yellow"/>
              </w:rPr>
            </w:pPr>
          </w:p>
        </w:tc>
      </w:tr>
      <w:tr w:rsidR="00F3001F" w14:paraId="47F50DD7" w14:textId="77777777" w:rsidTr="00E343C8">
        <w:tc>
          <w:tcPr>
            <w:tcW w:w="1555" w:type="dxa"/>
          </w:tcPr>
          <w:p w14:paraId="7D7FF9D6" w14:textId="77777777" w:rsidR="00AC630E" w:rsidRDefault="00AC630E" w:rsidP="00044607">
            <w:pPr>
              <w:tabs>
                <w:tab w:val="left" w:pos="567"/>
              </w:tabs>
            </w:pPr>
            <w:r>
              <w:t>A.2.2.8/</w:t>
            </w:r>
            <w:r w:rsidR="005721FD">
              <w:t xml:space="preserve"> </w:t>
            </w:r>
            <w:r>
              <w:t>BL 1.1</w:t>
            </w:r>
          </w:p>
          <w:p w14:paraId="425C3449" w14:textId="31A06F91" w:rsidR="005721FD" w:rsidRPr="00AC630E" w:rsidRDefault="005721FD" w:rsidP="00044607">
            <w:pPr>
              <w:tabs>
                <w:tab w:val="left" w:pos="567"/>
              </w:tabs>
            </w:pPr>
            <w:r w:rsidRPr="00044607">
              <w:rPr>
                <w:i/>
                <w:iCs/>
              </w:rPr>
              <w:t>Barrierefreie Gesundheitsdienste</w:t>
            </w:r>
          </w:p>
        </w:tc>
        <w:tc>
          <w:tcPr>
            <w:tcW w:w="3118" w:type="dxa"/>
          </w:tcPr>
          <w:p w14:paraId="664EB6AC" w14:textId="6CA4C5E2" w:rsidR="00AC630E" w:rsidRPr="00495A80" w:rsidRDefault="00495A80" w:rsidP="00044607">
            <w:pPr>
              <w:tabs>
                <w:tab w:val="left" w:pos="567"/>
              </w:tabs>
            </w:pPr>
            <w:r w:rsidRPr="00495A80">
              <w:t xml:space="preserve">In allen Gesundheitsinstitutionen werden Audits zu deren Barrierefreiheit durch die 4 </w:t>
            </w:r>
            <w:proofErr w:type="spellStart"/>
            <w:r w:rsidRPr="00495A80">
              <w:t>DPOs</w:t>
            </w:r>
            <w:proofErr w:type="spellEnd"/>
            <w:r w:rsidRPr="00495A80">
              <w:t xml:space="preserve"> durchgeführt. Ergebnis der Audits sind jeweils ein Bericht mit Ergebnissen und Empfehlungen für Anpassungsbedarf. In jeder Einrichtung sollen im Anschluss notwendige Umbauarbeiten für eine verbesserte Barrierefreiheit erfolgen.</w:t>
            </w:r>
          </w:p>
        </w:tc>
        <w:tc>
          <w:tcPr>
            <w:tcW w:w="6401" w:type="dxa"/>
          </w:tcPr>
          <w:p w14:paraId="47FE8FA5" w14:textId="6A28C3A5" w:rsidR="00EE4AF1" w:rsidRDefault="00EE4AF1" w:rsidP="00EE4AF1">
            <w:pPr>
              <w:tabs>
                <w:tab w:val="left" w:pos="567"/>
              </w:tabs>
            </w:pPr>
            <w:r>
              <w:t xml:space="preserve">Folgende </w:t>
            </w:r>
            <w:r w:rsidR="00F3001F">
              <w:t>16 Gesundheitsstationen in den vier Projektdistrikten wurden barrierefrei umgebaut/angepasst.</w:t>
            </w:r>
            <w:r>
              <w:t xml:space="preserve"> Zuvor wurden Audits zur Barrierefreiheit durchgeführt und festgelegt welche Maßnahmen notwendig sind:</w:t>
            </w:r>
          </w:p>
          <w:p w14:paraId="7B50642D" w14:textId="38D373AB" w:rsidR="00EE4AF1" w:rsidRDefault="00EE4AF1" w:rsidP="00EE4AF1">
            <w:pPr>
              <w:tabs>
                <w:tab w:val="left" w:pos="567"/>
              </w:tabs>
            </w:pPr>
            <w:r>
              <w:rPr>
                <w:noProof/>
              </w:rPr>
              <w:drawing>
                <wp:inline distT="0" distB="0" distL="0" distR="0" wp14:anchorId="23092936" wp14:editId="317EB809">
                  <wp:extent cx="3652328" cy="1824516"/>
                  <wp:effectExtent l="0" t="0" r="5715" b="4445"/>
                  <wp:docPr id="41224703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247030" name=""/>
                          <pic:cNvPicPr/>
                        </pic:nvPicPr>
                        <pic:blipFill>
                          <a:blip r:embed="rId23"/>
                          <a:stretch>
                            <a:fillRect/>
                          </a:stretch>
                        </pic:blipFill>
                        <pic:spPr>
                          <a:xfrm>
                            <a:off x="0" y="0"/>
                            <a:ext cx="3670590" cy="1833639"/>
                          </a:xfrm>
                          <a:prstGeom prst="rect">
                            <a:avLst/>
                          </a:prstGeom>
                        </pic:spPr>
                      </pic:pic>
                    </a:graphicData>
                  </a:graphic>
                </wp:inline>
              </w:drawing>
            </w:r>
          </w:p>
          <w:p w14:paraId="74C2E2BC" w14:textId="428411DA" w:rsidR="00AC630E" w:rsidRPr="00AC630E" w:rsidRDefault="00AC630E" w:rsidP="00044607">
            <w:pPr>
              <w:tabs>
                <w:tab w:val="left" w:pos="567"/>
              </w:tabs>
            </w:pPr>
          </w:p>
        </w:tc>
        <w:tc>
          <w:tcPr>
            <w:tcW w:w="5602" w:type="dxa"/>
          </w:tcPr>
          <w:p w14:paraId="6F737B6E" w14:textId="78D03E1B" w:rsidR="00AC630E" w:rsidRDefault="00EE4AF1" w:rsidP="00044607">
            <w:pPr>
              <w:tabs>
                <w:tab w:val="left" w:pos="567"/>
              </w:tabs>
            </w:pPr>
            <w:r>
              <w:t>Keine Abweichungen.</w:t>
            </w:r>
          </w:p>
          <w:p w14:paraId="4CBBFB52" w14:textId="0B588714" w:rsidR="00F3001F" w:rsidRDefault="00F3001F" w:rsidP="00044607">
            <w:pPr>
              <w:tabs>
                <w:tab w:val="left" w:pos="567"/>
              </w:tabs>
              <w:rPr>
                <w:noProof/>
              </w:rPr>
            </w:pPr>
          </w:p>
          <w:p w14:paraId="41D949E8" w14:textId="3487B541" w:rsidR="00F3001F" w:rsidRPr="00AC630E" w:rsidRDefault="00F3001F" w:rsidP="00044607">
            <w:pPr>
              <w:tabs>
                <w:tab w:val="left" w:pos="567"/>
              </w:tabs>
            </w:pPr>
          </w:p>
        </w:tc>
      </w:tr>
      <w:tr w:rsidR="00F3001F" w14:paraId="47655A47" w14:textId="77777777" w:rsidTr="00E343C8">
        <w:tc>
          <w:tcPr>
            <w:tcW w:w="1555" w:type="dxa"/>
          </w:tcPr>
          <w:p w14:paraId="1F20D2AA" w14:textId="322AF00E" w:rsidR="00AC630E" w:rsidRPr="00AC630E" w:rsidRDefault="00AC630E" w:rsidP="00044607">
            <w:pPr>
              <w:tabs>
                <w:tab w:val="left" w:pos="567"/>
              </w:tabs>
              <w:rPr>
                <w:b/>
                <w:bCs/>
              </w:rPr>
            </w:pPr>
            <w:r w:rsidRPr="00AC630E">
              <w:rPr>
                <w:b/>
                <w:bCs/>
              </w:rPr>
              <w:t>A.2.3</w:t>
            </w:r>
          </w:p>
        </w:tc>
        <w:tc>
          <w:tcPr>
            <w:tcW w:w="15121" w:type="dxa"/>
            <w:gridSpan w:val="3"/>
          </w:tcPr>
          <w:p w14:paraId="6DB80359" w14:textId="2BEB3AF0" w:rsidR="00AC630E" w:rsidRPr="00044607" w:rsidRDefault="00AC630E" w:rsidP="00044607">
            <w:pPr>
              <w:tabs>
                <w:tab w:val="left" w:pos="567"/>
              </w:tabs>
              <w:rPr>
                <w:b/>
                <w:bCs/>
                <w:i/>
                <w:iCs/>
              </w:rPr>
            </w:pPr>
            <w:r w:rsidRPr="00044607">
              <w:rPr>
                <w:b/>
                <w:bCs/>
                <w:i/>
                <w:iCs/>
              </w:rPr>
              <w:t>Augen- und Ohrenbehandlungen und -operationen durch staatlichen Einrichtungen</w:t>
            </w:r>
          </w:p>
        </w:tc>
      </w:tr>
      <w:tr w:rsidR="00F3001F" w:rsidRPr="00AC630E" w14:paraId="511CEC3E" w14:textId="77777777" w:rsidTr="00E343C8">
        <w:tc>
          <w:tcPr>
            <w:tcW w:w="1555" w:type="dxa"/>
          </w:tcPr>
          <w:p w14:paraId="7ABA151D" w14:textId="31396D16" w:rsidR="00AC630E" w:rsidRPr="00AC630E" w:rsidRDefault="00AC630E" w:rsidP="00044607">
            <w:pPr>
              <w:tabs>
                <w:tab w:val="left" w:pos="567"/>
              </w:tabs>
            </w:pPr>
            <w:r w:rsidRPr="00AC630E">
              <w:t>A.2.3.1/</w:t>
            </w:r>
            <w:r w:rsidR="005721FD">
              <w:t xml:space="preserve"> </w:t>
            </w:r>
            <w:r w:rsidRPr="00AC630E">
              <w:t>BL 2.4</w:t>
            </w:r>
          </w:p>
          <w:p w14:paraId="0650B66F" w14:textId="78A20B6F" w:rsidR="00AC630E" w:rsidRPr="00AC630E" w:rsidRDefault="005721FD" w:rsidP="00044607">
            <w:pPr>
              <w:tabs>
                <w:tab w:val="left" w:pos="567"/>
              </w:tabs>
            </w:pPr>
            <w:r w:rsidRPr="00044607">
              <w:rPr>
                <w:i/>
                <w:iCs/>
              </w:rPr>
              <w:t xml:space="preserve">3200 Katarakt-Operationen am </w:t>
            </w:r>
            <w:proofErr w:type="spellStart"/>
            <w:r w:rsidRPr="00044607">
              <w:rPr>
                <w:i/>
                <w:iCs/>
              </w:rPr>
              <w:t>Surkhet</w:t>
            </w:r>
            <w:proofErr w:type="spellEnd"/>
            <w:r w:rsidRPr="00044607">
              <w:rPr>
                <w:i/>
                <w:iCs/>
              </w:rPr>
              <w:t xml:space="preserve"> Eye Hospital  </w:t>
            </w:r>
          </w:p>
        </w:tc>
        <w:tc>
          <w:tcPr>
            <w:tcW w:w="3118" w:type="dxa"/>
          </w:tcPr>
          <w:p w14:paraId="61736A0F" w14:textId="660B7083" w:rsidR="00AC630E" w:rsidRPr="007035C7" w:rsidRDefault="007035C7" w:rsidP="00044607">
            <w:pPr>
              <w:tabs>
                <w:tab w:val="left" w:pos="567"/>
              </w:tabs>
            </w:pPr>
            <w:r w:rsidRPr="007035C7">
              <w:t xml:space="preserve">Im Projekt </w:t>
            </w:r>
            <w:r w:rsidR="004D3EC7">
              <w:t>sind</w:t>
            </w:r>
            <w:r w:rsidRPr="007035C7">
              <w:t xml:space="preserve"> </w:t>
            </w:r>
            <w:r w:rsidR="004D3EC7">
              <w:t xml:space="preserve">Kosten </w:t>
            </w:r>
            <w:r w:rsidRPr="007035C7">
              <w:t>für ca. 3.200 Patienten</w:t>
            </w:r>
            <w:r w:rsidR="004D3EC7">
              <w:t xml:space="preserve"> vorgesehen</w:t>
            </w:r>
            <w:r w:rsidRPr="007035C7">
              <w:t xml:space="preserve"> in denen Verbrauchsmaterial (</w:t>
            </w:r>
            <w:proofErr w:type="spellStart"/>
            <w:r w:rsidRPr="007035C7">
              <w:t>IOL</w:t>
            </w:r>
            <w:proofErr w:type="spellEnd"/>
            <w:r w:rsidRPr="007035C7">
              <w:t>-Linsen, OP-Instrumente) sowie laufende Kosten beinhaltet sind</w:t>
            </w:r>
            <w:r w:rsidR="004D3EC7">
              <w:t>.</w:t>
            </w:r>
          </w:p>
        </w:tc>
        <w:tc>
          <w:tcPr>
            <w:tcW w:w="6401" w:type="dxa"/>
          </w:tcPr>
          <w:p w14:paraId="23B8A1F5" w14:textId="3E9A533C" w:rsidR="00AC630E" w:rsidRPr="00AC630E" w:rsidRDefault="00A00773" w:rsidP="00044607">
            <w:pPr>
              <w:tabs>
                <w:tab w:val="left" w:pos="567"/>
              </w:tabs>
            </w:pPr>
            <w:r>
              <w:t xml:space="preserve">941 </w:t>
            </w:r>
            <w:r w:rsidR="0069555D">
              <w:t xml:space="preserve">bezuschusste </w:t>
            </w:r>
            <w:r>
              <w:t xml:space="preserve">Kataraktoperationen wurden am </w:t>
            </w:r>
            <w:proofErr w:type="spellStart"/>
            <w:r>
              <w:t>Surkhet</w:t>
            </w:r>
            <w:proofErr w:type="spellEnd"/>
            <w:r>
              <w:t xml:space="preserve"> Eye Hospital durchgeführt.</w:t>
            </w:r>
          </w:p>
        </w:tc>
        <w:tc>
          <w:tcPr>
            <w:tcW w:w="5602" w:type="dxa"/>
          </w:tcPr>
          <w:p w14:paraId="31D85741" w14:textId="293F39E3" w:rsidR="00AC630E" w:rsidRDefault="001B5ECA" w:rsidP="00044607">
            <w:pPr>
              <w:tabs>
                <w:tab w:val="left" w:pos="567"/>
              </w:tabs>
            </w:pPr>
            <w:r>
              <w:t>Ursprünglich sah der Projektplan vor, 3</w:t>
            </w:r>
            <w:r w:rsidR="00961255">
              <w:t>.</w:t>
            </w:r>
            <w:r>
              <w:t xml:space="preserve">200 Kataraktoperationen am </w:t>
            </w:r>
            <w:proofErr w:type="spellStart"/>
            <w:r>
              <w:t>Surkhet</w:t>
            </w:r>
            <w:proofErr w:type="spellEnd"/>
            <w:r>
              <w:t xml:space="preserve"> Eye Hospital durchzuführen. </w:t>
            </w:r>
            <w:r w:rsidR="00E308CB" w:rsidRPr="00E308CB">
              <w:t xml:space="preserve">Die Kosten hierfür waren degressiv geplant, sodass am </w:t>
            </w:r>
            <w:proofErr w:type="spellStart"/>
            <w:r w:rsidR="00E308CB" w:rsidRPr="00E308CB">
              <w:t>Ende</w:t>
            </w:r>
            <w:proofErr w:type="spellEnd"/>
            <w:r w:rsidR="00E308CB" w:rsidRPr="00E308CB">
              <w:t xml:space="preserve"> 20% der Behandlungen durch einen Poor Patient Fund abgedeckt werden </w:t>
            </w:r>
            <w:r>
              <w:t xml:space="preserve">sollten </w:t>
            </w:r>
            <w:r w:rsidR="00E308CB" w:rsidRPr="00E308CB">
              <w:t>(</w:t>
            </w:r>
            <w:r>
              <w:t xml:space="preserve">dies wurde </w:t>
            </w:r>
            <w:r w:rsidR="00E308CB" w:rsidRPr="00E308CB">
              <w:t>wirksam etabliert), 60% durch zahlende Patient</w:t>
            </w:r>
            <w:r>
              <w:t>Innen</w:t>
            </w:r>
            <w:r w:rsidR="00E308CB" w:rsidRPr="00E308CB">
              <w:t xml:space="preserve"> sowie 20% durch die Krankenversicherung. Was während der Planung des Projektes noch nicht absehbar war, ist die Tatsache, dass die existierende Krankenversicherung flächendeckend ausgerollt wurde und </w:t>
            </w:r>
            <w:r>
              <w:t xml:space="preserve">bereits während der Projektlaufzeit </w:t>
            </w:r>
            <w:r w:rsidR="00E308CB" w:rsidRPr="00E308CB">
              <w:t>die Kosten für Augenoperationen tr</w:t>
            </w:r>
            <w:r>
              <w:t>ug</w:t>
            </w:r>
            <w:r w:rsidR="00E308CB" w:rsidRPr="00E308CB">
              <w:t xml:space="preserve">. Der Bedarf an subventionierten Operationen war somit weitaus geringer als geplant. Das Projekt hatte die geplanten Operationen </w:t>
            </w:r>
            <w:r w:rsidR="0069555D">
              <w:t>(Summe aus bezuschussten und nicht bezuschussten Operationen &gt;3</w:t>
            </w:r>
            <w:r w:rsidR="00961255">
              <w:t>.</w:t>
            </w:r>
            <w:r w:rsidR="0069555D">
              <w:t xml:space="preserve">200) </w:t>
            </w:r>
            <w:r w:rsidR="00E308CB" w:rsidRPr="00E308CB">
              <w:t>bereits fast komplett erreicht und dennoch Minderausgaben zu verzeichnen.</w:t>
            </w:r>
            <w:r>
              <w:t xml:space="preserve"> Daher baten wir um Erlaubnis, weitere Outreach- und </w:t>
            </w:r>
            <w:proofErr w:type="spellStart"/>
            <w:r>
              <w:t>Screeningcamps</w:t>
            </w:r>
            <w:proofErr w:type="spellEnd"/>
            <w:r>
              <w:t xml:space="preserve"> durchführen zu dürfen. Dies wurde von </w:t>
            </w:r>
            <w:proofErr w:type="spellStart"/>
            <w:r>
              <w:t>Bengo</w:t>
            </w:r>
            <w:proofErr w:type="spellEnd"/>
            <w:r>
              <w:t xml:space="preserve"> genehmigt (siehe auch A.2.3.2)</w:t>
            </w:r>
          </w:p>
          <w:p w14:paraId="7D2A0C0B" w14:textId="0FC9FFAF" w:rsidR="0069555D" w:rsidRPr="00AC630E" w:rsidRDefault="0069555D" w:rsidP="00044607">
            <w:pPr>
              <w:tabs>
                <w:tab w:val="left" w:pos="567"/>
              </w:tabs>
            </w:pPr>
          </w:p>
        </w:tc>
      </w:tr>
      <w:tr w:rsidR="00F3001F" w:rsidRPr="00AC630E" w14:paraId="64B58D5E" w14:textId="77777777" w:rsidTr="00E343C8">
        <w:tc>
          <w:tcPr>
            <w:tcW w:w="1555" w:type="dxa"/>
          </w:tcPr>
          <w:p w14:paraId="03895A60" w14:textId="77777777" w:rsidR="00AC630E" w:rsidRDefault="00AC630E" w:rsidP="0014703F">
            <w:pPr>
              <w:tabs>
                <w:tab w:val="left" w:pos="567"/>
              </w:tabs>
              <w:jc w:val="both"/>
            </w:pPr>
            <w:r>
              <w:t>A.2.3.2/</w:t>
            </w:r>
            <w:r w:rsidR="005721FD">
              <w:t xml:space="preserve"> </w:t>
            </w:r>
            <w:r>
              <w:t>BL 2.4</w:t>
            </w:r>
          </w:p>
          <w:p w14:paraId="5D9FF63D" w14:textId="475CB7CB" w:rsidR="005721FD" w:rsidRPr="00AC630E" w:rsidRDefault="005721FD" w:rsidP="0014703F">
            <w:pPr>
              <w:tabs>
                <w:tab w:val="left" w:pos="567"/>
              </w:tabs>
              <w:jc w:val="both"/>
            </w:pPr>
            <w:r w:rsidRPr="00044607">
              <w:rPr>
                <w:i/>
                <w:iCs/>
              </w:rPr>
              <w:t>Durchführung von 2000 Katarakt-OP-Kampagnen in abgelegenen Regionen</w:t>
            </w:r>
          </w:p>
        </w:tc>
        <w:tc>
          <w:tcPr>
            <w:tcW w:w="3118" w:type="dxa"/>
          </w:tcPr>
          <w:p w14:paraId="5CB67BB1" w14:textId="14F8452A" w:rsidR="00AC630E" w:rsidRPr="008C2C9E" w:rsidRDefault="008C2C9E" w:rsidP="0014703F">
            <w:pPr>
              <w:tabs>
                <w:tab w:val="left" w:pos="567"/>
              </w:tabs>
              <w:jc w:val="both"/>
            </w:pPr>
            <w:r w:rsidRPr="008C2C9E">
              <w:t xml:space="preserve">Da die Gesundheitsstationen für die besonderen Anforderungen von Operationen nicht ausgestattet sind, werden Operationsräumlichkeiten der staatlichen Gesundheitseinrichtungen verwendet. Falls diese nicht vorhanden sind, werden Räumlichkeiten der Gemeinde genutzt und angemessene Hygienemaßnahmen gegen Infektionen ergriffen.  Die Operationskosten sind degressiv geplant und werden von </w:t>
            </w:r>
            <w:proofErr w:type="spellStart"/>
            <w:r w:rsidRPr="008C2C9E">
              <w:t>NNJS</w:t>
            </w:r>
            <w:proofErr w:type="spellEnd"/>
            <w:r w:rsidRPr="008C2C9E">
              <w:t xml:space="preserve"> im Projekt sukzessive und nach Projektende komplett übernommen werden. Es sollen 2.000 Menschen operiert werden.</w:t>
            </w:r>
          </w:p>
        </w:tc>
        <w:tc>
          <w:tcPr>
            <w:tcW w:w="6401" w:type="dxa"/>
          </w:tcPr>
          <w:p w14:paraId="5FB426F7" w14:textId="799C7986" w:rsidR="00AC630E" w:rsidRPr="00AC630E" w:rsidRDefault="001B5ECA" w:rsidP="0014703F">
            <w:pPr>
              <w:tabs>
                <w:tab w:val="left" w:pos="567"/>
              </w:tabs>
              <w:jc w:val="both"/>
            </w:pPr>
            <w:r>
              <w:t>2</w:t>
            </w:r>
            <w:r w:rsidR="00961255">
              <w:t>.</w:t>
            </w:r>
            <w:r>
              <w:t xml:space="preserve">886 Kataraktoperationen wurden in abgelegenen Gebieten der </w:t>
            </w:r>
            <w:proofErr w:type="spellStart"/>
            <w:r>
              <w:t>Karnali</w:t>
            </w:r>
            <w:proofErr w:type="spellEnd"/>
            <w:r>
              <w:t xml:space="preserve"> Provinz durchgeführt</w:t>
            </w:r>
            <w:r w:rsidR="0069555D">
              <w:t>.</w:t>
            </w:r>
          </w:p>
        </w:tc>
        <w:tc>
          <w:tcPr>
            <w:tcW w:w="5602" w:type="dxa"/>
          </w:tcPr>
          <w:p w14:paraId="1D47C0A0" w14:textId="574D5B31" w:rsidR="00AC630E" w:rsidRPr="00AC630E" w:rsidRDefault="00380C1D" w:rsidP="0014703F">
            <w:pPr>
              <w:tabs>
                <w:tab w:val="left" w:pos="567"/>
              </w:tabs>
              <w:jc w:val="both"/>
            </w:pPr>
            <w:r>
              <w:t xml:space="preserve">Wie bereits unter Punkt 2 dargelegt, sah der ursprüngliche Projektplan unter anderem vor, dass durch den Ausbau der Primary Health Center und die Aufnahme von augenmedizinischen Diensten in diesen, Menschen aus den abgelegenen, bergigen Regionen der Provinz </w:t>
            </w:r>
            <w:proofErr w:type="spellStart"/>
            <w:r>
              <w:t>Karnali</w:t>
            </w:r>
            <w:proofErr w:type="spellEnd"/>
            <w:r>
              <w:t xml:space="preserve"> dort behandelt bzw. von dort in das Krankenhaus überwiesen werden können. Durch das Corona-Jahr 2021 und die damit verbundenen Einschränkungen der Bewegungsfreiheit für lange Zeiträume, ist dies jedoch leider nicht eingetreten. Auch konnten im Jahr 2021 nur wenig Awareness Raising Aktivitäten in den Gebieten stattfinden, sodass das Wissen über die Angebote der Primary Health Center und das </w:t>
            </w:r>
            <w:proofErr w:type="spellStart"/>
            <w:r>
              <w:t>Surkhet</w:t>
            </w:r>
            <w:proofErr w:type="spellEnd"/>
            <w:r>
              <w:t xml:space="preserve"> Eye Hospital gering blieben. Trotz des enormen Bedarfs an Augenbehandlungen in den abgelegenen Regionen, zögerten die Menschen auch im Jahr 2022 und zu Beginn 2023, für Behandlungen den Weg nach </w:t>
            </w:r>
            <w:proofErr w:type="spellStart"/>
            <w:r>
              <w:t>Surkhet</w:t>
            </w:r>
            <w:proofErr w:type="spellEnd"/>
            <w:r>
              <w:t xml:space="preserve"> anzutreten. Der Weg aus dem Himalaya Gebirge ist sehr beschwerlich und teilweise schwer zugänglich. Mehrstündige Wanderungen ohne befestigte Wege sind vor allem für Menschen mit eingeschränkter Sicht nicht allein zu bewältigen. Eine Begleitperson mitzunehmen war für die meisten Betroffene finanziell nicht möglich. Daher h</w:t>
            </w:r>
            <w:r w:rsidRPr="00972BCE">
              <w:t>aben wir um Erlaubnis gebeten,</w:t>
            </w:r>
            <w:r>
              <w:t xml:space="preserve"> zusätzliche</w:t>
            </w:r>
            <w:r w:rsidRPr="00972BCE">
              <w:t xml:space="preserve"> </w:t>
            </w:r>
            <w:r w:rsidR="0069555D">
              <w:t>O</w:t>
            </w:r>
            <w:r w:rsidRPr="00972BCE">
              <w:t>utreach</w:t>
            </w:r>
            <w:r w:rsidR="0069555D">
              <w:t>-</w:t>
            </w:r>
            <w:r w:rsidRPr="00972BCE">
              <w:t>/</w:t>
            </w:r>
            <w:r w:rsidR="0069555D">
              <w:t>S</w:t>
            </w:r>
            <w:r w:rsidRPr="00972BCE">
              <w:t>creening</w:t>
            </w:r>
            <w:r w:rsidR="0069555D">
              <w:t>-</w:t>
            </w:r>
            <w:r>
              <w:t>C</w:t>
            </w:r>
            <w:r w:rsidRPr="00972BCE">
              <w:t xml:space="preserve">amps sowie den Transport in das </w:t>
            </w:r>
            <w:proofErr w:type="spellStart"/>
            <w:r w:rsidRPr="00972BCE">
              <w:t>Surkhet</w:t>
            </w:r>
            <w:proofErr w:type="spellEnd"/>
            <w:r w:rsidRPr="00972BCE">
              <w:t xml:space="preserve"> Eye Hospital für operationsbedürftige Menschen projektbezuschusst durchzuführen. </w:t>
            </w:r>
            <w:r>
              <w:t>Der finanzielle Mehraufwand konnte durch Minderausgaben in der Aktivität A.2.3.1 gedeckt werden.</w:t>
            </w:r>
          </w:p>
        </w:tc>
      </w:tr>
      <w:tr w:rsidR="00F3001F" w:rsidRPr="00AC630E" w14:paraId="57DA54E8" w14:textId="77777777" w:rsidTr="00E343C8">
        <w:tc>
          <w:tcPr>
            <w:tcW w:w="1555" w:type="dxa"/>
          </w:tcPr>
          <w:p w14:paraId="12CB17F7" w14:textId="008A247C" w:rsidR="00AC630E" w:rsidRDefault="00AC630E" w:rsidP="0014703F">
            <w:pPr>
              <w:tabs>
                <w:tab w:val="left" w:pos="567"/>
              </w:tabs>
              <w:jc w:val="both"/>
            </w:pPr>
            <w:r>
              <w:t>A.2.3.3/</w:t>
            </w:r>
            <w:r w:rsidR="0000107D">
              <w:t xml:space="preserve"> </w:t>
            </w:r>
            <w:r>
              <w:t>BL 2.4</w:t>
            </w:r>
          </w:p>
          <w:p w14:paraId="146324B7" w14:textId="77777777" w:rsidR="0000107D" w:rsidRPr="00D213D0" w:rsidRDefault="0000107D" w:rsidP="0000107D">
            <w:pPr>
              <w:tabs>
                <w:tab w:val="left" w:pos="567"/>
              </w:tabs>
              <w:jc w:val="both"/>
              <w:rPr>
                <w:i/>
                <w:iCs/>
              </w:rPr>
            </w:pPr>
            <w:r w:rsidRPr="00D213D0">
              <w:rPr>
                <w:i/>
                <w:iCs/>
              </w:rPr>
              <w:t>Ohren-Operationskampagnen</w:t>
            </w:r>
          </w:p>
          <w:p w14:paraId="23FD47C9" w14:textId="0750299C" w:rsidR="0000107D" w:rsidRPr="00AC630E" w:rsidRDefault="0000107D" w:rsidP="0014703F">
            <w:pPr>
              <w:tabs>
                <w:tab w:val="left" w:pos="567"/>
              </w:tabs>
              <w:jc w:val="both"/>
            </w:pPr>
          </w:p>
        </w:tc>
        <w:tc>
          <w:tcPr>
            <w:tcW w:w="3118" w:type="dxa"/>
          </w:tcPr>
          <w:p w14:paraId="46B7AE6E" w14:textId="21BC5995" w:rsidR="00113843" w:rsidRPr="00AC630E" w:rsidRDefault="00113843" w:rsidP="0014703F">
            <w:pPr>
              <w:tabs>
                <w:tab w:val="left" w:pos="567"/>
              </w:tabs>
              <w:jc w:val="both"/>
            </w:pPr>
            <w:r w:rsidRPr="00113843">
              <w:t xml:space="preserve">Pro Jahr wird in jeder Region eine OP-Kampagne durch ein Operationsteams des </w:t>
            </w:r>
            <w:proofErr w:type="spellStart"/>
            <w:r w:rsidRPr="00113843">
              <w:t>Karnali</w:t>
            </w:r>
            <w:proofErr w:type="spellEnd"/>
            <w:r w:rsidRPr="00113843">
              <w:t xml:space="preserve"> </w:t>
            </w:r>
            <w:proofErr w:type="spellStart"/>
            <w:r w:rsidRPr="00113843">
              <w:t>Provincial</w:t>
            </w:r>
            <w:proofErr w:type="spellEnd"/>
            <w:r w:rsidRPr="00113843">
              <w:t xml:space="preserve"> Hospital durchgeführt. Die OP-Teams werden aus </w:t>
            </w:r>
            <w:proofErr w:type="spellStart"/>
            <w:r w:rsidRPr="00113843">
              <w:t>ENT</w:t>
            </w:r>
            <w:proofErr w:type="spellEnd"/>
            <w:r w:rsidRPr="00113843">
              <w:t xml:space="preserve">-Arzt und </w:t>
            </w:r>
            <w:proofErr w:type="spellStart"/>
            <w:r w:rsidRPr="00113843">
              <w:t>ENT</w:t>
            </w:r>
            <w:proofErr w:type="spellEnd"/>
            <w:r w:rsidRPr="00113843">
              <w:t xml:space="preserve"> Krankenschwestern bestehen und durch Projektmitarbeiter begleitet. Pro Kampagne, die einmal im Jahr in jedem Distrikt stattfindet, werden ca.  arme 80 Patienten also insgesamt arme 320 Patienten behandelt.</w:t>
            </w:r>
          </w:p>
        </w:tc>
        <w:tc>
          <w:tcPr>
            <w:tcW w:w="6401" w:type="dxa"/>
          </w:tcPr>
          <w:p w14:paraId="0FAB8596" w14:textId="2EF80459" w:rsidR="00AC630E" w:rsidRPr="00AC630E" w:rsidRDefault="00113843" w:rsidP="0014703F">
            <w:pPr>
              <w:tabs>
                <w:tab w:val="left" w:pos="567"/>
              </w:tabs>
              <w:jc w:val="both"/>
            </w:pPr>
            <w:r>
              <w:t xml:space="preserve">Während der Projektlaufzeit konnten 384 Menschen eine Ohrenbehandlungen erhalten. </w:t>
            </w:r>
          </w:p>
        </w:tc>
        <w:tc>
          <w:tcPr>
            <w:tcW w:w="5602" w:type="dxa"/>
          </w:tcPr>
          <w:p w14:paraId="423073E1" w14:textId="442C50BE" w:rsidR="00AC630E" w:rsidRPr="00AC630E" w:rsidRDefault="00113843" w:rsidP="0014703F">
            <w:pPr>
              <w:tabs>
                <w:tab w:val="left" w:pos="567"/>
              </w:tabs>
              <w:jc w:val="both"/>
            </w:pPr>
            <w:r>
              <w:t>Aufgrund der Komplexität von Ohrenoperationen konnten nicht alle PatientInnen ihren Eingriff während der Operationscamps erhalten. Ein Teil der PatientInnen wurde deshalb in die HNO</w:t>
            </w:r>
            <w:r w:rsidR="00B801BF">
              <w:t>-</w:t>
            </w:r>
            <w:r>
              <w:t xml:space="preserve">Abteilung des </w:t>
            </w:r>
            <w:proofErr w:type="spellStart"/>
            <w:r>
              <w:t>Karnali</w:t>
            </w:r>
            <w:proofErr w:type="spellEnd"/>
            <w:r>
              <w:t xml:space="preserve"> Province Hospital überwiesen und erhielt dort ihre Ohrenoperation.</w:t>
            </w:r>
          </w:p>
        </w:tc>
      </w:tr>
      <w:tr w:rsidR="00F3001F" w:rsidRPr="00AC630E" w14:paraId="7891D7C0" w14:textId="77777777" w:rsidTr="00E343C8">
        <w:tc>
          <w:tcPr>
            <w:tcW w:w="1555" w:type="dxa"/>
          </w:tcPr>
          <w:p w14:paraId="6DF81DC6" w14:textId="260D9D4A" w:rsidR="00AC630E" w:rsidRPr="00AC630E" w:rsidRDefault="00AC630E" w:rsidP="0014703F">
            <w:pPr>
              <w:tabs>
                <w:tab w:val="left" w:pos="567"/>
              </w:tabs>
              <w:jc w:val="both"/>
              <w:rPr>
                <w:b/>
                <w:bCs/>
              </w:rPr>
            </w:pPr>
            <w:r w:rsidRPr="00AC630E">
              <w:rPr>
                <w:b/>
                <w:bCs/>
              </w:rPr>
              <w:t>A.2.4</w:t>
            </w:r>
          </w:p>
        </w:tc>
        <w:tc>
          <w:tcPr>
            <w:tcW w:w="15121" w:type="dxa"/>
            <w:gridSpan w:val="3"/>
          </w:tcPr>
          <w:p w14:paraId="2AF0F272" w14:textId="2FF0BD01" w:rsidR="00AC630E" w:rsidRPr="00AC630E" w:rsidRDefault="00AC630E" w:rsidP="0014703F">
            <w:pPr>
              <w:tabs>
                <w:tab w:val="left" w:pos="567"/>
              </w:tabs>
              <w:jc w:val="both"/>
              <w:rPr>
                <w:b/>
                <w:bCs/>
              </w:rPr>
            </w:pPr>
            <w:proofErr w:type="spellStart"/>
            <w:r w:rsidRPr="00AC630E">
              <w:rPr>
                <w:b/>
                <w:bCs/>
              </w:rPr>
              <w:t>Capacity</w:t>
            </w:r>
            <w:proofErr w:type="spellEnd"/>
            <w:r w:rsidRPr="00AC630E">
              <w:rPr>
                <w:b/>
                <w:bCs/>
              </w:rPr>
              <w:t xml:space="preserve"> Development im staatlichen Gesundheitsbereich</w:t>
            </w:r>
          </w:p>
        </w:tc>
      </w:tr>
      <w:tr w:rsidR="00F3001F" w:rsidRPr="00AC630E" w14:paraId="21BCF847" w14:textId="77777777" w:rsidTr="00E343C8">
        <w:tc>
          <w:tcPr>
            <w:tcW w:w="1555" w:type="dxa"/>
          </w:tcPr>
          <w:p w14:paraId="1C9111CA" w14:textId="77777777" w:rsidR="00AC630E" w:rsidRDefault="00AC630E" w:rsidP="0014703F">
            <w:pPr>
              <w:tabs>
                <w:tab w:val="left" w:pos="567"/>
              </w:tabs>
              <w:jc w:val="both"/>
            </w:pPr>
            <w:r>
              <w:t>A.2.4.1/BL 2.2</w:t>
            </w:r>
          </w:p>
          <w:p w14:paraId="04642809" w14:textId="77777777" w:rsidR="0000107D" w:rsidRPr="00D213D0" w:rsidRDefault="0000107D" w:rsidP="0000107D">
            <w:pPr>
              <w:tabs>
                <w:tab w:val="left" w:pos="567"/>
              </w:tabs>
              <w:jc w:val="both"/>
              <w:rPr>
                <w:i/>
                <w:iCs/>
              </w:rPr>
            </w:pPr>
            <w:r w:rsidRPr="00D213D0">
              <w:rPr>
                <w:i/>
                <w:iCs/>
              </w:rPr>
              <w:t>Fortbildung zu Instandhaltung von medizinischem Gerät</w:t>
            </w:r>
          </w:p>
          <w:p w14:paraId="0E0EE6E0" w14:textId="5FD94B1C" w:rsidR="0000107D" w:rsidRPr="00AC630E" w:rsidRDefault="0000107D" w:rsidP="0014703F">
            <w:pPr>
              <w:tabs>
                <w:tab w:val="left" w:pos="567"/>
              </w:tabs>
              <w:jc w:val="both"/>
            </w:pPr>
          </w:p>
        </w:tc>
        <w:tc>
          <w:tcPr>
            <w:tcW w:w="3118" w:type="dxa"/>
          </w:tcPr>
          <w:p w14:paraId="6CBBD83E" w14:textId="3DCAB4BE" w:rsidR="00113843" w:rsidRPr="00AC630E" w:rsidRDefault="00113843" w:rsidP="0014703F">
            <w:pPr>
              <w:tabs>
                <w:tab w:val="left" w:pos="567"/>
              </w:tabs>
              <w:jc w:val="both"/>
            </w:pPr>
            <w:r w:rsidRPr="002A5989">
              <w:rPr>
                <w:bCs/>
                <w:iCs/>
              </w:rPr>
              <w:t xml:space="preserve">Ein Techniker des </w:t>
            </w:r>
            <w:proofErr w:type="spellStart"/>
            <w:r w:rsidRPr="002A5989">
              <w:rPr>
                <w:bCs/>
                <w:iCs/>
              </w:rPr>
              <w:t>Surkhet</w:t>
            </w:r>
            <w:proofErr w:type="spellEnd"/>
            <w:r w:rsidRPr="002A5989">
              <w:rPr>
                <w:bCs/>
                <w:iCs/>
              </w:rPr>
              <w:t xml:space="preserve"> Eye Hospital erhält eine Fortbildung zu Instandhaltung der medizinischen Geräte im </w:t>
            </w:r>
            <w:proofErr w:type="spellStart"/>
            <w:r w:rsidRPr="002A5989">
              <w:rPr>
                <w:bCs/>
                <w:iCs/>
              </w:rPr>
              <w:t>Surkhet</w:t>
            </w:r>
            <w:proofErr w:type="spellEnd"/>
            <w:r w:rsidRPr="002A5989">
              <w:rPr>
                <w:bCs/>
                <w:iCs/>
              </w:rPr>
              <w:t xml:space="preserve"> Eye Hospital. Er wird zudem die Geräte der primären </w:t>
            </w:r>
            <w:r w:rsidR="00FB7CC2" w:rsidRPr="002A5989">
              <w:rPr>
                <w:bCs/>
                <w:iCs/>
              </w:rPr>
              <w:t>Gesundheitsstationen mitbetreuen</w:t>
            </w:r>
            <w:r w:rsidRPr="002A5989">
              <w:rPr>
                <w:bCs/>
                <w:iCs/>
              </w:rPr>
              <w:t>. Er nimmt hierfür an einer 3-tägigen Fortbildung im zweiten und dritten Projektjahr in teil</w:t>
            </w:r>
            <w:r w:rsidR="00FB7CC2">
              <w:rPr>
                <w:bCs/>
                <w:iCs/>
              </w:rPr>
              <w:t>.</w:t>
            </w:r>
          </w:p>
        </w:tc>
        <w:tc>
          <w:tcPr>
            <w:tcW w:w="6401" w:type="dxa"/>
          </w:tcPr>
          <w:p w14:paraId="7D63BD8D" w14:textId="47D2D013" w:rsidR="00AC630E" w:rsidRPr="00AC630E" w:rsidRDefault="00FB7CC2" w:rsidP="0014703F">
            <w:pPr>
              <w:tabs>
                <w:tab w:val="left" w:pos="567"/>
              </w:tabs>
              <w:jc w:val="both"/>
            </w:pPr>
            <w:r>
              <w:t>E</w:t>
            </w:r>
            <w:r w:rsidRPr="00FB7CC2">
              <w:t xml:space="preserve">in Techniker des </w:t>
            </w:r>
            <w:proofErr w:type="spellStart"/>
            <w:r w:rsidRPr="00FB7CC2">
              <w:t>Surkhet</w:t>
            </w:r>
            <w:proofErr w:type="spellEnd"/>
            <w:r w:rsidRPr="00FB7CC2">
              <w:t xml:space="preserve"> Eye Hospital </w:t>
            </w:r>
            <w:r>
              <w:t xml:space="preserve">wurde </w:t>
            </w:r>
            <w:r w:rsidRPr="00FB7CC2">
              <w:t xml:space="preserve">am Arvind Eye Institute in </w:t>
            </w:r>
            <w:proofErr w:type="spellStart"/>
            <w:r w:rsidRPr="00FB7CC2">
              <w:t>Madhurai</w:t>
            </w:r>
            <w:proofErr w:type="spellEnd"/>
            <w:r w:rsidRPr="00FB7CC2">
              <w:t xml:space="preserve">, Indien, </w:t>
            </w:r>
            <w:r>
              <w:t>fortgebildet</w:t>
            </w:r>
            <w:r w:rsidRPr="00FB7CC2">
              <w:t xml:space="preserve">. Nach der Schulung </w:t>
            </w:r>
            <w:r>
              <w:t>konnte das</w:t>
            </w:r>
            <w:r w:rsidRPr="00FB7CC2">
              <w:t xml:space="preserve"> </w:t>
            </w:r>
            <w:proofErr w:type="spellStart"/>
            <w:r w:rsidRPr="00FB7CC2">
              <w:t>Surkhet</w:t>
            </w:r>
            <w:proofErr w:type="spellEnd"/>
            <w:r w:rsidRPr="00FB7CC2">
              <w:t xml:space="preserve"> Eye Hospital </w:t>
            </w:r>
            <w:r>
              <w:t>ihn</w:t>
            </w:r>
            <w:r w:rsidRPr="00FB7CC2">
              <w:t xml:space="preserve"> für die Reparatur und Wartung der medizinischen Geräte </w:t>
            </w:r>
            <w:r>
              <w:t>einsetzen</w:t>
            </w:r>
            <w:r w:rsidRPr="00FB7CC2">
              <w:t xml:space="preserve">. </w:t>
            </w:r>
            <w:r>
              <w:t>Er unterstützte zudem das Projekt</w:t>
            </w:r>
            <w:r w:rsidRPr="00FB7CC2">
              <w:t xml:space="preserve"> bei der Installation von Augengeräten für die Eröffnung neuer Augenzentren und für chirurgische Outreach-Camps.</w:t>
            </w:r>
          </w:p>
        </w:tc>
        <w:tc>
          <w:tcPr>
            <w:tcW w:w="5602" w:type="dxa"/>
          </w:tcPr>
          <w:p w14:paraId="766BD450" w14:textId="518024F7" w:rsidR="00AC630E" w:rsidRPr="00AC630E" w:rsidRDefault="00FB7CC2" w:rsidP="0014703F">
            <w:pPr>
              <w:tabs>
                <w:tab w:val="left" w:pos="567"/>
              </w:tabs>
              <w:jc w:val="both"/>
            </w:pPr>
            <w:r>
              <w:t>Keine Abweichungen</w:t>
            </w:r>
          </w:p>
        </w:tc>
      </w:tr>
      <w:tr w:rsidR="00F3001F" w:rsidRPr="00AC630E" w14:paraId="1D306B6D" w14:textId="77777777" w:rsidTr="00E343C8">
        <w:tc>
          <w:tcPr>
            <w:tcW w:w="1555" w:type="dxa"/>
          </w:tcPr>
          <w:p w14:paraId="03F15DE4" w14:textId="2B5E75FC" w:rsidR="00AC630E" w:rsidRDefault="00AC630E" w:rsidP="0014703F">
            <w:pPr>
              <w:tabs>
                <w:tab w:val="left" w:pos="567"/>
              </w:tabs>
              <w:jc w:val="both"/>
            </w:pPr>
            <w:r>
              <w:t>A.2.4.2/</w:t>
            </w:r>
            <w:r w:rsidR="00B801BF">
              <w:t xml:space="preserve"> </w:t>
            </w:r>
            <w:r>
              <w:t>BL 2.2</w:t>
            </w:r>
          </w:p>
          <w:p w14:paraId="5DAB9B50" w14:textId="77777777" w:rsidR="00D213D0" w:rsidRPr="00D213D0" w:rsidRDefault="00D213D0" w:rsidP="00D213D0">
            <w:pPr>
              <w:tabs>
                <w:tab w:val="left" w:pos="567"/>
              </w:tabs>
              <w:jc w:val="both"/>
              <w:rPr>
                <w:i/>
                <w:iCs/>
              </w:rPr>
            </w:pPr>
            <w:r w:rsidRPr="00D213D0">
              <w:rPr>
                <w:i/>
                <w:iCs/>
              </w:rPr>
              <w:t>Audiologie-Training des staatlichen Gesundheitspersonals</w:t>
            </w:r>
          </w:p>
          <w:p w14:paraId="698D6EF7" w14:textId="61466761" w:rsidR="00D213D0" w:rsidRPr="00AC630E" w:rsidRDefault="00D213D0" w:rsidP="0014703F">
            <w:pPr>
              <w:tabs>
                <w:tab w:val="left" w:pos="567"/>
              </w:tabs>
              <w:jc w:val="both"/>
            </w:pPr>
          </w:p>
        </w:tc>
        <w:tc>
          <w:tcPr>
            <w:tcW w:w="3118" w:type="dxa"/>
          </w:tcPr>
          <w:p w14:paraId="71E6FC41" w14:textId="08F5D057" w:rsidR="00F802F7" w:rsidRPr="00AC630E" w:rsidRDefault="00F802F7" w:rsidP="0014703F">
            <w:pPr>
              <w:tabs>
                <w:tab w:val="left" w:pos="567"/>
              </w:tabs>
              <w:jc w:val="both"/>
            </w:pPr>
            <w:r>
              <w:rPr>
                <w:bCs/>
                <w:iCs/>
              </w:rPr>
              <w:t xml:space="preserve">Im </w:t>
            </w:r>
            <w:r w:rsidRPr="002A5989">
              <w:rPr>
                <w:bCs/>
                <w:iCs/>
              </w:rPr>
              <w:t xml:space="preserve">Bereich Ohrengesundheit </w:t>
            </w:r>
            <w:r w:rsidR="00D213D0">
              <w:rPr>
                <w:bCs/>
                <w:iCs/>
              </w:rPr>
              <w:t xml:space="preserve">ist </w:t>
            </w:r>
            <w:r w:rsidRPr="002A5989">
              <w:rPr>
                <w:bCs/>
                <w:iCs/>
              </w:rPr>
              <w:t>derzeit kein Wissen zu Audiologie vorhanden.</w:t>
            </w:r>
            <w:r w:rsidR="00D213D0">
              <w:rPr>
                <w:bCs/>
                <w:iCs/>
              </w:rPr>
              <w:t xml:space="preserve"> </w:t>
            </w:r>
            <w:r w:rsidRPr="002A5989">
              <w:rPr>
                <w:bCs/>
                <w:iCs/>
              </w:rPr>
              <w:t xml:space="preserve">Je Gesundheitsstation sollen </w:t>
            </w:r>
            <w:r w:rsidR="00D213D0">
              <w:rPr>
                <w:bCs/>
                <w:iCs/>
              </w:rPr>
              <w:t xml:space="preserve">daher </w:t>
            </w:r>
            <w:r w:rsidRPr="002A5989">
              <w:rPr>
                <w:bCs/>
                <w:iCs/>
              </w:rPr>
              <w:t xml:space="preserve">1 – 2 Mitarbeiter ein 1-monatiges Training in Audiologie erhalten. Es handelt sich insgesamt um 22 Mitarbeiter, die auf 3 Jahren </w:t>
            </w:r>
            <w:r w:rsidR="00D213D0" w:rsidRPr="002A5989">
              <w:rPr>
                <w:bCs/>
                <w:iCs/>
              </w:rPr>
              <w:t>verteilt fortgebildet</w:t>
            </w:r>
            <w:r w:rsidRPr="002A5989">
              <w:rPr>
                <w:bCs/>
                <w:iCs/>
              </w:rPr>
              <w:t xml:space="preserve"> werden.</w:t>
            </w:r>
          </w:p>
        </w:tc>
        <w:tc>
          <w:tcPr>
            <w:tcW w:w="6401" w:type="dxa"/>
          </w:tcPr>
          <w:p w14:paraId="096C281E" w14:textId="02D40D42" w:rsidR="00765337" w:rsidRDefault="00765337" w:rsidP="00765337">
            <w:pPr>
              <w:tabs>
                <w:tab w:val="left" w:pos="567"/>
              </w:tabs>
              <w:jc w:val="both"/>
            </w:pPr>
            <w:r>
              <w:t xml:space="preserve">Insgesamt wurden 32 Mitarbeiter des Gesundheitspersonals in grundlegender </w:t>
            </w:r>
            <w:r w:rsidR="005D56FE">
              <w:t>Audiologie/</w:t>
            </w:r>
            <w:r>
              <w:t xml:space="preserve">Otologie geschult, darunter 2 in Audiometrie. </w:t>
            </w:r>
          </w:p>
          <w:p w14:paraId="4568337D" w14:textId="77DBAD6F" w:rsidR="00AC630E" w:rsidRPr="00AC630E" w:rsidRDefault="00765337" w:rsidP="00765337">
            <w:pPr>
              <w:tabs>
                <w:tab w:val="left" w:pos="567"/>
              </w:tabs>
              <w:jc w:val="both"/>
            </w:pPr>
            <w:r>
              <w:t>Diese Schulungen haben die Verfügbarkeit grundlegender Ohrendienste in den staatlichen Gesundheitseinrichtungen sichergestellt, und die lokalen Regierungsbehörden und das geschulte Gesundheitspersonal haben uns gegenüber zum Ausdruck gebracht, dass dies sehr wichtig und effektiv ist, um den Bedarf an Ohrendiensten in ihren Gemeinden durch die Bereitstellung von primären Ohrendiensten zu decken.</w:t>
            </w:r>
          </w:p>
        </w:tc>
        <w:tc>
          <w:tcPr>
            <w:tcW w:w="5602" w:type="dxa"/>
          </w:tcPr>
          <w:p w14:paraId="498C0F36" w14:textId="5085AE9D" w:rsidR="00AC630E" w:rsidRPr="00AC630E" w:rsidRDefault="00765337" w:rsidP="0014703F">
            <w:pPr>
              <w:tabs>
                <w:tab w:val="left" w:pos="567"/>
              </w:tabs>
              <w:jc w:val="both"/>
            </w:pPr>
            <w:r>
              <w:t xml:space="preserve">Es war zunächst geplant, 22 MitarbeiterInnen der Basisgesundheitsstationen zu einem </w:t>
            </w:r>
            <w:proofErr w:type="spellStart"/>
            <w:r w:rsidR="00B801BF">
              <w:t>basis</w:t>
            </w:r>
            <w:proofErr w:type="spellEnd"/>
            <w:r w:rsidR="00B801BF">
              <w:t xml:space="preserve"> </w:t>
            </w:r>
            <w:r>
              <w:t>Otologie</w:t>
            </w:r>
            <w:r w:rsidR="00B801BF">
              <w:t>-</w:t>
            </w:r>
            <w:r>
              <w:t xml:space="preserve">/Audiologie -Training nach Kathmandu </w:t>
            </w:r>
            <w:r w:rsidR="00B801BF">
              <w:t xml:space="preserve">zu entsenden. Da das für eine Basisgesundheitsstation notwendige Wissen jedoch auch innerhalb der Projektdistrikte vermittelt werden konnte, reduzierten sich die Kosten für die Trainings. Auf bitte der Lokalregierung und aufgrund des hohen Bedarfes konnten wir </w:t>
            </w:r>
            <w:r w:rsidR="005D56FE">
              <w:t xml:space="preserve">daher </w:t>
            </w:r>
            <w:r w:rsidR="00B801BF">
              <w:t xml:space="preserve">10 zusätzliche MitarbeiterInnen kostenneutral in die Trainings aufnehmen. </w:t>
            </w:r>
          </w:p>
        </w:tc>
      </w:tr>
      <w:tr w:rsidR="00F3001F" w:rsidRPr="00AC630E" w14:paraId="369B2F9F" w14:textId="77777777" w:rsidTr="00E343C8">
        <w:trPr>
          <w:trHeight w:val="477"/>
        </w:trPr>
        <w:tc>
          <w:tcPr>
            <w:tcW w:w="1555" w:type="dxa"/>
          </w:tcPr>
          <w:p w14:paraId="65960225" w14:textId="1BC38CAB" w:rsidR="00217E29" w:rsidRPr="00217E29" w:rsidRDefault="00217E29" w:rsidP="0014703F">
            <w:pPr>
              <w:tabs>
                <w:tab w:val="left" w:pos="567"/>
              </w:tabs>
              <w:jc w:val="both"/>
              <w:rPr>
                <w:b/>
                <w:bCs/>
              </w:rPr>
            </w:pPr>
            <w:r w:rsidRPr="00217E29">
              <w:rPr>
                <w:b/>
                <w:bCs/>
              </w:rPr>
              <w:t>Unterziel 3</w:t>
            </w:r>
          </w:p>
        </w:tc>
        <w:tc>
          <w:tcPr>
            <w:tcW w:w="15121" w:type="dxa"/>
            <w:gridSpan w:val="3"/>
          </w:tcPr>
          <w:p w14:paraId="16CFA289" w14:textId="01DC634B" w:rsidR="00217E29" w:rsidRPr="00217E29" w:rsidRDefault="00217E29" w:rsidP="0014703F">
            <w:pPr>
              <w:tabs>
                <w:tab w:val="left" w:pos="567"/>
              </w:tabs>
              <w:jc w:val="both"/>
              <w:rPr>
                <w:b/>
                <w:bCs/>
              </w:rPr>
            </w:pPr>
            <w:r w:rsidRPr="00217E29">
              <w:rPr>
                <w:b/>
                <w:bCs/>
              </w:rPr>
              <w:t>Die Eingliederung integrierter augen- und ohrenmedizinischer Dienste im staatlichen Gesundheitssystems ist gesichert</w:t>
            </w:r>
          </w:p>
        </w:tc>
      </w:tr>
      <w:tr w:rsidR="00F3001F" w:rsidRPr="00AC630E" w14:paraId="393D4D4A" w14:textId="77777777" w:rsidTr="00E343C8">
        <w:tc>
          <w:tcPr>
            <w:tcW w:w="1555" w:type="dxa"/>
          </w:tcPr>
          <w:p w14:paraId="7A7EB608" w14:textId="262A676D" w:rsidR="0069489F" w:rsidRPr="00AC630E" w:rsidRDefault="0069489F" w:rsidP="0069489F">
            <w:pPr>
              <w:tabs>
                <w:tab w:val="left" w:pos="567"/>
              </w:tabs>
              <w:jc w:val="both"/>
            </w:pPr>
            <w:r w:rsidRPr="008E1837">
              <w:rPr>
                <w:b/>
                <w:bCs/>
              </w:rPr>
              <w:t>Aktivität /Budgetlinie</w:t>
            </w:r>
          </w:p>
        </w:tc>
        <w:tc>
          <w:tcPr>
            <w:tcW w:w="3118" w:type="dxa"/>
          </w:tcPr>
          <w:p w14:paraId="6A1A57DA" w14:textId="43CE92B8" w:rsidR="0069489F" w:rsidRPr="00AC630E" w:rsidRDefault="0069489F" w:rsidP="0069489F">
            <w:pPr>
              <w:tabs>
                <w:tab w:val="left" w:pos="567"/>
              </w:tabs>
              <w:jc w:val="both"/>
            </w:pPr>
            <w:r w:rsidRPr="00182F06">
              <w:rPr>
                <w:b/>
                <w:bCs/>
              </w:rPr>
              <w:t>Geplante Maßnahmen</w:t>
            </w:r>
          </w:p>
        </w:tc>
        <w:tc>
          <w:tcPr>
            <w:tcW w:w="6401" w:type="dxa"/>
          </w:tcPr>
          <w:p w14:paraId="0FA92548" w14:textId="66DF79AE" w:rsidR="0069489F" w:rsidRPr="00AC630E" w:rsidRDefault="0069489F" w:rsidP="0069489F">
            <w:pPr>
              <w:tabs>
                <w:tab w:val="left" w:pos="567"/>
              </w:tabs>
              <w:jc w:val="both"/>
            </w:pPr>
            <w:r w:rsidRPr="00182F06">
              <w:rPr>
                <w:b/>
                <w:bCs/>
              </w:rPr>
              <w:t>Tatsächlich durchgeführte Maßnahmen</w:t>
            </w:r>
          </w:p>
        </w:tc>
        <w:tc>
          <w:tcPr>
            <w:tcW w:w="5602" w:type="dxa"/>
          </w:tcPr>
          <w:p w14:paraId="670801E3" w14:textId="264BE413" w:rsidR="0069489F" w:rsidRPr="00AC630E" w:rsidRDefault="0069489F" w:rsidP="0069489F">
            <w:pPr>
              <w:tabs>
                <w:tab w:val="left" w:pos="567"/>
              </w:tabs>
              <w:jc w:val="both"/>
            </w:pPr>
            <w:r w:rsidRPr="008E1837">
              <w:rPr>
                <w:b/>
                <w:bCs/>
              </w:rPr>
              <w:t>Abweichungen/Verzögerungen</w:t>
            </w:r>
          </w:p>
        </w:tc>
      </w:tr>
      <w:tr w:rsidR="00F3001F" w:rsidRPr="00AC630E" w14:paraId="102569B5" w14:textId="77777777" w:rsidTr="00E343C8">
        <w:tc>
          <w:tcPr>
            <w:tcW w:w="1555" w:type="dxa"/>
          </w:tcPr>
          <w:p w14:paraId="2865C4FA" w14:textId="77777777" w:rsidR="0069489F" w:rsidRDefault="0069489F" w:rsidP="0069489F">
            <w:pPr>
              <w:tabs>
                <w:tab w:val="left" w:pos="567"/>
              </w:tabs>
              <w:jc w:val="both"/>
            </w:pPr>
            <w:r>
              <w:t>A.3.1.1/</w:t>
            </w:r>
            <w:r w:rsidR="00B801BF">
              <w:t xml:space="preserve"> </w:t>
            </w:r>
            <w:r>
              <w:t>BL 2.5</w:t>
            </w:r>
          </w:p>
          <w:p w14:paraId="2AC5B2BB" w14:textId="63426FFA" w:rsidR="00B801BF" w:rsidRPr="00B801BF" w:rsidRDefault="00B801BF" w:rsidP="0069489F">
            <w:pPr>
              <w:tabs>
                <w:tab w:val="left" w:pos="567"/>
              </w:tabs>
              <w:jc w:val="both"/>
              <w:rPr>
                <w:i/>
                <w:iCs/>
              </w:rPr>
            </w:pPr>
            <w:r w:rsidRPr="00B801BF">
              <w:rPr>
                <w:i/>
                <w:iCs/>
              </w:rPr>
              <w:t>Lobbying-Meeting mit Vertretern der Lokal-, Distrikt- und Regionalbehörden</w:t>
            </w:r>
          </w:p>
        </w:tc>
        <w:tc>
          <w:tcPr>
            <w:tcW w:w="3118" w:type="dxa"/>
          </w:tcPr>
          <w:p w14:paraId="7D6688CC" w14:textId="690FD85B" w:rsidR="0069489F" w:rsidRPr="00AC630E" w:rsidRDefault="005D56FE" w:rsidP="0069489F">
            <w:pPr>
              <w:tabs>
                <w:tab w:val="left" w:pos="567"/>
              </w:tabs>
              <w:jc w:val="both"/>
            </w:pPr>
            <w:r w:rsidRPr="005D56FE">
              <w:t xml:space="preserve">Um zu erreichen, dass die staatlichen Träger bei der Stärkung der bestehenden Gesundheitseinrichtungen involviert sind und langfristig ihren Beitrag durch die Übernahme des Dienstes leisten, soll ein jährliches Meeting in </w:t>
            </w:r>
            <w:proofErr w:type="spellStart"/>
            <w:r w:rsidRPr="005D56FE">
              <w:t>Surkhet</w:t>
            </w:r>
            <w:proofErr w:type="spellEnd"/>
            <w:r w:rsidRPr="005D56FE">
              <w:t xml:space="preserve"> mit insgesamt 30 Vertretern der Provinz, davon 8 Vertreter der Distriktregierung, 2 Vertreter der Krankenhäuser, 16 Vertreter der Gesundheitsstationen, 4 Vertreter der 4 </w:t>
            </w:r>
            <w:proofErr w:type="spellStart"/>
            <w:r w:rsidRPr="005D56FE">
              <w:t>DPOs</w:t>
            </w:r>
            <w:proofErr w:type="spellEnd"/>
            <w:r w:rsidRPr="005D56FE">
              <w:t xml:space="preserve"> und der Projektkoordination stattfinden. Ziel ist die Ausarbeitung einer Kooperationsvereinbarung mit der Distrikt-Gesundheitsbehörde.</w:t>
            </w:r>
          </w:p>
        </w:tc>
        <w:tc>
          <w:tcPr>
            <w:tcW w:w="6401" w:type="dxa"/>
          </w:tcPr>
          <w:p w14:paraId="619AE448" w14:textId="3A513A88" w:rsidR="0069489F" w:rsidRPr="00AC630E" w:rsidRDefault="005D56FE" w:rsidP="0069489F">
            <w:pPr>
              <w:tabs>
                <w:tab w:val="left" w:pos="567"/>
              </w:tabs>
              <w:jc w:val="both"/>
            </w:pPr>
            <w:r w:rsidRPr="005D56FE">
              <w:t xml:space="preserve">Das Projekt </w:t>
            </w:r>
            <w:r>
              <w:t>konnte</w:t>
            </w:r>
            <w:r w:rsidRPr="005D56FE">
              <w:t xml:space="preserve"> drei Lobbying-Meetings mit den Behörden der Provinz- und Kommunalregierung organisier</w:t>
            </w:r>
            <w:r>
              <w:t>en</w:t>
            </w:r>
            <w:r w:rsidRPr="005D56FE">
              <w:t xml:space="preserve">. Diese haben sich stark zur Integration von Augenpflege-Diensten unter ihrer Verantwortung und zur Übertragung der </w:t>
            </w:r>
            <w:proofErr w:type="spellStart"/>
            <w:r w:rsidRPr="005D56FE">
              <w:t>IEEH</w:t>
            </w:r>
            <w:proofErr w:type="spellEnd"/>
            <w:r w:rsidRPr="005D56FE">
              <w:t>-Dienste in das provinziale Gesundheitssystem verpflichtet, sowie zur Unterstützung der provinzialen Augen-Gesundheitsstrategie</w:t>
            </w:r>
          </w:p>
        </w:tc>
        <w:tc>
          <w:tcPr>
            <w:tcW w:w="5602" w:type="dxa"/>
          </w:tcPr>
          <w:p w14:paraId="0E3486D6" w14:textId="7B68EACB" w:rsidR="0069489F" w:rsidRPr="00AC630E" w:rsidRDefault="005D56FE" w:rsidP="0069489F">
            <w:pPr>
              <w:tabs>
                <w:tab w:val="left" w:pos="567"/>
              </w:tabs>
              <w:jc w:val="both"/>
            </w:pPr>
            <w:r>
              <w:t>Aufgrund der Corona-Pandemie konnte im Jahr 2021 kein Meeting stattfinden, daher wurden nur 3 der 4 geplanten Meetings durchgeführt. Das Ziel konnte dennoch erreicht werden.</w:t>
            </w:r>
          </w:p>
        </w:tc>
      </w:tr>
      <w:tr w:rsidR="00F3001F" w:rsidRPr="00AC630E" w14:paraId="080E0A58" w14:textId="77777777" w:rsidTr="00E343C8">
        <w:tc>
          <w:tcPr>
            <w:tcW w:w="1555" w:type="dxa"/>
          </w:tcPr>
          <w:p w14:paraId="17E04B47" w14:textId="77777777" w:rsidR="0069489F" w:rsidRDefault="0069489F" w:rsidP="0069489F">
            <w:pPr>
              <w:tabs>
                <w:tab w:val="left" w:pos="567"/>
              </w:tabs>
              <w:jc w:val="both"/>
            </w:pPr>
            <w:r>
              <w:t>A.3.1.2/</w:t>
            </w:r>
            <w:r w:rsidR="005D56FE">
              <w:t xml:space="preserve"> </w:t>
            </w:r>
            <w:r>
              <w:t>BL 2.5</w:t>
            </w:r>
          </w:p>
          <w:p w14:paraId="29F95F7A" w14:textId="12B49A9E" w:rsidR="005D56FE" w:rsidRPr="005D56FE" w:rsidRDefault="005D56FE" w:rsidP="0069489F">
            <w:pPr>
              <w:tabs>
                <w:tab w:val="left" w:pos="567"/>
              </w:tabs>
              <w:jc w:val="both"/>
              <w:rPr>
                <w:i/>
                <w:iCs/>
              </w:rPr>
            </w:pPr>
            <w:r w:rsidRPr="005D56FE">
              <w:rPr>
                <w:i/>
                <w:iCs/>
              </w:rPr>
              <w:t>Fachkomitee zu Augen- und Ohrengesundheit auf Distriktebene</w:t>
            </w:r>
          </w:p>
        </w:tc>
        <w:tc>
          <w:tcPr>
            <w:tcW w:w="3118" w:type="dxa"/>
          </w:tcPr>
          <w:p w14:paraId="5ED09E1D" w14:textId="26B253FB" w:rsidR="0069489F" w:rsidRPr="00AC630E" w:rsidRDefault="005D56FE" w:rsidP="0069489F">
            <w:pPr>
              <w:tabs>
                <w:tab w:val="left" w:pos="567"/>
              </w:tabs>
              <w:jc w:val="both"/>
            </w:pPr>
            <w:r w:rsidRPr="005D56FE">
              <w:t xml:space="preserve">Für die fachliche Koordination der Maßnahmen wird ein Fachkomitee je Distrikt gegründet, das aus Vertretern des Gesundheitsbereichs der Distriktregierung, Fachvertreten der involvierten Gesundheitseinrichtungen, des Projektpersonals und Vertretern einer </w:t>
            </w:r>
            <w:proofErr w:type="spellStart"/>
            <w:r w:rsidRPr="005D56FE">
              <w:t>DPO</w:t>
            </w:r>
            <w:proofErr w:type="spellEnd"/>
            <w:r w:rsidRPr="005D56FE">
              <w:t xml:space="preserve"> besteht. Im jährlich stattfindenden Meeting je Distrikt, insgesamt 12 Meetings in 3 Jahren</w:t>
            </w:r>
            <w:r>
              <w:t>,</w:t>
            </w:r>
            <w:r w:rsidRPr="005D56FE">
              <w:t xml:space="preserve"> werden alle Maßnahmen besprochen und Bedarfe zur Anpassung festgelegt.</w:t>
            </w:r>
          </w:p>
        </w:tc>
        <w:tc>
          <w:tcPr>
            <w:tcW w:w="6401" w:type="dxa"/>
          </w:tcPr>
          <w:p w14:paraId="619C644F" w14:textId="40E30A83" w:rsidR="0069489F" w:rsidRDefault="00F22E0E" w:rsidP="0069489F">
            <w:pPr>
              <w:tabs>
                <w:tab w:val="left" w:pos="567"/>
              </w:tabs>
              <w:jc w:val="both"/>
            </w:pPr>
            <w:r>
              <w:t>Innerhalb der Projektlaufzeit kam</w:t>
            </w:r>
            <w:r w:rsidR="00EE7EE0">
              <w:t>en</w:t>
            </w:r>
            <w:r>
              <w:t xml:space="preserve"> d</w:t>
            </w:r>
            <w:r w:rsidR="00EE7EE0">
              <w:t>ie</w:t>
            </w:r>
            <w:r>
              <w:t xml:space="preserve"> Fachkomitee</w:t>
            </w:r>
            <w:r w:rsidR="00EE7EE0">
              <w:t>s</w:t>
            </w:r>
            <w:r>
              <w:t xml:space="preserve"> 48-mal zusammen, um sich über folgende Themen auszutauschen:</w:t>
            </w:r>
          </w:p>
          <w:p w14:paraId="0C04CB92" w14:textId="77777777" w:rsidR="00F22E0E" w:rsidRPr="00F22E0E" w:rsidRDefault="00F22E0E" w:rsidP="00F22E0E">
            <w:pPr>
              <w:numPr>
                <w:ilvl w:val="0"/>
                <w:numId w:val="13"/>
              </w:numPr>
              <w:tabs>
                <w:tab w:val="left" w:pos="567"/>
              </w:tabs>
              <w:jc w:val="both"/>
            </w:pPr>
            <w:r w:rsidRPr="00F22E0E">
              <w:t>Überprüfung der Projektdurchführung, der Erfolge, Herausforderungen und Lösungen</w:t>
            </w:r>
          </w:p>
          <w:p w14:paraId="2F0253F7" w14:textId="77777777" w:rsidR="00F22E0E" w:rsidRPr="00F22E0E" w:rsidRDefault="00F22E0E" w:rsidP="00F22E0E">
            <w:pPr>
              <w:numPr>
                <w:ilvl w:val="0"/>
                <w:numId w:val="13"/>
              </w:numPr>
              <w:tabs>
                <w:tab w:val="left" w:pos="567"/>
              </w:tabs>
              <w:jc w:val="both"/>
            </w:pPr>
            <w:r w:rsidRPr="00F22E0E">
              <w:t>Unterstützung bei der Durchführung von Augenpflege-Camps vor Ort</w:t>
            </w:r>
          </w:p>
          <w:p w14:paraId="075BFFDA" w14:textId="77777777" w:rsidR="00F22E0E" w:rsidRPr="00F22E0E" w:rsidRDefault="00F22E0E" w:rsidP="00F22E0E">
            <w:pPr>
              <w:numPr>
                <w:ilvl w:val="0"/>
                <w:numId w:val="13"/>
              </w:numPr>
              <w:tabs>
                <w:tab w:val="left" w:pos="567"/>
              </w:tabs>
              <w:jc w:val="both"/>
            </w:pPr>
            <w:r w:rsidRPr="00F22E0E">
              <w:t>Entscheidung über die Budgetzuweisung für die Augenheilkunde</w:t>
            </w:r>
          </w:p>
          <w:p w14:paraId="6F730EDB" w14:textId="77777777" w:rsidR="00F22E0E" w:rsidRPr="00F22E0E" w:rsidRDefault="00F22E0E" w:rsidP="00F22E0E">
            <w:pPr>
              <w:numPr>
                <w:ilvl w:val="0"/>
                <w:numId w:val="13"/>
              </w:numPr>
              <w:tabs>
                <w:tab w:val="left" w:pos="567"/>
              </w:tabs>
              <w:jc w:val="both"/>
            </w:pPr>
            <w:r w:rsidRPr="00F22E0E">
              <w:t>Unterstützung der Gemeinschafts- und Schuluntersuchungen durch die Gemeindekoordinatoren</w:t>
            </w:r>
          </w:p>
          <w:p w14:paraId="044EB3BA" w14:textId="031C0BA5" w:rsidR="00F22E0E" w:rsidRPr="00AC630E" w:rsidRDefault="00F22E0E" w:rsidP="00F22E0E">
            <w:pPr>
              <w:tabs>
                <w:tab w:val="left" w:pos="567"/>
              </w:tabs>
              <w:jc w:val="both"/>
            </w:pPr>
          </w:p>
        </w:tc>
        <w:tc>
          <w:tcPr>
            <w:tcW w:w="5602" w:type="dxa"/>
          </w:tcPr>
          <w:p w14:paraId="5A519D57" w14:textId="63AA41FB" w:rsidR="0069489F" w:rsidRPr="00AC630E" w:rsidRDefault="00C23DCE" w:rsidP="0069489F">
            <w:pPr>
              <w:tabs>
                <w:tab w:val="left" w:pos="567"/>
              </w:tabs>
              <w:jc w:val="both"/>
            </w:pPr>
            <w:r>
              <w:t xml:space="preserve">Aus eigener Motivation heraus trafen sich </w:t>
            </w:r>
            <w:r w:rsidR="00794407">
              <w:t xml:space="preserve">die Komitees </w:t>
            </w:r>
            <w:r w:rsidR="005069A5">
              <w:t xml:space="preserve">der </w:t>
            </w:r>
            <w:r w:rsidR="00AA4ADE">
              <w:t xml:space="preserve">Distrikte einmal pro Quartal. Daher wurde dieses Ziel kostenneutral übererreicht.  </w:t>
            </w:r>
          </w:p>
        </w:tc>
      </w:tr>
      <w:tr w:rsidR="00F3001F" w:rsidRPr="00AC630E" w14:paraId="0AC4BA16" w14:textId="77777777" w:rsidTr="00E343C8">
        <w:tc>
          <w:tcPr>
            <w:tcW w:w="1555" w:type="dxa"/>
          </w:tcPr>
          <w:p w14:paraId="6A45B895" w14:textId="77777777" w:rsidR="0069489F" w:rsidRDefault="0069489F" w:rsidP="0069489F">
            <w:pPr>
              <w:tabs>
                <w:tab w:val="left" w:pos="567"/>
              </w:tabs>
              <w:jc w:val="both"/>
            </w:pPr>
            <w:r>
              <w:t>A.3.1.3/</w:t>
            </w:r>
            <w:r w:rsidR="00042239">
              <w:t xml:space="preserve"> </w:t>
            </w:r>
            <w:r>
              <w:t>BL 2.5</w:t>
            </w:r>
          </w:p>
          <w:p w14:paraId="1DAF8F7D" w14:textId="0FC72DAF" w:rsidR="00042239" w:rsidRPr="00042239" w:rsidRDefault="00042239" w:rsidP="0069489F">
            <w:pPr>
              <w:tabs>
                <w:tab w:val="left" w:pos="567"/>
              </w:tabs>
              <w:jc w:val="both"/>
              <w:rPr>
                <w:i/>
                <w:iCs/>
              </w:rPr>
            </w:pPr>
            <w:r w:rsidRPr="00042239">
              <w:rPr>
                <w:i/>
                <w:iCs/>
              </w:rPr>
              <w:t>Überarbeitung der staatlichen Gesundheitsstrategie</w:t>
            </w:r>
          </w:p>
        </w:tc>
        <w:tc>
          <w:tcPr>
            <w:tcW w:w="3118" w:type="dxa"/>
          </w:tcPr>
          <w:p w14:paraId="732066C1" w14:textId="021C7A06" w:rsidR="0069489F" w:rsidRPr="00AC630E" w:rsidRDefault="00252A77" w:rsidP="0069489F">
            <w:pPr>
              <w:tabs>
                <w:tab w:val="left" w:pos="567"/>
              </w:tabs>
              <w:jc w:val="both"/>
            </w:pPr>
            <w:r>
              <w:rPr>
                <w:bCs/>
                <w:iCs/>
              </w:rPr>
              <w:t>G</w:t>
            </w:r>
            <w:r w:rsidRPr="002A5989">
              <w:rPr>
                <w:bCs/>
                <w:iCs/>
              </w:rPr>
              <w:t xml:space="preserve">emeinsam mit dem lokalen Projektträger </w:t>
            </w:r>
            <w:r>
              <w:rPr>
                <w:bCs/>
                <w:iCs/>
              </w:rPr>
              <w:t xml:space="preserve">wird ein </w:t>
            </w:r>
            <w:r w:rsidRPr="002A5989">
              <w:rPr>
                <w:bCs/>
                <w:iCs/>
              </w:rPr>
              <w:t xml:space="preserve">Berater den Gesetzentwurf, die Strategie und das Programm </w:t>
            </w:r>
            <w:r>
              <w:rPr>
                <w:bCs/>
                <w:iCs/>
              </w:rPr>
              <w:t>der staatlichen Gesundheits</w:t>
            </w:r>
            <w:r w:rsidR="00040645">
              <w:rPr>
                <w:bCs/>
                <w:iCs/>
              </w:rPr>
              <w:t xml:space="preserve">strategie </w:t>
            </w:r>
            <w:r w:rsidRPr="002A5989">
              <w:rPr>
                <w:bCs/>
                <w:iCs/>
              </w:rPr>
              <w:t>überarbeiten und Empfehlungen erarbeiten. Diese werden in vier 3-tätigen Workshops in jedem Projektjahr mit den Vertretern des Gesundheits- und Sozialministeriums diskutiert, weiterentwickelt und verabschiedet.</w:t>
            </w:r>
          </w:p>
        </w:tc>
        <w:tc>
          <w:tcPr>
            <w:tcW w:w="6401" w:type="dxa"/>
          </w:tcPr>
          <w:p w14:paraId="79A80D60" w14:textId="08AE58FC" w:rsidR="00A13A23" w:rsidRPr="00B75FAE" w:rsidRDefault="00B75FAE" w:rsidP="00B75FAE">
            <w:pPr>
              <w:tabs>
                <w:tab w:val="left" w:pos="567"/>
              </w:tabs>
              <w:jc w:val="both"/>
            </w:pPr>
            <w:r>
              <w:t xml:space="preserve">Es wurden </w:t>
            </w:r>
            <w:r w:rsidR="0032564C">
              <w:t>drei</w:t>
            </w:r>
            <w:r w:rsidR="00A13A23" w:rsidRPr="00B75FAE">
              <w:t xml:space="preserve"> Workshop zur Verbesserung der Augenheildienste in der Provinz </w:t>
            </w:r>
            <w:proofErr w:type="spellStart"/>
            <w:r w:rsidR="00A13A23" w:rsidRPr="00B75FAE">
              <w:t>Karnali</w:t>
            </w:r>
            <w:proofErr w:type="spellEnd"/>
            <w:r w:rsidR="00A13A23" w:rsidRPr="00B75FAE">
              <w:t xml:space="preserve"> </w:t>
            </w:r>
            <w:r>
              <w:t>durchgeführt</w:t>
            </w:r>
            <w:r w:rsidR="00A13A23" w:rsidRPr="00B75FAE">
              <w:t xml:space="preserve">, an </w:t>
            </w:r>
            <w:r>
              <w:t>welchen</w:t>
            </w:r>
            <w:r w:rsidR="00A13A23" w:rsidRPr="00B75FAE">
              <w:t xml:space="preserve"> Experten und Vertreter verschiedener Organisationen teilnahmen. Die Teilnehmer diskutierten Themen wie die Verfügbarkeit von Augenheilmitteln, die Organisation von Diensten auf Gemeindeebene, die Steigerung des öffentlichen Bewusstseins für Augengesundheit sowie Finanzmanagement und </w:t>
            </w:r>
            <w:proofErr w:type="spellStart"/>
            <w:r w:rsidR="00A13A23" w:rsidRPr="00B75FAE">
              <w:t>Governance</w:t>
            </w:r>
            <w:proofErr w:type="spellEnd"/>
            <w:r w:rsidR="00A13A23" w:rsidRPr="00B75FAE">
              <w:t xml:space="preserve">. Am </w:t>
            </w:r>
            <w:proofErr w:type="spellStart"/>
            <w:r w:rsidR="00A13A23" w:rsidRPr="00B75FAE">
              <w:t>Ende</w:t>
            </w:r>
            <w:proofErr w:type="spellEnd"/>
            <w:r w:rsidR="00A13A23" w:rsidRPr="00B75FAE">
              <w:t xml:space="preserve"> des Workshops wurden mehrere Beschlüsse gefasst, darunter die Weitergabe der entwickelten Strategie an höhere Regierungsebenen und das Einholen von Feedback zur Verfeinerung der Strategie.</w:t>
            </w:r>
          </w:p>
          <w:p w14:paraId="3F16225F" w14:textId="1D5A3EE8" w:rsidR="00A13A23" w:rsidRPr="00B75FAE" w:rsidRDefault="0032564C" w:rsidP="00B75FAE">
            <w:pPr>
              <w:tabs>
                <w:tab w:val="left" w:pos="567"/>
              </w:tabs>
              <w:jc w:val="both"/>
            </w:pPr>
            <w:r>
              <w:t xml:space="preserve">Im letzten Projektjahr wurde ein weiterer Workshop durchgeführt, </w:t>
            </w:r>
            <w:r w:rsidR="00A13A23" w:rsidRPr="00B75FAE">
              <w:t xml:space="preserve">um die genehmigte Provinzstrategie zur Augengesundheit zu verbreiten. Organisiert von der Gesundheitsdienstabteilung des Ministeriums für soziale Entwicklung, zielte dieser Workshop darauf ab, alle Gesundheitsakteure in </w:t>
            </w:r>
            <w:proofErr w:type="spellStart"/>
            <w:r w:rsidR="00A13A23" w:rsidRPr="00B75FAE">
              <w:t>Karnali</w:t>
            </w:r>
            <w:proofErr w:type="spellEnd"/>
            <w:r w:rsidR="00A13A23" w:rsidRPr="00B75FAE">
              <w:t xml:space="preserve"> einzubeziehen und Maßnahmen zur Verbesserung der Augenpflege auf kommunaler Ebene zu planen. Vertreter verschiedener Organisationen und lokaler Behörden kamen zusammen, um über die Umsetzung von Initiativen zur Augengesundheit zu diskutieren.</w:t>
            </w:r>
          </w:p>
          <w:p w14:paraId="3D12EABB" w14:textId="30F59012" w:rsidR="0069489F" w:rsidRPr="0093264F" w:rsidRDefault="0069489F" w:rsidP="00A13A23">
            <w:pPr>
              <w:pStyle w:val="Listenabsatz"/>
              <w:tabs>
                <w:tab w:val="left" w:pos="567"/>
              </w:tabs>
              <w:ind w:left="360"/>
              <w:jc w:val="both"/>
            </w:pPr>
          </w:p>
        </w:tc>
        <w:tc>
          <w:tcPr>
            <w:tcW w:w="5602" w:type="dxa"/>
          </w:tcPr>
          <w:p w14:paraId="19C3E213" w14:textId="66EFCB99" w:rsidR="0069489F" w:rsidRPr="00AC630E" w:rsidRDefault="009B7BFF" w:rsidP="0069489F">
            <w:pPr>
              <w:tabs>
                <w:tab w:val="left" w:pos="567"/>
              </w:tabs>
              <w:jc w:val="both"/>
            </w:pPr>
            <w:r>
              <w:t>Keine Abweichungen</w:t>
            </w:r>
          </w:p>
        </w:tc>
      </w:tr>
      <w:tr w:rsidR="00F3001F" w:rsidRPr="002A07FB" w14:paraId="5795F533" w14:textId="77777777" w:rsidTr="00E343C8">
        <w:tc>
          <w:tcPr>
            <w:tcW w:w="1555" w:type="dxa"/>
          </w:tcPr>
          <w:p w14:paraId="51B4D97F" w14:textId="77777777" w:rsidR="0069489F" w:rsidRPr="009B7BFF" w:rsidRDefault="0069489F" w:rsidP="0069489F">
            <w:pPr>
              <w:tabs>
                <w:tab w:val="left" w:pos="567"/>
              </w:tabs>
              <w:jc w:val="both"/>
              <w:rPr>
                <w:lang w:val="en-GB"/>
              </w:rPr>
            </w:pPr>
            <w:r w:rsidRPr="009B7BFF">
              <w:rPr>
                <w:lang w:val="en-GB"/>
              </w:rPr>
              <w:t>A.3.1.4/</w:t>
            </w:r>
            <w:r w:rsidR="009B7BFF" w:rsidRPr="009B7BFF">
              <w:rPr>
                <w:lang w:val="en-GB"/>
              </w:rPr>
              <w:t xml:space="preserve"> </w:t>
            </w:r>
            <w:r w:rsidRPr="009B7BFF">
              <w:rPr>
                <w:lang w:val="en-GB"/>
              </w:rPr>
              <w:t>BL 2.5</w:t>
            </w:r>
          </w:p>
          <w:p w14:paraId="3823A6E6" w14:textId="2208BF12" w:rsidR="009B7BFF" w:rsidRPr="009B7BFF" w:rsidRDefault="009B7BFF" w:rsidP="0069489F">
            <w:pPr>
              <w:tabs>
                <w:tab w:val="left" w:pos="567"/>
              </w:tabs>
              <w:jc w:val="both"/>
              <w:rPr>
                <w:i/>
                <w:iCs/>
                <w:lang w:val="en-GB"/>
              </w:rPr>
            </w:pPr>
            <w:r w:rsidRPr="009B7BFF">
              <w:rPr>
                <w:i/>
                <w:iCs/>
                <w:lang w:val="en-GB"/>
              </w:rPr>
              <w:t>Disability Inclusive Development (DID) Training</w:t>
            </w:r>
          </w:p>
        </w:tc>
        <w:tc>
          <w:tcPr>
            <w:tcW w:w="3118" w:type="dxa"/>
          </w:tcPr>
          <w:p w14:paraId="4AC69547" w14:textId="69876FCF" w:rsidR="0069489F" w:rsidRPr="002A07FB" w:rsidRDefault="002A07FB" w:rsidP="0069489F">
            <w:pPr>
              <w:tabs>
                <w:tab w:val="left" w:pos="567"/>
              </w:tabs>
              <w:jc w:val="both"/>
            </w:pPr>
            <w:r w:rsidRPr="002A5989">
              <w:rPr>
                <w:bCs/>
                <w:iCs/>
              </w:rPr>
              <w:t xml:space="preserve">Es soll erreicht werden, dass die staatlichen Akteure Inklusion in der Planung ihrer Programme berücksichtigen. Deshalb werden </w:t>
            </w:r>
            <w:r w:rsidR="00CB747D">
              <w:rPr>
                <w:bCs/>
                <w:iCs/>
              </w:rPr>
              <w:t xml:space="preserve">40 </w:t>
            </w:r>
            <w:r w:rsidRPr="002A5989">
              <w:rPr>
                <w:bCs/>
                <w:iCs/>
              </w:rPr>
              <w:t xml:space="preserve">Vertreter der Gesundheits-, Sozial und </w:t>
            </w:r>
            <w:r w:rsidR="006F54E8" w:rsidRPr="002A5989">
              <w:rPr>
                <w:bCs/>
                <w:iCs/>
              </w:rPr>
              <w:t>Bildungsbehörden gemeinsam</w:t>
            </w:r>
            <w:r w:rsidRPr="002A5989">
              <w:rPr>
                <w:bCs/>
                <w:iCs/>
              </w:rPr>
              <w:t xml:space="preserve"> mit Vertretern von </w:t>
            </w:r>
            <w:proofErr w:type="spellStart"/>
            <w:r w:rsidRPr="002A5989">
              <w:rPr>
                <w:bCs/>
                <w:iCs/>
              </w:rPr>
              <w:t>DPOs</w:t>
            </w:r>
            <w:proofErr w:type="spellEnd"/>
            <w:r w:rsidRPr="002A5989">
              <w:rPr>
                <w:bCs/>
                <w:iCs/>
              </w:rPr>
              <w:t xml:space="preserve"> zum Konzept von </w:t>
            </w:r>
            <w:proofErr w:type="spellStart"/>
            <w:r w:rsidRPr="002A5989">
              <w:rPr>
                <w:bCs/>
                <w:iCs/>
              </w:rPr>
              <w:t>DID</w:t>
            </w:r>
            <w:proofErr w:type="spellEnd"/>
            <w:r w:rsidRPr="002A5989">
              <w:rPr>
                <w:bCs/>
                <w:iCs/>
              </w:rPr>
              <w:t xml:space="preserve"> in einem 3-tägigen Seminar in </w:t>
            </w:r>
            <w:proofErr w:type="spellStart"/>
            <w:r w:rsidRPr="002A5989">
              <w:rPr>
                <w:bCs/>
                <w:iCs/>
              </w:rPr>
              <w:t>Surkhet</w:t>
            </w:r>
            <w:proofErr w:type="spellEnd"/>
            <w:r w:rsidRPr="002A5989">
              <w:rPr>
                <w:bCs/>
                <w:iCs/>
              </w:rPr>
              <w:t xml:space="preserve"> geschult.</w:t>
            </w:r>
          </w:p>
        </w:tc>
        <w:tc>
          <w:tcPr>
            <w:tcW w:w="6401" w:type="dxa"/>
          </w:tcPr>
          <w:p w14:paraId="3F59A8D3" w14:textId="3E835EC5" w:rsidR="0069489F" w:rsidRPr="002A07FB" w:rsidRDefault="0043264D" w:rsidP="0069489F">
            <w:pPr>
              <w:tabs>
                <w:tab w:val="left" w:pos="567"/>
              </w:tabs>
              <w:jc w:val="both"/>
            </w:pPr>
            <w:r>
              <w:t xml:space="preserve">Es wurden 61 Personen, davon 32 </w:t>
            </w:r>
            <w:proofErr w:type="spellStart"/>
            <w:r>
              <w:t>RegierungsmitarbeiterInnen</w:t>
            </w:r>
            <w:proofErr w:type="spellEnd"/>
            <w:r w:rsidR="007A2E9A">
              <w:t xml:space="preserve">, 21 Mitglieder von </w:t>
            </w:r>
            <w:proofErr w:type="spellStart"/>
            <w:r w:rsidR="007A2E9A">
              <w:t>DPOs</w:t>
            </w:r>
            <w:proofErr w:type="spellEnd"/>
            <w:r w:rsidR="007A2E9A">
              <w:t xml:space="preserve"> und 8 </w:t>
            </w:r>
            <w:proofErr w:type="spellStart"/>
            <w:r w:rsidR="007A2E9A">
              <w:t>ProjektmitarbeiterInnen</w:t>
            </w:r>
            <w:proofErr w:type="spellEnd"/>
            <w:r w:rsidR="007A2E9A">
              <w:t xml:space="preserve"> in </w:t>
            </w:r>
            <w:proofErr w:type="spellStart"/>
            <w:r w:rsidR="007A2E9A">
              <w:t>DID</w:t>
            </w:r>
            <w:proofErr w:type="spellEnd"/>
            <w:r w:rsidR="00B9001B">
              <w:t>-</w:t>
            </w:r>
            <w:r w:rsidR="007A2E9A">
              <w:t>Maßnahmen geschult.</w:t>
            </w:r>
          </w:p>
        </w:tc>
        <w:tc>
          <w:tcPr>
            <w:tcW w:w="5602" w:type="dxa"/>
          </w:tcPr>
          <w:p w14:paraId="6DAE6CEF" w14:textId="45C623F8" w:rsidR="0069489F" w:rsidRPr="002A07FB" w:rsidRDefault="00BC2219" w:rsidP="0069489F">
            <w:pPr>
              <w:tabs>
                <w:tab w:val="left" w:pos="567"/>
              </w:tabs>
              <w:jc w:val="both"/>
            </w:pPr>
            <w:r>
              <w:t xml:space="preserve">Aufgrund der hohen Nachfrage wurden </w:t>
            </w:r>
            <w:r w:rsidR="00A57615">
              <w:t xml:space="preserve">mehr Teilnehmer zu den Trainings zugelassen. </w:t>
            </w:r>
            <w:r w:rsidR="00392F97">
              <w:t>Die Aktivität konnte mit geringfügigen Mehrausgabe</w:t>
            </w:r>
            <w:r w:rsidR="00392F97" w:rsidRPr="00BD42EB">
              <w:t>n</w:t>
            </w:r>
            <w:r w:rsidR="00C86A94" w:rsidRPr="00BD42EB">
              <w:t xml:space="preserve"> (</w:t>
            </w:r>
            <w:r w:rsidR="00CF5F77" w:rsidRPr="00BD42EB">
              <w:t>6</w:t>
            </w:r>
            <w:r w:rsidR="00C86A94" w:rsidRPr="00BD42EB">
              <w:t>%)</w:t>
            </w:r>
            <w:r w:rsidR="00392F97" w:rsidRPr="00BD42EB">
              <w:t xml:space="preserve"> durchgef</w:t>
            </w:r>
            <w:r w:rsidR="00392F97">
              <w:t xml:space="preserve">ührt werden. </w:t>
            </w:r>
          </w:p>
        </w:tc>
      </w:tr>
    </w:tbl>
    <w:p w14:paraId="6C9EDA7C" w14:textId="35AB272E" w:rsidR="00731B72" w:rsidRPr="006A3AC4" w:rsidRDefault="00731B72" w:rsidP="006A3AC4"/>
    <w:p w14:paraId="5AE3C8F1" w14:textId="7B7E857D" w:rsidR="00731B72" w:rsidRPr="00CF5F77" w:rsidRDefault="00731B72" w:rsidP="00CF5F77">
      <w:pPr>
        <w:rPr>
          <w:rFonts w:ascii="Calibri" w:eastAsia="Calibri" w:hAnsi="Calibri" w:cs="Times New Roman"/>
          <w:sz w:val="20"/>
          <w:szCs w:val="20"/>
          <w:lang w:eastAsia="de-DE"/>
        </w:rPr>
        <w:sectPr w:rsidR="00731B72" w:rsidRPr="00CF5F77" w:rsidSect="00E343C8">
          <w:headerReference w:type="default" r:id="rId24"/>
          <w:footerReference w:type="default" r:id="rId25"/>
          <w:pgSz w:w="16838" w:h="11906" w:orient="landscape"/>
          <w:pgMar w:top="720" w:right="720" w:bottom="720" w:left="720" w:header="708" w:footer="708" w:gutter="0"/>
          <w:cols w:space="708"/>
          <w:titlePg/>
          <w:docGrid w:linePitch="360"/>
        </w:sectPr>
      </w:pPr>
    </w:p>
    <w:p w14:paraId="06282953" w14:textId="479C1F3D" w:rsidR="00AC519B" w:rsidRDefault="00AC519B" w:rsidP="0014703F">
      <w:pPr>
        <w:pStyle w:val="Listenabsatz"/>
        <w:numPr>
          <w:ilvl w:val="1"/>
          <w:numId w:val="2"/>
        </w:numPr>
        <w:jc w:val="both"/>
        <w:outlineLvl w:val="1"/>
        <w:rPr>
          <w:b/>
          <w:color w:val="244061" w:themeColor="accent1" w:themeShade="80"/>
          <w:sz w:val="24"/>
          <w:szCs w:val="24"/>
        </w:rPr>
      </w:pPr>
      <w:r>
        <w:rPr>
          <w:b/>
          <w:color w:val="244061" w:themeColor="accent1" w:themeShade="80"/>
          <w:sz w:val="24"/>
          <w:szCs w:val="24"/>
        </w:rPr>
        <w:t>Zielgruppenerreichung</w:t>
      </w:r>
    </w:p>
    <w:p w14:paraId="3C16ED4A" w14:textId="72988CE4" w:rsidR="00731B72" w:rsidRPr="00731B72" w:rsidRDefault="00D032E1" w:rsidP="00731B72">
      <w:pPr>
        <w:tabs>
          <w:tab w:val="left" w:pos="567"/>
        </w:tabs>
        <w:spacing w:after="0" w:line="240" w:lineRule="auto"/>
        <w:jc w:val="both"/>
        <w:rPr>
          <w:rFonts w:ascii="Calibri" w:eastAsia="Calibri" w:hAnsi="Calibri" w:cs="Times New Roman"/>
          <w:sz w:val="20"/>
          <w:szCs w:val="20"/>
          <w:lang w:eastAsia="de-DE"/>
        </w:rPr>
      </w:pPr>
      <w:r w:rsidRPr="00D032E1">
        <w:rPr>
          <w:rFonts w:ascii="Calibri" w:eastAsia="Calibri" w:hAnsi="Calibri" w:cs="Times New Roman"/>
          <w:sz w:val="20"/>
          <w:szCs w:val="20"/>
          <w:lang w:eastAsia="de-DE"/>
        </w:rPr>
        <w:t>Da</w:t>
      </w:r>
      <w:r w:rsidR="00731B72" w:rsidRPr="00731B72">
        <w:rPr>
          <w:rFonts w:ascii="Calibri" w:eastAsia="Calibri" w:hAnsi="Calibri" w:cs="Times New Roman"/>
          <w:sz w:val="20"/>
          <w:szCs w:val="20"/>
          <w:lang w:eastAsia="de-DE"/>
        </w:rPr>
        <w:t xml:space="preserve">s Projekt wurde in vier Distrikten der </w:t>
      </w:r>
      <w:proofErr w:type="spellStart"/>
      <w:r w:rsidR="00731B72" w:rsidRPr="00731B72">
        <w:rPr>
          <w:rFonts w:ascii="Calibri" w:eastAsia="Calibri" w:hAnsi="Calibri" w:cs="Times New Roman"/>
          <w:sz w:val="20"/>
          <w:szCs w:val="20"/>
          <w:lang w:eastAsia="de-DE"/>
        </w:rPr>
        <w:t>Karnali</w:t>
      </w:r>
      <w:proofErr w:type="spellEnd"/>
      <w:r w:rsidR="00731B72" w:rsidRPr="00731B72">
        <w:rPr>
          <w:rFonts w:ascii="Calibri" w:eastAsia="Calibri" w:hAnsi="Calibri" w:cs="Times New Roman"/>
          <w:sz w:val="20"/>
          <w:szCs w:val="20"/>
          <w:lang w:eastAsia="de-DE"/>
        </w:rPr>
        <w:t xml:space="preserve">-Provinz umgesetzt: </w:t>
      </w:r>
      <w:proofErr w:type="spellStart"/>
      <w:r w:rsidR="00731B72" w:rsidRPr="00731B72">
        <w:rPr>
          <w:rFonts w:ascii="Calibri" w:eastAsia="Calibri" w:hAnsi="Calibri" w:cs="Times New Roman"/>
          <w:sz w:val="20"/>
          <w:szCs w:val="20"/>
          <w:lang w:eastAsia="de-DE"/>
        </w:rPr>
        <w:t>Surkhet</w:t>
      </w:r>
      <w:proofErr w:type="spellEnd"/>
      <w:r w:rsidR="00731B72" w:rsidRPr="00731B72">
        <w:rPr>
          <w:rFonts w:ascii="Calibri" w:eastAsia="Calibri" w:hAnsi="Calibri" w:cs="Times New Roman"/>
          <w:sz w:val="20"/>
          <w:szCs w:val="20"/>
          <w:lang w:eastAsia="de-DE"/>
        </w:rPr>
        <w:t xml:space="preserve">, </w:t>
      </w:r>
      <w:proofErr w:type="spellStart"/>
      <w:r w:rsidR="00731B72" w:rsidRPr="00731B72">
        <w:rPr>
          <w:rFonts w:ascii="Calibri" w:eastAsia="Calibri" w:hAnsi="Calibri" w:cs="Times New Roman"/>
          <w:sz w:val="20"/>
          <w:szCs w:val="20"/>
          <w:lang w:eastAsia="de-DE"/>
        </w:rPr>
        <w:t>Dailekh</w:t>
      </w:r>
      <w:proofErr w:type="spellEnd"/>
      <w:r w:rsidR="00731B72" w:rsidRPr="00731B72">
        <w:rPr>
          <w:rFonts w:ascii="Calibri" w:eastAsia="Calibri" w:hAnsi="Calibri" w:cs="Times New Roman"/>
          <w:sz w:val="20"/>
          <w:szCs w:val="20"/>
          <w:lang w:eastAsia="de-DE"/>
        </w:rPr>
        <w:t xml:space="preserve">, </w:t>
      </w:r>
      <w:proofErr w:type="spellStart"/>
      <w:r w:rsidR="00731B72" w:rsidRPr="00731B72">
        <w:rPr>
          <w:rFonts w:ascii="Calibri" w:eastAsia="Calibri" w:hAnsi="Calibri" w:cs="Times New Roman"/>
          <w:sz w:val="20"/>
          <w:szCs w:val="20"/>
          <w:lang w:eastAsia="de-DE"/>
        </w:rPr>
        <w:t>Jumla</w:t>
      </w:r>
      <w:proofErr w:type="spellEnd"/>
      <w:r w:rsidR="00731B72" w:rsidRPr="00731B72">
        <w:rPr>
          <w:rFonts w:ascii="Calibri" w:eastAsia="Calibri" w:hAnsi="Calibri" w:cs="Times New Roman"/>
          <w:sz w:val="20"/>
          <w:szCs w:val="20"/>
          <w:lang w:eastAsia="de-DE"/>
        </w:rPr>
        <w:t xml:space="preserve"> und Mugu, um die Zugänglichkeit, Verfügbarkeit und Nutzung von Augen- und Ohren</w:t>
      </w:r>
      <w:r>
        <w:rPr>
          <w:rFonts w:ascii="Calibri" w:eastAsia="Calibri" w:hAnsi="Calibri" w:cs="Times New Roman"/>
          <w:sz w:val="20"/>
          <w:szCs w:val="20"/>
          <w:lang w:eastAsia="de-DE"/>
        </w:rPr>
        <w:t>gesundheitsdiensten</w:t>
      </w:r>
      <w:r w:rsidR="00731B72" w:rsidRPr="00731B72">
        <w:rPr>
          <w:rFonts w:ascii="Calibri" w:eastAsia="Calibri" w:hAnsi="Calibri" w:cs="Times New Roman"/>
          <w:sz w:val="20"/>
          <w:szCs w:val="20"/>
          <w:lang w:eastAsia="de-DE"/>
        </w:rPr>
        <w:t xml:space="preserve"> durch Gemeinschaftsbildung, Kapazitätsaufbau sowie Stärkung der Augen- und </w:t>
      </w:r>
      <w:r w:rsidR="0086676D">
        <w:rPr>
          <w:rFonts w:ascii="Calibri" w:eastAsia="Calibri" w:hAnsi="Calibri" w:cs="Times New Roman"/>
          <w:sz w:val="20"/>
          <w:szCs w:val="20"/>
          <w:lang w:eastAsia="de-DE"/>
        </w:rPr>
        <w:t>Gesundheitsdienste</w:t>
      </w:r>
      <w:r w:rsidR="00731B72" w:rsidRPr="00731B72">
        <w:rPr>
          <w:rFonts w:ascii="Calibri" w:eastAsia="Calibri" w:hAnsi="Calibri" w:cs="Times New Roman"/>
          <w:sz w:val="20"/>
          <w:szCs w:val="20"/>
          <w:lang w:eastAsia="de-DE"/>
        </w:rPr>
        <w:t xml:space="preserve"> sowie Lobby- und </w:t>
      </w:r>
      <w:proofErr w:type="spellStart"/>
      <w:r w:rsidR="00731B72" w:rsidRPr="00731B72">
        <w:rPr>
          <w:rFonts w:ascii="Calibri" w:eastAsia="Calibri" w:hAnsi="Calibri" w:cs="Times New Roman"/>
          <w:sz w:val="20"/>
          <w:szCs w:val="20"/>
          <w:lang w:eastAsia="de-DE"/>
        </w:rPr>
        <w:t>Advocacy</w:t>
      </w:r>
      <w:proofErr w:type="spellEnd"/>
      <w:r w:rsidR="00731B72" w:rsidRPr="00731B72">
        <w:rPr>
          <w:rFonts w:ascii="Calibri" w:eastAsia="Calibri" w:hAnsi="Calibri" w:cs="Times New Roman"/>
          <w:sz w:val="20"/>
          <w:szCs w:val="20"/>
          <w:lang w:eastAsia="de-DE"/>
        </w:rPr>
        <w:t xml:space="preserve">-Initiativen sicherzustellen. Das übergeordnete Ziel der Projektdurchführung war es, die Lebensqualität der Menschen zu verbessern, die von Ursachen für Seh- und Hörbehinderungen betroffen sind, insbesondere derjenigen, die arm, marginalisiert, benachteiligt sind und in den abgelegensten Regionen der Projektbezirke der Provinz leben. </w:t>
      </w:r>
      <w:r w:rsidR="0060293D">
        <w:rPr>
          <w:rFonts w:ascii="Calibri" w:eastAsia="Calibri" w:hAnsi="Calibri" w:cs="Times New Roman"/>
          <w:sz w:val="20"/>
          <w:szCs w:val="20"/>
          <w:lang w:eastAsia="de-DE"/>
        </w:rPr>
        <w:t>Die</w:t>
      </w:r>
      <w:r w:rsidR="00731B72" w:rsidRPr="00731B72">
        <w:rPr>
          <w:rFonts w:ascii="Calibri" w:eastAsia="Calibri" w:hAnsi="Calibri" w:cs="Times New Roman"/>
          <w:sz w:val="20"/>
          <w:szCs w:val="20"/>
          <w:lang w:eastAsia="de-DE"/>
        </w:rPr>
        <w:t xml:space="preserve"> Zielgruppe </w:t>
      </w:r>
      <w:r w:rsidR="004A5079">
        <w:rPr>
          <w:rFonts w:ascii="Calibri" w:eastAsia="Calibri" w:hAnsi="Calibri" w:cs="Times New Roman"/>
          <w:sz w:val="20"/>
          <w:szCs w:val="20"/>
          <w:lang w:eastAsia="de-DE"/>
        </w:rPr>
        <w:t xml:space="preserve">wurde durch die im </w:t>
      </w:r>
      <w:r w:rsidR="008458F7">
        <w:rPr>
          <w:rFonts w:ascii="Calibri" w:eastAsia="Calibri" w:hAnsi="Calibri" w:cs="Times New Roman"/>
          <w:sz w:val="20"/>
          <w:szCs w:val="20"/>
          <w:lang w:eastAsia="de-DE"/>
        </w:rPr>
        <w:t>Folgenden</w:t>
      </w:r>
      <w:r w:rsidR="004A5079">
        <w:rPr>
          <w:rFonts w:ascii="Calibri" w:eastAsia="Calibri" w:hAnsi="Calibri" w:cs="Times New Roman"/>
          <w:sz w:val="20"/>
          <w:szCs w:val="20"/>
          <w:lang w:eastAsia="de-DE"/>
        </w:rPr>
        <w:t xml:space="preserve"> dargestellten Ansätze erreicht:</w:t>
      </w:r>
    </w:p>
    <w:p w14:paraId="569A0B12" w14:textId="77777777" w:rsidR="00731B72" w:rsidRPr="00731B72" w:rsidRDefault="00731B72" w:rsidP="00731B72">
      <w:pPr>
        <w:tabs>
          <w:tab w:val="left" w:pos="567"/>
        </w:tabs>
        <w:spacing w:after="0" w:line="240" w:lineRule="auto"/>
        <w:jc w:val="both"/>
        <w:rPr>
          <w:rFonts w:ascii="Calibri" w:eastAsia="Calibri" w:hAnsi="Calibri" w:cs="Times New Roman"/>
          <w:sz w:val="20"/>
          <w:szCs w:val="20"/>
          <w:lang w:eastAsia="de-DE"/>
        </w:rPr>
      </w:pPr>
    </w:p>
    <w:p w14:paraId="6EA78D8C" w14:textId="77777777" w:rsidR="00731B72" w:rsidRPr="00731B72" w:rsidRDefault="00731B72" w:rsidP="00731B72">
      <w:pPr>
        <w:tabs>
          <w:tab w:val="left" w:pos="567"/>
        </w:tabs>
        <w:spacing w:after="0" w:line="240" w:lineRule="auto"/>
        <w:jc w:val="both"/>
        <w:rPr>
          <w:rFonts w:ascii="Calibri" w:eastAsia="Calibri" w:hAnsi="Calibri" w:cs="Times New Roman"/>
          <w:sz w:val="20"/>
          <w:szCs w:val="20"/>
          <w:lang w:eastAsia="de-DE"/>
        </w:rPr>
      </w:pPr>
      <w:r w:rsidRPr="00731B72">
        <w:rPr>
          <w:rFonts w:ascii="Calibri" w:eastAsia="Calibri" w:hAnsi="Calibri" w:cs="Times New Roman"/>
          <w:sz w:val="20"/>
          <w:szCs w:val="20"/>
          <w:lang w:eastAsia="de-DE"/>
        </w:rPr>
        <w:t>I. Förderungs- und Präventionsansatz</w:t>
      </w:r>
    </w:p>
    <w:p w14:paraId="49A097F0" w14:textId="524A1F92" w:rsidR="00731B72" w:rsidRDefault="00A97EDB" w:rsidP="00731B72">
      <w:pPr>
        <w:tabs>
          <w:tab w:val="left" w:pos="567"/>
        </w:tabs>
        <w:spacing w:after="0" w:line="240" w:lineRule="auto"/>
        <w:jc w:val="both"/>
        <w:rPr>
          <w:rFonts w:ascii="Calibri" w:eastAsia="Calibri" w:hAnsi="Calibri" w:cs="Times New Roman"/>
          <w:sz w:val="20"/>
          <w:szCs w:val="20"/>
          <w:lang w:eastAsia="de-DE"/>
        </w:rPr>
      </w:pPr>
      <w:r w:rsidRPr="00A97EDB">
        <w:rPr>
          <w:rFonts w:ascii="Calibri" w:eastAsia="Calibri" w:hAnsi="Calibri" w:cs="Times New Roman"/>
          <w:sz w:val="20"/>
          <w:szCs w:val="20"/>
          <w:lang w:eastAsia="de-DE"/>
        </w:rPr>
        <w:t>Das erste angestrebte Ergebnis der Projektdurchführung war es, die Gemeinschaften über Augen- und Ohrengesundheit sowie Behinderung und Inklusion durch verschiedene präventive und fördernde Maßnahmen informiert, geschult und ermächtigt zu haben. Die wichtigsten umgesetzten Interventionen umfassten Radio-Jingles zur Augen- und Ohren­gesundheit, Gemeinschaftsaufklärung durch Straßentheater, Feierlichkeiten besonderer Gesundheitstage, Wettbewerbe zur Hygiene und Praxis in Bezug auf Augen- und Ohr</w:t>
      </w:r>
      <w:r w:rsidR="001B0248">
        <w:rPr>
          <w:rFonts w:ascii="Calibri" w:eastAsia="Calibri" w:hAnsi="Calibri" w:cs="Times New Roman"/>
          <w:sz w:val="20"/>
          <w:szCs w:val="20"/>
          <w:lang w:eastAsia="de-DE"/>
        </w:rPr>
        <w:t>engesundheit</w:t>
      </w:r>
      <w:r w:rsidRPr="00A97EDB">
        <w:rPr>
          <w:rFonts w:ascii="Calibri" w:eastAsia="Calibri" w:hAnsi="Calibri" w:cs="Times New Roman"/>
          <w:sz w:val="20"/>
          <w:szCs w:val="20"/>
          <w:lang w:eastAsia="de-DE"/>
        </w:rPr>
        <w:t xml:space="preserve"> sowie Wandmalereien und Plakatwände. Gemeindeleiter wie Lehrer, </w:t>
      </w:r>
      <w:proofErr w:type="spellStart"/>
      <w:r w:rsidRPr="00A97EDB">
        <w:rPr>
          <w:rFonts w:ascii="Calibri" w:eastAsia="Calibri" w:hAnsi="Calibri" w:cs="Times New Roman"/>
          <w:sz w:val="20"/>
          <w:szCs w:val="20"/>
          <w:lang w:eastAsia="de-DE"/>
        </w:rPr>
        <w:t>FCHVs</w:t>
      </w:r>
      <w:proofErr w:type="spellEnd"/>
      <w:r w:rsidRPr="00A97EDB">
        <w:rPr>
          <w:rFonts w:ascii="Calibri" w:eastAsia="Calibri" w:hAnsi="Calibri" w:cs="Times New Roman"/>
          <w:sz w:val="20"/>
          <w:szCs w:val="20"/>
          <w:lang w:eastAsia="de-DE"/>
        </w:rPr>
        <w:t xml:space="preserve"> (Frauengruppenhelferinnen) und Eltern wurden sensibilisiert, während Gemeindekrankenschwestern in der Prävention und Förderung der Augengesundheit geschult wurden. Darüber hinaus wurde die Mobilisierung der geschulten Gemeindekoordinatoren für regelmäßige Screenings und Aufklärung über Augen- und Ohrenzustände durchgeführt, was zur Teilnahme von 151.134 Personen beitrug, darunter 1.133 Personen mit Behinderungen. Diese Maßnahmen führten dazu, dass das Gesundheitsbewusstsein der Gemeindemitglieder in Bezug auf Augen- und Ohrengesundheit erhöht wurde und damit das Gesundheitsverhalten sowie die Praktiken bei ihren Problemen mit Augen- und Ohrengesundheit gefördert wurden. Laut den Ergebnissen der abschließenden Projektevaluation wurde festgestellt, dass diese vielfältigen Maßnahmen sehr erfolgreich darin waren, die Gemeinschaften über Augen- und Ohrengesundheit aufzuklären sowie sie in die Lage zu versetzen, Lösungen für ihre Gesundheitsprobleme zu suchen.</w:t>
      </w:r>
    </w:p>
    <w:p w14:paraId="50853884" w14:textId="77777777" w:rsidR="00A97EDB" w:rsidRPr="00731B72" w:rsidRDefault="00A97EDB" w:rsidP="00731B72">
      <w:pPr>
        <w:tabs>
          <w:tab w:val="left" w:pos="567"/>
        </w:tabs>
        <w:spacing w:after="0" w:line="240" w:lineRule="auto"/>
        <w:jc w:val="both"/>
        <w:rPr>
          <w:rFonts w:ascii="Calibri" w:eastAsia="Calibri" w:hAnsi="Calibri" w:cs="Times New Roman"/>
          <w:sz w:val="20"/>
          <w:szCs w:val="20"/>
          <w:lang w:eastAsia="de-DE"/>
        </w:rPr>
      </w:pPr>
    </w:p>
    <w:p w14:paraId="30F1B23F" w14:textId="77777777" w:rsidR="00731B72" w:rsidRPr="00731B72" w:rsidRDefault="00731B72" w:rsidP="00731B72">
      <w:pPr>
        <w:tabs>
          <w:tab w:val="left" w:pos="567"/>
        </w:tabs>
        <w:spacing w:after="0" w:line="240" w:lineRule="auto"/>
        <w:jc w:val="both"/>
        <w:rPr>
          <w:rFonts w:ascii="Calibri" w:eastAsia="Calibri" w:hAnsi="Calibri" w:cs="Times New Roman"/>
          <w:sz w:val="20"/>
          <w:szCs w:val="20"/>
          <w:lang w:eastAsia="de-DE"/>
        </w:rPr>
      </w:pPr>
      <w:r w:rsidRPr="00731B72">
        <w:rPr>
          <w:rFonts w:ascii="Calibri" w:eastAsia="Calibri" w:hAnsi="Calibri" w:cs="Times New Roman"/>
          <w:sz w:val="20"/>
          <w:szCs w:val="20"/>
          <w:lang w:eastAsia="de-DE"/>
        </w:rPr>
        <w:t>II. Kapazitätsaufbau und Systemstärkung im Bereich Augen- und Ohrenpflege</w:t>
      </w:r>
    </w:p>
    <w:p w14:paraId="434FEF7B" w14:textId="1F145711" w:rsidR="00731B72" w:rsidRPr="00731B72" w:rsidRDefault="00731B72" w:rsidP="00731B72">
      <w:pPr>
        <w:tabs>
          <w:tab w:val="left" w:pos="567"/>
        </w:tabs>
        <w:spacing w:after="0" w:line="240" w:lineRule="auto"/>
        <w:jc w:val="both"/>
        <w:rPr>
          <w:rFonts w:ascii="Calibri" w:eastAsia="Calibri" w:hAnsi="Calibri" w:cs="Times New Roman"/>
          <w:sz w:val="20"/>
          <w:szCs w:val="20"/>
          <w:lang w:eastAsia="de-DE"/>
        </w:rPr>
      </w:pPr>
      <w:r w:rsidRPr="00731B72">
        <w:rPr>
          <w:rFonts w:ascii="Calibri" w:eastAsia="Calibri" w:hAnsi="Calibri" w:cs="Times New Roman"/>
          <w:sz w:val="20"/>
          <w:szCs w:val="20"/>
          <w:lang w:eastAsia="de-DE"/>
        </w:rPr>
        <w:t>Die Projektbezirke wiesen während der Planungsphase unserer Interventionen im Jahr 2020 einen Mangel an zugänglichen und nachhaltigen Augen- und Ohre</w:t>
      </w:r>
      <w:r w:rsidR="007E0863">
        <w:rPr>
          <w:rFonts w:ascii="Calibri" w:eastAsia="Calibri" w:hAnsi="Calibri" w:cs="Times New Roman"/>
          <w:sz w:val="20"/>
          <w:szCs w:val="20"/>
          <w:lang w:eastAsia="de-DE"/>
        </w:rPr>
        <w:t>ngesundheitsdiensten</w:t>
      </w:r>
      <w:r w:rsidRPr="00731B72">
        <w:rPr>
          <w:rFonts w:ascii="Calibri" w:eastAsia="Calibri" w:hAnsi="Calibri" w:cs="Times New Roman"/>
          <w:sz w:val="20"/>
          <w:szCs w:val="20"/>
          <w:lang w:eastAsia="de-DE"/>
        </w:rPr>
        <w:t xml:space="preserve"> auf. Basierend auf diese</w:t>
      </w:r>
      <w:r w:rsidR="007E0863">
        <w:rPr>
          <w:rFonts w:ascii="Calibri" w:eastAsia="Calibri" w:hAnsi="Calibri" w:cs="Times New Roman"/>
          <w:sz w:val="20"/>
          <w:szCs w:val="20"/>
          <w:lang w:eastAsia="de-DE"/>
        </w:rPr>
        <w:t>r Ausgangssituation</w:t>
      </w:r>
      <w:r w:rsidRPr="00731B72">
        <w:rPr>
          <w:rFonts w:ascii="Calibri" w:eastAsia="Calibri" w:hAnsi="Calibri" w:cs="Times New Roman"/>
          <w:sz w:val="20"/>
          <w:szCs w:val="20"/>
          <w:lang w:eastAsia="de-DE"/>
        </w:rPr>
        <w:t xml:space="preserve"> setzten wir die geplanten Maßnahmen um, um eine nachhaltige Bereitstellung von Augen- und Ohren</w:t>
      </w:r>
      <w:r w:rsidR="007E0863">
        <w:rPr>
          <w:rFonts w:ascii="Calibri" w:eastAsia="Calibri" w:hAnsi="Calibri" w:cs="Times New Roman"/>
          <w:sz w:val="20"/>
          <w:szCs w:val="20"/>
          <w:lang w:eastAsia="de-DE"/>
        </w:rPr>
        <w:t>gesundheitsdiensten</w:t>
      </w:r>
      <w:r w:rsidRPr="00731B72">
        <w:rPr>
          <w:rFonts w:ascii="Calibri" w:eastAsia="Calibri" w:hAnsi="Calibri" w:cs="Times New Roman"/>
          <w:sz w:val="20"/>
          <w:szCs w:val="20"/>
          <w:lang w:eastAsia="de-DE"/>
        </w:rPr>
        <w:t xml:space="preserve"> für die in diesen Bezirken lebenden Menschen sicherzustellen. Wir unterstützten die lokalen Gemeinden beim Aufbau von vier primären Augenpflegezentren unter ihrer eigenen Verantwortung und Verwaltung. Dies gewährleistete die Kontinuität der primären Augenpflegedienste für die zuvor benachteiligten Gemeinschaften. Ebenso wurden grundlegende Ohrenpflegedienste in 17 staatlichen Gesundheitseinrichtungen sichergestellt, indem sie mit notwendigen Ohrgeräten ausgestattet wurden und grundlegende otologische Schulungen für das Gesundheitspersonal </w:t>
      </w:r>
      <w:r w:rsidR="003F6501">
        <w:rPr>
          <w:rFonts w:ascii="Calibri" w:eastAsia="Calibri" w:hAnsi="Calibri" w:cs="Times New Roman"/>
          <w:sz w:val="20"/>
          <w:szCs w:val="20"/>
          <w:lang w:eastAsia="de-DE"/>
        </w:rPr>
        <w:t>durchgeführt</w:t>
      </w:r>
      <w:r w:rsidRPr="00731B72">
        <w:rPr>
          <w:rFonts w:ascii="Calibri" w:eastAsia="Calibri" w:hAnsi="Calibri" w:cs="Times New Roman"/>
          <w:sz w:val="20"/>
          <w:szCs w:val="20"/>
          <w:lang w:eastAsia="de-DE"/>
        </w:rPr>
        <w:t xml:space="preserve"> wurden. Die zuvor benachteiligte Bevölkerung k</w:t>
      </w:r>
      <w:r w:rsidR="00481508">
        <w:rPr>
          <w:rFonts w:ascii="Calibri" w:eastAsia="Calibri" w:hAnsi="Calibri" w:cs="Times New Roman"/>
          <w:sz w:val="20"/>
          <w:szCs w:val="20"/>
          <w:lang w:eastAsia="de-DE"/>
        </w:rPr>
        <w:t>ann</w:t>
      </w:r>
      <w:r w:rsidRPr="00731B72">
        <w:rPr>
          <w:rFonts w:ascii="Calibri" w:eastAsia="Calibri" w:hAnsi="Calibri" w:cs="Times New Roman"/>
          <w:sz w:val="20"/>
          <w:szCs w:val="20"/>
          <w:lang w:eastAsia="de-DE"/>
        </w:rPr>
        <w:t xml:space="preserve"> nun auf die grundlegenden Ohrenservices in ihrer Nähe innerhalb des staatlichen Gesundheitsversorgungssystems zugreifen. Die Aufwertung eines bestehenden Augenpflegezentrums zu einem chirurgischen Auge</w:t>
      </w:r>
      <w:r w:rsidR="00A90391">
        <w:rPr>
          <w:rFonts w:ascii="Calibri" w:eastAsia="Calibri" w:hAnsi="Calibri" w:cs="Times New Roman"/>
          <w:sz w:val="20"/>
          <w:szCs w:val="20"/>
          <w:lang w:eastAsia="de-DE"/>
        </w:rPr>
        <w:t>n</w:t>
      </w:r>
      <w:r w:rsidRPr="00731B72">
        <w:rPr>
          <w:rFonts w:ascii="Calibri" w:eastAsia="Calibri" w:hAnsi="Calibri" w:cs="Times New Roman"/>
          <w:sz w:val="20"/>
          <w:szCs w:val="20"/>
          <w:lang w:eastAsia="de-DE"/>
        </w:rPr>
        <w:t xml:space="preserve">zentrum durch die Unterstützung des Projekts trug zur Erweiterung der krankenhausbasierten chirurgischen Augendienste über das </w:t>
      </w:r>
      <w:proofErr w:type="spellStart"/>
      <w:r w:rsidRPr="00731B72">
        <w:rPr>
          <w:rFonts w:ascii="Calibri" w:eastAsia="Calibri" w:hAnsi="Calibri" w:cs="Times New Roman"/>
          <w:sz w:val="20"/>
          <w:szCs w:val="20"/>
          <w:lang w:eastAsia="de-DE"/>
        </w:rPr>
        <w:t>Surkhet</w:t>
      </w:r>
      <w:proofErr w:type="spellEnd"/>
      <w:r w:rsidRPr="00731B72">
        <w:rPr>
          <w:rFonts w:ascii="Calibri" w:eastAsia="Calibri" w:hAnsi="Calibri" w:cs="Times New Roman"/>
          <w:sz w:val="20"/>
          <w:szCs w:val="20"/>
          <w:lang w:eastAsia="de-DE"/>
        </w:rPr>
        <w:t xml:space="preserve"> Eye Hospital hinaus bei sowie zur Verbesserung des Zugangs. Die Ausstattung des </w:t>
      </w:r>
      <w:proofErr w:type="spellStart"/>
      <w:r w:rsidRPr="00731B72">
        <w:rPr>
          <w:rFonts w:ascii="Calibri" w:eastAsia="Calibri" w:hAnsi="Calibri" w:cs="Times New Roman"/>
          <w:sz w:val="20"/>
          <w:szCs w:val="20"/>
          <w:lang w:eastAsia="de-DE"/>
        </w:rPr>
        <w:t>Surkhet</w:t>
      </w:r>
      <w:proofErr w:type="spellEnd"/>
      <w:r w:rsidRPr="00731B72">
        <w:rPr>
          <w:rFonts w:ascii="Calibri" w:eastAsia="Calibri" w:hAnsi="Calibri" w:cs="Times New Roman"/>
          <w:sz w:val="20"/>
          <w:szCs w:val="20"/>
          <w:lang w:eastAsia="de-DE"/>
        </w:rPr>
        <w:t xml:space="preserve"> Eye Hospital verbesserte seine ophthalmologischen Dienste erheblich; insbesondere wurden fortschrittliche Techniken in der Kataraktchirurgie gefördert sowie diagnostische Laborleistungen sowie andere diagnostische ophthalmologische Dienste bereitgestellt, wodurch seine Kapazität erhöht wurde, qualitativ hochwertige Augendienstleistungen einer größeren Anzahl von Menschen in der Provinz anzubieten. Mit dieser Unterstützung ist die Zahl der Patientenbesuche in den Krankenhäusern jedes Jahr gestiegen. Von Juni 2021 bis Dezember 2023 haben insgesamt 128</w:t>
      </w:r>
      <w:r w:rsidR="00AE45CC">
        <w:rPr>
          <w:rFonts w:ascii="Calibri" w:eastAsia="Calibri" w:hAnsi="Calibri" w:cs="Times New Roman"/>
          <w:sz w:val="20"/>
          <w:szCs w:val="20"/>
          <w:lang w:eastAsia="de-DE"/>
        </w:rPr>
        <w:t>.</w:t>
      </w:r>
      <w:r w:rsidRPr="00731B72">
        <w:rPr>
          <w:rFonts w:ascii="Calibri" w:eastAsia="Calibri" w:hAnsi="Calibri" w:cs="Times New Roman"/>
          <w:sz w:val="20"/>
          <w:szCs w:val="20"/>
          <w:lang w:eastAsia="de-DE"/>
        </w:rPr>
        <w:t>096 Menschen auf die Augendienstleistungen des Krankenhauses zurückgegriffen. Davon erhielten 8</w:t>
      </w:r>
      <w:r w:rsidR="00AE45CC">
        <w:rPr>
          <w:rFonts w:ascii="Calibri" w:eastAsia="Calibri" w:hAnsi="Calibri" w:cs="Times New Roman"/>
          <w:sz w:val="20"/>
          <w:szCs w:val="20"/>
          <w:lang w:eastAsia="de-DE"/>
        </w:rPr>
        <w:t>.</w:t>
      </w:r>
      <w:r w:rsidRPr="00731B72">
        <w:rPr>
          <w:rFonts w:ascii="Calibri" w:eastAsia="Calibri" w:hAnsi="Calibri" w:cs="Times New Roman"/>
          <w:sz w:val="20"/>
          <w:szCs w:val="20"/>
          <w:lang w:eastAsia="de-DE"/>
        </w:rPr>
        <w:t xml:space="preserve">131 Personen </w:t>
      </w:r>
      <w:r w:rsidR="00AE45CC">
        <w:rPr>
          <w:rFonts w:ascii="Calibri" w:eastAsia="Calibri" w:hAnsi="Calibri" w:cs="Times New Roman"/>
          <w:sz w:val="20"/>
          <w:szCs w:val="20"/>
          <w:lang w:eastAsia="de-DE"/>
        </w:rPr>
        <w:t xml:space="preserve">eine Kataraktoperation </w:t>
      </w:r>
      <w:r w:rsidRPr="00731B72">
        <w:rPr>
          <w:rFonts w:ascii="Calibri" w:eastAsia="Calibri" w:hAnsi="Calibri" w:cs="Times New Roman"/>
          <w:sz w:val="20"/>
          <w:szCs w:val="20"/>
          <w:lang w:eastAsia="de-DE"/>
        </w:rPr>
        <w:t>zur Wiederherstellung ihres Sehvermögens; das Projekt unterstützte direkt 941 finanziell bedürftige Personen bei der Wiederherstellung ihres Sehvermögens im Krankenhaus. Auch die Zahl der Kataraktoperationen ist jedes Jahr gestiegen. Im Jahr 2020 gab es vor Beginn des Projekts jährlich 1</w:t>
      </w:r>
      <w:r w:rsidR="00762E1F">
        <w:rPr>
          <w:rFonts w:ascii="Calibri" w:eastAsia="Calibri" w:hAnsi="Calibri" w:cs="Times New Roman"/>
          <w:sz w:val="20"/>
          <w:szCs w:val="20"/>
          <w:lang w:eastAsia="de-DE"/>
        </w:rPr>
        <w:t>.</w:t>
      </w:r>
      <w:r w:rsidRPr="00731B72">
        <w:rPr>
          <w:rFonts w:ascii="Calibri" w:eastAsia="Calibri" w:hAnsi="Calibri" w:cs="Times New Roman"/>
          <w:sz w:val="20"/>
          <w:szCs w:val="20"/>
          <w:lang w:eastAsia="de-DE"/>
        </w:rPr>
        <w:t>924 Kataraktoperationen. Nach Unterstützung im Jahr 2021 stieg die jährliche chirurgische Leistung stetig an: 2</w:t>
      </w:r>
      <w:r w:rsidR="00762E1F">
        <w:rPr>
          <w:rFonts w:ascii="Calibri" w:eastAsia="Calibri" w:hAnsi="Calibri" w:cs="Times New Roman"/>
          <w:sz w:val="20"/>
          <w:szCs w:val="20"/>
          <w:lang w:eastAsia="de-DE"/>
        </w:rPr>
        <w:t>.</w:t>
      </w:r>
      <w:r w:rsidRPr="00731B72">
        <w:rPr>
          <w:rFonts w:ascii="Calibri" w:eastAsia="Calibri" w:hAnsi="Calibri" w:cs="Times New Roman"/>
          <w:sz w:val="20"/>
          <w:szCs w:val="20"/>
          <w:lang w:eastAsia="de-DE"/>
        </w:rPr>
        <w:t>553 im Jahr 2021, 2</w:t>
      </w:r>
      <w:r w:rsidR="00762E1F">
        <w:rPr>
          <w:rFonts w:ascii="Calibri" w:eastAsia="Calibri" w:hAnsi="Calibri" w:cs="Times New Roman"/>
          <w:sz w:val="20"/>
          <w:szCs w:val="20"/>
          <w:lang w:eastAsia="de-DE"/>
        </w:rPr>
        <w:t>.</w:t>
      </w:r>
      <w:r w:rsidRPr="00731B72">
        <w:rPr>
          <w:rFonts w:ascii="Calibri" w:eastAsia="Calibri" w:hAnsi="Calibri" w:cs="Times New Roman"/>
          <w:sz w:val="20"/>
          <w:szCs w:val="20"/>
          <w:lang w:eastAsia="de-DE"/>
        </w:rPr>
        <w:t>764 im Jahr 2022 und 2</w:t>
      </w:r>
      <w:r w:rsidR="00762E1F">
        <w:rPr>
          <w:rFonts w:ascii="Calibri" w:eastAsia="Calibri" w:hAnsi="Calibri" w:cs="Times New Roman"/>
          <w:sz w:val="20"/>
          <w:szCs w:val="20"/>
          <w:lang w:eastAsia="de-DE"/>
        </w:rPr>
        <w:t>.</w:t>
      </w:r>
      <w:r w:rsidRPr="00731B72">
        <w:rPr>
          <w:rFonts w:ascii="Calibri" w:eastAsia="Calibri" w:hAnsi="Calibri" w:cs="Times New Roman"/>
          <w:sz w:val="20"/>
          <w:szCs w:val="20"/>
          <w:lang w:eastAsia="de-DE"/>
        </w:rPr>
        <w:t>814 im Jahr 2023. Das Projekt unterstützte auch Geräte für Ohren- und Hör</w:t>
      </w:r>
      <w:r w:rsidR="00762E1F">
        <w:rPr>
          <w:rFonts w:ascii="Calibri" w:eastAsia="Calibri" w:hAnsi="Calibri" w:cs="Times New Roman"/>
          <w:sz w:val="20"/>
          <w:szCs w:val="20"/>
          <w:lang w:eastAsia="de-DE"/>
        </w:rPr>
        <w:t>gesundheit</w:t>
      </w:r>
      <w:r w:rsidRPr="00731B72">
        <w:rPr>
          <w:rFonts w:ascii="Calibri" w:eastAsia="Calibri" w:hAnsi="Calibri" w:cs="Times New Roman"/>
          <w:sz w:val="20"/>
          <w:szCs w:val="20"/>
          <w:lang w:eastAsia="de-DE"/>
        </w:rPr>
        <w:t xml:space="preserve"> </w:t>
      </w:r>
      <w:r w:rsidR="00762E1F">
        <w:rPr>
          <w:rFonts w:ascii="Calibri" w:eastAsia="Calibri" w:hAnsi="Calibri" w:cs="Times New Roman"/>
          <w:sz w:val="20"/>
          <w:szCs w:val="20"/>
          <w:lang w:eastAsia="de-DE"/>
        </w:rPr>
        <w:t>in</w:t>
      </w:r>
      <w:r w:rsidRPr="00731B72">
        <w:rPr>
          <w:rFonts w:ascii="Calibri" w:eastAsia="Calibri" w:hAnsi="Calibri" w:cs="Times New Roman"/>
          <w:sz w:val="20"/>
          <w:szCs w:val="20"/>
          <w:lang w:eastAsia="de-DE"/>
        </w:rPr>
        <w:t xml:space="preserve"> d</w:t>
      </w:r>
      <w:r w:rsidR="00762E1F">
        <w:rPr>
          <w:rFonts w:ascii="Calibri" w:eastAsia="Calibri" w:hAnsi="Calibri" w:cs="Times New Roman"/>
          <w:sz w:val="20"/>
          <w:szCs w:val="20"/>
          <w:lang w:eastAsia="de-DE"/>
        </w:rPr>
        <w:t xml:space="preserve">er </w:t>
      </w:r>
      <w:r w:rsidRPr="00731B72">
        <w:rPr>
          <w:rFonts w:ascii="Calibri" w:eastAsia="Calibri" w:hAnsi="Calibri" w:cs="Times New Roman"/>
          <w:sz w:val="20"/>
          <w:szCs w:val="20"/>
          <w:lang w:eastAsia="de-DE"/>
        </w:rPr>
        <w:t xml:space="preserve">HNO-Abteilung des staatlichen </w:t>
      </w:r>
      <w:proofErr w:type="spellStart"/>
      <w:r w:rsidRPr="00731B72">
        <w:rPr>
          <w:rFonts w:ascii="Calibri" w:eastAsia="Calibri" w:hAnsi="Calibri" w:cs="Times New Roman"/>
          <w:sz w:val="20"/>
          <w:szCs w:val="20"/>
          <w:lang w:eastAsia="de-DE"/>
        </w:rPr>
        <w:t>Karnali</w:t>
      </w:r>
      <w:proofErr w:type="spellEnd"/>
      <w:r w:rsidRPr="00731B72">
        <w:rPr>
          <w:rFonts w:ascii="Calibri" w:eastAsia="Calibri" w:hAnsi="Calibri" w:cs="Times New Roman"/>
          <w:sz w:val="20"/>
          <w:szCs w:val="20"/>
          <w:lang w:eastAsia="de-DE"/>
        </w:rPr>
        <w:t xml:space="preserve"> Province Hospitals zur Verbesserung seiner otologischen Dienste. Dies führte dazu, dass regelmäßig qualitativ hochwertige Ohrenservices einer größeren Anzahl von Gemeinschaften als integraler Bestandteil des staatlichen Gesundheitssystems bereitgestellt wurden. Nach Unterstützung durch </w:t>
      </w:r>
      <w:r w:rsidR="00762E1F">
        <w:rPr>
          <w:rFonts w:ascii="Calibri" w:eastAsia="Calibri" w:hAnsi="Calibri" w:cs="Times New Roman"/>
          <w:sz w:val="20"/>
          <w:szCs w:val="20"/>
          <w:lang w:eastAsia="de-DE"/>
        </w:rPr>
        <w:t xml:space="preserve">die genannten </w:t>
      </w:r>
      <w:r w:rsidRPr="00731B72">
        <w:rPr>
          <w:rFonts w:ascii="Calibri" w:eastAsia="Calibri" w:hAnsi="Calibri" w:cs="Times New Roman"/>
          <w:sz w:val="20"/>
          <w:szCs w:val="20"/>
          <w:lang w:eastAsia="de-DE"/>
        </w:rPr>
        <w:t>Geräte stieg auch die Zahl der Patientenbesuche im Krankenhaus kontinuierlich an: Laut dem Register der Ambulanzabteilung (</w:t>
      </w:r>
      <w:proofErr w:type="spellStart"/>
      <w:r w:rsidRPr="00731B72">
        <w:rPr>
          <w:rFonts w:ascii="Calibri" w:eastAsia="Calibri" w:hAnsi="Calibri" w:cs="Times New Roman"/>
          <w:sz w:val="20"/>
          <w:szCs w:val="20"/>
          <w:lang w:eastAsia="de-DE"/>
        </w:rPr>
        <w:t>OPD</w:t>
      </w:r>
      <w:proofErr w:type="spellEnd"/>
      <w:r w:rsidRPr="00731B72">
        <w:rPr>
          <w:rFonts w:ascii="Calibri" w:eastAsia="Calibri" w:hAnsi="Calibri" w:cs="Times New Roman"/>
          <w:sz w:val="20"/>
          <w:szCs w:val="20"/>
          <w:lang w:eastAsia="de-DE"/>
        </w:rPr>
        <w:t>) des Krankenhauses zeigt sich ein steigender Trend bei den Patientenbesuchen: 1</w:t>
      </w:r>
      <w:r w:rsidR="00762E1F">
        <w:rPr>
          <w:rFonts w:ascii="Calibri" w:eastAsia="Calibri" w:hAnsi="Calibri" w:cs="Times New Roman"/>
          <w:sz w:val="20"/>
          <w:szCs w:val="20"/>
          <w:lang w:eastAsia="de-DE"/>
        </w:rPr>
        <w:t>.</w:t>
      </w:r>
      <w:r w:rsidRPr="00731B72">
        <w:rPr>
          <w:rFonts w:ascii="Calibri" w:eastAsia="Calibri" w:hAnsi="Calibri" w:cs="Times New Roman"/>
          <w:sz w:val="20"/>
          <w:szCs w:val="20"/>
          <w:lang w:eastAsia="de-DE"/>
        </w:rPr>
        <w:t>301 im Jahr 2021, 2</w:t>
      </w:r>
      <w:r w:rsidR="00762E1F">
        <w:rPr>
          <w:rFonts w:ascii="Calibri" w:eastAsia="Calibri" w:hAnsi="Calibri" w:cs="Times New Roman"/>
          <w:sz w:val="20"/>
          <w:szCs w:val="20"/>
          <w:lang w:eastAsia="de-DE"/>
        </w:rPr>
        <w:t>.</w:t>
      </w:r>
      <w:r w:rsidRPr="00731B72">
        <w:rPr>
          <w:rFonts w:ascii="Calibri" w:eastAsia="Calibri" w:hAnsi="Calibri" w:cs="Times New Roman"/>
          <w:sz w:val="20"/>
          <w:szCs w:val="20"/>
          <w:lang w:eastAsia="de-DE"/>
        </w:rPr>
        <w:t>302 im Jahr 2022 und 2</w:t>
      </w:r>
      <w:r w:rsidR="00762E1F">
        <w:rPr>
          <w:rFonts w:ascii="Calibri" w:eastAsia="Calibri" w:hAnsi="Calibri" w:cs="Times New Roman"/>
          <w:sz w:val="20"/>
          <w:szCs w:val="20"/>
          <w:lang w:eastAsia="de-DE"/>
        </w:rPr>
        <w:t>.</w:t>
      </w:r>
      <w:r w:rsidRPr="00731B72">
        <w:rPr>
          <w:rFonts w:ascii="Calibri" w:eastAsia="Calibri" w:hAnsi="Calibri" w:cs="Times New Roman"/>
          <w:sz w:val="20"/>
          <w:szCs w:val="20"/>
          <w:lang w:eastAsia="de-DE"/>
        </w:rPr>
        <w:t xml:space="preserve">631 im Jahr 2023. Schließlich stärkte dieser Ansatz die Kapazität von Anbietern von Augen- und Ohrenservices sowie staatlichen Gesundheitseinrichtungen zur Bereitstellung qualitativ hochwertiger Augen- und Ohrenservices für eine größere Anzahl von Menschen in </w:t>
      </w:r>
      <w:proofErr w:type="spellStart"/>
      <w:r w:rsidRPr="00731B72">
        <w:rPr>
          <w:rFonts w:ascii="Calibri" w:eastAsia="Calibri" w:hAnsi="Calibri" w:cs="Times New Roman"/>
          <w:sz w:val="20"/>
          <w:szCs w:val="20"/>
          <w:lang w:eastAsia="de-DE"/>
        </w:rPr>
        <w:t>Karnali</w:t>
      </w:r>
      <w:proofErr w:type="spellEnd"/>
      <w:r w:rsidRPr="00731B72">
        <w:rPr>
          <w:rFonts w:ascii="Calibri" w:eastAsia="Calibri" w:hAnsi="Calibri" w:cs="Times New Roman"/>
          <w:sz w:val="20"/>
          <w:szCs w:val="20"/>
          <w:lang w:eastAsia="de-DE"/>
        </w:rPr>
        <w:t>. Dieser Einsatz hat ein förderliches Umfeld für benachteiligte Gemeinschaften geschaffen, um einen einfachen Zugang zu den verfügbaren Augen- und Ohrenpflegediensten zu ermöglichen.</w:t>
      </w:r>
    </w:p>
    <w:p w14:paraId="6CA31E4B" w14:textId="77777777" w:rsidR="00731B72" w:rsidRPr="00731B72" w:rsidRDefault="00731B72" w:rsidP="00731B72">
      <w:pPr>
        <w:tabs>
          <w:tab w:val="left" w:pos="567"/>
        </w:tabs>
        <w:spacing w:after="0" w:line="240" w:lineRule="auto"/>
        <w:jc w:val="both"/>
        <w:rPr>
          <w:rFonts w:ascii="Calibri" w:eastAsia="Calibri" w:hAnsi="Calibri" w:cs="Times New Roman"/>
          <w:sz w:val="20"/>
          <w:szCs w:val="20"/>
          <w:lang w:eastAsia="de-DE"/>
        </w:rPr>
      </w:pPr>
    </w:p>
    <w:p w14:paraId="48CE1091" w14:textId="77777777" w:rsidR="00731B72" w:rsidRPr="00731B72" w:rsidRDefault="00731B72" w:rsidP="00731B72">
      <w:pPr>
        <w:tabs>
          <w:tab w:val="left" w:pos="567"/>
        </w:tabs>
        <w:spacing w:after="0" w:line="240" w:lineRule="auto"/>
        <w:jc w:val="both"/>
        <w:rPr>
          <w:rFonts w:ascii="Calibri" w:eastAsia="Calibri" w:hAnsi="Calibri" w:cs="Times New Roman"/>
          <w:sz w:val="20"/>
          <w:szCs w:val="20"/>
          <w:lang w:eastAsia="de-DE"/>
        </w:rPr>
      </w:pPr>
      <w:r w:rsidRPr="00731B72">
        <w:rPr>
          <w:rFonts w:ascii="Calibri" w:eastAsia="Calibri" w:hAnsi="Calibri" w:cs="Times New Roman"/>
          <w:sz w:val="20"/>
          <w:szCs w:val="20"/>
          <w:lang w:eastAsia="de-DE"/>
        </w:rPr>
        <w:t>III. Gemeinschaftsaufrufkampagnen zur Erreichung unerreichter Gruppen</w:t>
      </w:r>
    </w:p>
    <w:p w14:paraId="5459EC97" w14:textId="2C6BF46E" w:rsidR="00731B72" w:rsidRDefault="00731B72" w:rsidP="00BC7B13">
      <w:pPr>
        <w:tabs>
          <w:tab w:val="left" w:pos="567"/>
        </w:tabs>
        <w:spacing w:after="0" w:line="240" w:lineRule="auto"/>
        <w:jc w:val="both"/>
        <w:rPr>
          <w:rFonts w:ascii="Calibri" w:eastAsia="Calibri" w:hAnsi="Calibri" w:cs="Times New Roman"/>
          <w:sz w:val="20"/>
          <w:szCs w:val="20"/>
          <w:lang w:eastAsia="de-DE"/>
        </w:rPr>
      </w:pPr>
      <w:proofErr w:type="spellStart"/>
      <w:r w:rsidRPr="00731B72">
        <w:rPr>
          <w:rFonts w:ascii="Calibri" w:eastAsia="Calibri" w:hAnsi="Calibri" w:cs="Times New Roman"/>
          <w:sz w:val="20"/>
          <w:szCs w:val="20"/>
          <w:lang w:eastAsia="de-DE"/>
        </w:rPr>
        <w:t>Karnali</w:t>
      </w:r>
      <w:proofErr w:type="spellEnd"/>
      <w:r w:rsidRPr="00731B72">
        <w:rPr>
          <w:rFonts w:ascii="Calibri" w:eastAsia="Calibri" w:hAnsi="Calibri" w:cs="Times New Roman"/>
          <w:sz w:val="20"/>
          <w:szCs w:val="20"/>
          <w:lang w:eastAsia="de-DE"/>
        </w:rPr>
        <w:t xml:space="preserve"> ist eine der am stärksten benachteiligten Provinzen </w:t>
      </w:r>
      <w:r w:rsidR="00751A98">
        <w:rPr>
          <w:rFonts w:ascii="Calibri" w:eastAsia="Calibri" w:hAnsi="Calibri" w:cs="Times New Roman"/>
          <w:sz w:val="20"/>
          <w:szCs w:val="20"/>
          <w:lang w:eastAsia="de-DE"/>
        </w:rPr>
        <w:t xml:space="preserve">Nepals </w:t>
      </w:r>
      <w:r w:rsidRPr="00731B72">
        <w:rPr>
          <w:rFonts w:ascii="Calibri" w:eastAsia="Calibri" w:hAnsi="Calibri" w:cs="Times New Roman"/>
          <w:sz w:val="20"/>
          <w:szCs w:val="20"/>
          <w:lang w:eastAsia="de-DE"/>
        </w:rPr>
        <w:t>mit unzureichendem Zugang zu Gesundheitsdiensten. Anhaltende Barrieren wie mangelnde Verfügbarkeit, Erschwinglichkeit, schwer erreichbare Geografie sowie fehlendes Be</w:t>
      </w:r>
      <w:r w:rsidR="00947E65">
        <w:rPr>
          <w:rFonts w:ascii="Calibri" w:eastAsia="Calibri" w:hAnsi="Calibri" w:cs="Times New Roman"/>
          <w:sz w:val="20"/>
          <w:szCs w:val="20"/>
          <w:lang w:eastAsia="de-DE"/>
        </w:rPr>
        <w:t>wusstsein</w:t>
      </w:r>
      <w:r w:rsidRPr="00731B72">
        <w:rPr>
          <w:rFonts w:ascii="Calibri" w:eastAsia="Calibri" w:hAnsi="Calibri" w:cs="Times New Roman"/>
          <w:sz w:val="20"/>
          <w:szCs w:val="20"/>
          <w:lang w:eastAsia="de-DE"/>
        </w:rPr>
        <w:t xml:space="preserve"> führen dazu, dass ein Großteil der Bevölkerung kaum Zugang zu Augen- und Ohren</w:t>
      </w:r>
      <w:r w:rsidR="00947E65">
        <w:rPr>
          <w:rFonts w:ascii="Calibri" w:eastAsia="Calibri" w:hAnsi="Calibri" w:cs="Times New Roman"/>
          <w:sz w:val="20"/>
          <w:szCs w:val="20"/>
          <w:lang w:eastAsia="de-DE"/>
        </w:rPr>
        <w:t>gesundheits</w:t>
      </w:r>
      <w:r w:rsidRPr="00731B72">
        <w:rPr>
          <w:rFonts w:ascii="Calibri" w:eastAsia="Calibri" w:hAnsi="Calibri" w:cs="Times New Roman"/>
          <w:sz w:val="20"/>
          <w:szCs w:val="20"/>
          <w:lang w:eastAsia="de-DE"/>
        </w:rPr>
        <w:t xml:space="preserve">diensten hat – einschließlich chirurgischer Kataraktdienste. </w:t>
      </w:r>
      <w:r w:rsidR="00BC7B13" w:rsidRPr="00BC7B13">
        <w:rPr>
          <w:rFonts w:ascii="Calibri" w:eastAsia="Calibri" w:hAnsi="Calibri" w:cs="Times New Roman"/>
          <w:sz w:val="20"/>
          <w:szCs w:val="20"/>
          <w:lang w:eastAsia="de-DE"/>
        </w:rPr>
        <w:t xml:space="preserve">In diesem Zeitraum wurden 31 mobile Katarakt-Chirurgie-Camps </w:t>
      </w:r>
      <w:r w:rsidR="00D97511">
        <w:rPr>
          <w:rFonts w:ascii="Calibri" w:eastAsia="Calibri" w:hAnsi="Calibri" w:cs="Times New Roman"/>
          <w:sz w:val="20"/>
          <w:szCs w:val="20"/>
          <w:lang w:eastAsia="de-DE"/>
        </w:rPr>
        <w:t>i</w:t>
      </w:r>
      <w:r w:rsidR="00BC7B13" w:rsidRPr="00BC7B13">
        <w:rPr>
          <w:rFonts w:ascii="Calibri" w:eastAsia="Calibri" w:hAnsi="Calibri" w:cs="Times New Roman"/>
          <w:sz w:val="20"/>
          <w:szCs w:val="20"/>
          <w:lang w:eastAsia="de-DE"/>
        </w:rPr>
        <w:t>n abgelegenen Orten in den Projektbezirken durchgeführt, wobei das Sehvermögen von 2</w:t>
      </w:r>
      <w:r w:rsidR="009A13E3">
        <w:rPr>
          <w:rFonts w:ascii="Calibri" w:eastAsia="Calibri" w:hAnsi="Calibri" w:cs="Times New Roman"/>
          <w:sz w:val="20"/>
          <w:szCs w:val="20"/>
          <w:lang w:eastAsia="de-DE"/>
        </w:rPr>
        <w:t>.</w:t>
      </w:r>
      <w:r w:rsidR="00BC7B13" w:rsidRPr="00BC7B13">
        <w:rPr>
          <w:rFonts w:ascii="Calibri" w:eastAsia="Calibri" w:hAnsi="Calibri" w:cs="Times New Roman"/>
          <w:sz w:val="20"/>
          <w:szCs w:val="20"/>
          <w:lang w:eastAsia="de-DE"/>
        </w:rPr>
        <w:t xml:space="preserve">886 besonders marginalisierten Menschen (darunter 87 Personen mit Behinderungen) durch finanzielle Unterstützung des Projekts wiederhergestellt werden konnte. Durch die Ohrencamps erhielten 324 Personen Behandlungen für ihre Ohren, darunter erhielten 90 hörgeschädigte Personen Hörgeräte. Um Sehverlust aufgrund aufkommender Krankheiten wie Diabetes, Bluthochdruck oder Glaukom vorzubeugen, wurden elf umfassende Camps zur </w:t>
      </w:r>
      <w:r w:rsidR="009A13E3">
        <w:rPr>
          <w:rFonts w:ascii="Calibri" w:eastAsia="Calibri" w:hAnsi="Calibri" w:cs="Times New Roman"/>
          <w:sz w:val="20"/>
          <w:szCs w:val="20"/>
          <w:lang w:eastAsia="de-DE"/>
        </w:rPr>
        <w:t xml:space="preserve">Früherkennung </w:t>
      </w:r>
      <w:r w:rsidR="00BC7B13" w:rsidRPr="00BC7B13">
        <w:rPr>
          <w:rFonts w:ascii="Calibri" w:eastAsia="Calibri" w:hAnsi="Calibri" w:cs="Times New Roman"/>
          <w:sz w:val="20"/>
          <w:szCs w:val="20"/>
          <w:lang w:eastAsia="de-DE"/>
        </w:rPr>
        <w:t>durchgeführt; dabei wurden insgesamt 3</w:t>
      </w:r>
      <w:r w:rsidR="009A13E3">
        <w:rPr>
          <w:rFonts w:ascii="Calibri" w:eastAsia="Calibri" w:hAnsi="Calibri" w:cs="Times New Roman"/>
          <w:sz w:val="20"/>
          <w:szCs w:val="20"/>
          <w:lang w:eastAsia="de-DE"/>
        </w:rPr>
        <w:t>.</w:t>
      </w:r>
      <w:r w:rsidR="00BC7B13" w:rsidRPr="00BC7B13">
        <w:rPr>
          <w:rFonts w:ascii="Calibri" w:eastAsia="Calibri" w:hAnsi="Calibri" w:cs="Times New Roman"/>
          <w:sz w:val="20"/>
          <w:szCs w:val="20"/>
          <w:lang w:eastAsia="de-DE"/>
        </w:rPr>
        <w:t>912 gefährdete Personen ab einem Alter von 40 Jahren untersucht, notwendige Empfehlungen ausgesprochen und Überweisungen vorgenommen. Somit wurde festgestellt, dass der Ansatz zur Gemeinschaftsaufrufkampagne erfolgreich darin war, Dienstleistungen für diejenigen bereitzustellen, die bedürftig sind oder marginalisiert leben – insbesondere in schwer erreichbaren Regionen.</w:t>
      </w:r>
    </w:p>
    <w:p w14:paraId="38CF96C2" w14:textId="77777777" w:rsidR="00BC7B13" w:rsidRPr="00731B72" w:rsidRDefault="00BC7B13" w:rsidP="00BC7B13">
      <w:pPr>
        <w:tabs>
          <w:tab w:val="left" w:pos="567"/>
        </w:tabs>
        <w:spacing w:after="0" w:line="240" w:lineRule="auto"/>
        <w:jc w:val="both"/>
        <w:rPr>
          <w:rFonts w:ascii="Calibri" w:eastAsia="Calibri" w:hAnsi="Calibri" w:cs="Times New Roman"/>
          <w:sz w:val="20"/>
          <w:szCs w:val="20"/>
          <w:lang w:eastAsia="de-DE"/>
        </w:rPr>
      </w:pPr>
    </w:p>
    <w:p w14:paraId="18D63BA4" w14:textId="77777777" w:rsidR="00731B72" w:rsidRPr="00731B72" w:rsidRDefault="00731B72" w:rsidP="00731B72">
      <w:pPr>
        <w:tabs>
          <w:tab w:val="left" w:pos="567"/>
        </w:tabs>
        <w:spacing w:after="0" w:line="240" w:lineRule="auto"/>
        <w:jc w:val="both"/>
        <w:rPr>
          <w:rFonts w:ascii="Calibri" w:eastAsia="Calibri" w:hAnsi="Calibri" w:cs="Times New Roman"/>
          <w:sz w:val="20"/>
          <w:szCs w:val="20"/>
          <w:lang w:eastAsia="de-DE"/>
        </w:rPr>
      </w:pPr>
      <w:r w:rsidRPr="00731B72">
        <w:rPr>
          <w:rFonts w:ascii="Calibri" w:eastAsia="Calibri" w:hAnsi="Calibri" w:cs="Times New Roman"/>
          <w:sz w:val="20"/>
          <w:szCs w:val="20"/>
          <w:lang w:eastAsia="de-DE"/>
        </w:rPr>
        <w:t xml:space="preserve">IV. Lobbyarbeit, </w:t>
      </w:r>
      <w:proofErr w:type="spellStart"/>
      <w:r w:rsidRPr="00731B72">
        <w:rPr>
          <w:rFonts w:ascii="Calibri" w:eastAsia="Calibri" w:hAnsi="Calibri" w:cs="Times New Roman"/>
          <w:sz w:val="20"/>
          <w:szCs w:val="20"/>
          <w:lang w:eastAsia="de-DE"/>
        </w:rPr>
        <w:t>Advocacy</w:t>
      </w:r>
      <w:proofErr w:type="spellEnd"/>
      <w:r w:rsidRPr="00731B72">
        <w:rPr>
          <w:rFonts w:ascii="Calibri" w:eastAsia="Calibri" w:hAnsi="Calibri" w:cs="Times New Roman"/>
          <w:sz w:val="20"/>
          <w:szCs w:val="20"/>
          <w:lang w:eastAsia="de-DE"/>
        </w:rPr>
        <w:t xml:space="preserve"> und Evidenzgenerierung</w:t>
      </w:r>
    </w:p>
    <w:p w14:paraId="379A7E45" w14:textId="44EDB4A9" w:rsidR="00D70078" w:rsidRPr="00D70078" w:rsidRDefault="00D70078" w:rsidP="00D70078">
      <w:pPr>
        <w:tabs>
          <w:tab w:val="left" w:pos="567"/>
        </w:tabs>
        <w:spacing w:after="0" w:line="240" w:lineRule="auto"/>
        <w:jc w:val="both"/>
        <w:rPr>
          <w:rFonts w:ascii="Calibri" w:eastAsia="Calibri" w:hAnsi="Calibri" w:cs="Times New Roman"/>
          <w:sz w:val="20"/>
          <w:szCs w:val="20"/>
          <w:lang w:eastAsia="de-DE"/>
        </w:rPr>
      </w:pPr>
      <w:r w:rsidRPr="00D70078">
        <w:rPr>
          <w:rFonts w:ascii="Calibri" w:eastAsia="Calibri" w:hAnsi="Calibri" w:cs="Times New Roman"/>
          <w:sz w:val="20"/>
          <w:szCs w:val="20"/>
          <w:lang w:eastAsia="de-DE"/>
        </w:rPr>
        <w:t xml:space="preserve">Es wurde kontinuierlich Lobbyarbeit geleistet und mit den lokalen Behörden auf provinzieller </w:t>
      </w:r>
      <w:r w:rsidR="00B30048">
        <w:rPr>
          <w:rFonts w:ascii="Calibri" w:eastAsia="Calibri" w:hAnsi="Calibri" w:cs="Times New Roman"/>
          <w:sz w:val="20"/>
          <w:szCs w:val="20"/>
          <w:lang w:eastAsia="de-DE"/>
        </w:rPr>
        <w:t xml:space="preserve">und lokaler </w:t>
      </w:r>
      <w:r w:rsidRPr="00D70078">
        <w:rPr>
          <w:rFonts w:ascii="Calibri" w:eastAsia="Calibri" w:hAnsi="Calibri" w:cs="Times New Roman"/>
          <w:sz w:val="20"/>
          <w:szCs w:val="20"/>
          <w:lang w:eastAsia="de-DE"/>
        </w:rPr>
        <w:t>Ebene dafür geworben, dass primäre Augen- und Ohren</w:t>
      </w:r>
      <w:r w:rsidR="00B30048">
        <w:rPr>
          <w:rFonts w:ascii="Calibri" w:eastAsia="Calibri" w:hAnsi="Calibri" w:cs="Times New Roman"/>
          <w:sz w:val="20"/>
          <w:szCs w:val="20"/>
          <w:lang w:eastAsia="de-DE"/>
        </w:rPr>
        <w:t>gesundheitsdienste</w:t>
      </w:r>
      <w:r w:rsidRPr="00D70078">
        <w:rPr>
          <w:rFonts w:ascii="Calibri" w:eastAsia="Calibri" w:hAnsi="Calibri" w:cs="Times New Roman"/>
          <w:sz w:val="20"/>
          <w:szCs w:val="20"/>
          <w:lang w:eastAsia="de-DE"/>
        </w:rPr>
        <w:t xml:space="preserve"> als integraler Bestandteil des allgemeinen Gesundheitssystems integriert werden. Dadurch soll allen Menschen – ohne finanzielle Belastungen – der Zugang zu diesen Diensten in ihrer eigenen Gemeinde ermöglicht werden. Eine Reihe von Treffen sowie Interaktionen mit Regierungsvertretern und anderen Anbietern von Augendiensten in </w:t>
      </w:r>
      <w:proofErr w:type="spellStart"/>
      <w:r w:rsidRPr="00D70078">
        <w:rPr>
          <w:rFonts w:ascii="Calibri" w:eastAsia="Calibri" w:hAnsi="Calibri" w:cs="Times New Roman"/>
          <w:sz w:val="20"/>
          <w:szCs w:val="20"/>
          <w:lang w:eastAsia="de-DE"/>
        </w:rPr>
        <w:t>Karnali</w:t>
      </w:r>
      <w:proofErr w:type="spellEnd"/>
      <w:r w:rsidRPr="00D70078">
        <w:rPr>
          <w:rFonts w:ascii="Calibri" w:eastAsia="Calibri" w:hAnsi="Calibri" w:cs="Times New Roman"/>
          <w:sz w:val="20"/>
          <w:szCs w:val="20"/>
          <w:lang w:eastAsia="de-DE"/>
        </w:rPr>
        <w:t xml:space="preserve"> wurde durchgeführt. Schließlich hat das Ministerium für soziale Entwicklung (</w:t>
      </w:r>
      <w:proofErr w:type="spellStart"/>
      <w:r w:rsidRPr="00D70078">
        <w:rPr>
          <w:rFonts w:ascii="Calibri" w:eastAsia="Calibri" w:hAnsi="Calibri" w:cs="Times New Roman"/>
          <w:sz w:val="20"/>
          <w:szCs w:val="20"/>
          <w:lang w:eastAsia="de-DE"/>
        </w:rPr>
        <w:t>MoSD</w:t>
      </w:r>
      <w:proofErr w:type="spellEnd"/>
      <w:r w:rsidRPr="00D70078">
        <w:rPr>
          <w:rFonts w:ascii="Calibri" w:eastAsia="Calibri" w:hAnsi="Calibri" w:cs="Times New Roman"/>
          <w:sz w:val="20"/>
          <w:szCs w:val="20"/>
          <w:lang w:eastAsia="de-DE"/>
        </w:rPr>
        <w:t xml:space="preserve">) von </w:t>
      </w:r>
      <w:proofErr w:type="spellStart"/>
      <w:r w:rsidRPr="00D70078">
        <w:rPr>
          <w:rFonts w:ascii="Calibri" w:eastAsia="Calibri" w:hAnsi="Calibri" w:cs="Times New Roman"/>
          <w:sz w:val="20"/>
          <w:szCs w:val="20"/>
          <w:lang w:eastAsia="de-DE"/>
        </w:rPr>
        <w:t>Karnali</w:t>
      </w:r>
      <w:proofErr w:type="spellEnd"/>
      <w:r w:rsidRPr="00D70078">
        <w:rPr>
          <w:rFonts w:ascii="Calibri" w:eastAsia="Calibri" w:hAnsi="Calibri" w:cs="Times New Roman"/>
          <w:sz w:val="20"/>
          <w:szCs w:val="20"/>
          <w:lang w:eastAsia="de-DE"/>
        </w:rPr>
        <w:t xml:space="preserve"> seine Strategie zur Augengesundheit verabschiedet, die sich nun im Umsetzungsprozess befindet – ein großer Meilenstein im Bereich </w:t>
      </w:r>
      <w:r w:rsidR="000417CA">
        <w:rPr>
          <w:rFonts w:ascii="Calibri" w:eastAsia="Calibri" w:hAnsi="Calibri" w:cs="Times New Roman"/>
          <w:sz w:val="20"/>
          <w:szCs w:val="20"/>
          <w:lang w:eastAsia="de-DE"/>
        </w:rPr>
        <w:t xml:space="preserve">der </w:t>
      </w:r>
      <w:r w:rsidRPr="00D70078">
        <w:rPr>
          <w:rFonts w:ascii="Calibri" w:eastAsia="Calibri" w:hAnsi="Calibri" w:cs="Times New Roman"/>
          <w:sz w:val="20"/>
          <w:szCs w:val="20"/>
          <w:lang w:eastAsia="de-DE"/>
        </w:rPr>
        <w:t>Augengesundheit</w:t>
      </w:r>
      <w:r w:rsidR="000417CA">
        <w:rPr>
          <w:rFonts w:ascii="Calibri" w:eastAsia="Calibri" w:hAnsi="Calibri" w:cs="Times New Roman"/>
          <w:sz w:val="20"/>
          <w:szCs w:val="20"/>
          <w:lang w:eastAsia="de-DE"/>
        </w:rPr>
        <w:t xml:space="preserve"> in Nepal</w:t>
      </w:r>
      <w:r w:rsidRPr="00D70078">
        <w:rPr>
          <w:rFonts w:ascii="Calibri" w:eastAsia="Calibri" w:hAnsi="Calibri" w:cs="Times New Roman"/>
          <w:sz w:val="20"/>
          <w:szCs w:val="20"/>
          <w:lang w:eastAsia="de-DE"/>
        </w:rPr>
        <w:t xml:space="preserve">! Diese Strategie wird alle Beteiligten leiten, Zusammenarbeit fördern und Investitionen seitens des Staates in Augendienste unterstützen. Letztendlich wird dies dazu beitragen, ein effizientes sowie nachhaltiges System für Augendienste aufzubauen, sodass alle Bevölkerungsgruppen in </w:t>
      </w:r>
      <w:proofErr w:type="spellStart"/>
      <w:r w:rsidRPr="00D70078">
        <w:rPr>
          <w:rFonts w:ascii="Calibri" w:eastAsia="Calibri" w:hAnsi="Calibri" w:cs="Times New Roman"/>
          <w:sz w:val="20"/>
          <w:szCs w:val="20"/>
          <w:lang w:eastAsia="de-DE"/>
        </w:rPr>
        <w:t>Karnali</w:t>
      </w:r>
      <w:proofErr w:type="spellEnd"/>
      <w:r w:rsidRPr="00D70078">
        <w:rPr>
          <w:rFonts w:ascii="Calibri" w:eastAsia="Calibri" w:hAnsi="Calibri" w:cs="Times New Roman"/>
          <w:sz w:val="20"/>
          <w:szCs w:val="20"/>
          <w:lang w:eastAsia="de-DE"/>
        </w:rPr>
        <w:t xml:space="preserve"> besseren Zugang zu diesen Diensten haben können.</w:t>
      </w:r>
    </w:p>
    <w:p w14:paraId="600BDA3D" w14:textId="75F5DED7" w:rsidR="00D70078" w:rsidRDefault="00D70078" w:rsidP="00D70078">
      <w:pPr>
        <w:tabs>
          <w:tab w:val="left" w:pos="567"/>
        </w:tabs>
        <w:spacing w:after="0" w:line="240" w:lineRule="auto"/>
        <w:jc w:val="both"/>
        <w:rPr>
          <w:rFonts w:ascii="Calibri" w:eastAsia="Calibri" w:hAnsi="Calibri" w:cs="Times New Roman"/>
          <w:sz w:val="20"/>
          <w:szCs w:val="20"/>
          <w:lang w:eastAsia="de-DE"/>
        </w:rPr>
      </w:pPr>
      <w:r w:rsidRPr="00D70078">
        <w:rPr>
          <w:rFonts w:ascii="Calibri" w:eastAsia="Calibri" w:hAnsi="Calibri" w:cs="Times New Roman"/>
          <w:sz w:val="20"/>
          <w:szCs w:val="20"/>
          <w:lang w:eastAsia="de-DE"/>
        </w:rPr>
        <w:t xml:space="preserve">Angesichts des Mangels an wissenschaftlichen Beweisen bezüglich Prävalenzraten und Ursachen für Hörverlust sowohl in Nepal als auch speziell in </w:t>
      </w:r>
      <w:proofErr w:type="spellStart"/>
      <w:r w:rsidRPr="00D70078">
        <w:rPr>
          <w:rFonts w:ascii="Calibri" w:eastAsia="Calibri" w:hAnsi="Calibri" w:cs="Times New Roman"/>
          <w:sz w:val="20"/>
          <w:szCs w:val="20"/>
          <w:lang w:eastAsia="de-DE"/>
        </w:rPr>
        <w:t>Karnali</w:t>
      </w:r>
      <w:proofErr w:type="spellEnd"/>
      <w:r w:rsidRPr="00D70078">
        <w:rPr>
          <w:rFonts w:ascii="Calibri" w:eastAsia="Calibri" w:hAnsi="Calibri" w:cs="Times New Roman"/>
          <w:sz w:val="20"/>
          <w:szCs w:val="20"/>
          <w:lang w:eastAsia="de-DE"/>
        </w:rPr>
        <w:t xml:space="preserve"> wurde eine Umfrage über Ohr- bzw. Hörbehinderungen basierend auf WHO-Normen durchgeführt. Die Ergebnisse dieser Umfrage wurden weitreichend unter wichtigen Interessengruppen verbreitet – sowohl unter Vertretern aus dem Bund als auch aus Provinzen oder Kommunalverwaltungen. </w:t>
      </w:r>
      <w:r w:rsidR="00250E81" w:rsidRPr="00250E81">
        <w:rPr>
          <w:rFonts w:ascii="Calibri" w:eastAsia="Calibri" w:hAnsi="Calibri" w:cs="Times New Roman"/>
          <w:sz w:val="20"/>
          <w:szCs w:val="20"/>
          <w:lang w:eastAsia="de-DE"/>
        </w:rPr>
        <w:t>Die Erkenntnisse aus dieser Umfrage haben den zuständigen Behörden Klarheit verschafft und dienen als Grundlage für evidenzbasierte Entscheidungen bei der Planung oder Durchführung entsprechender Interventionen zur Ohr</w:t>
      </w:r>
      <w:r w:rsidR="00250E81">
        <w:rPr>
          <w:rFonts w:ascii="Calibri" w:eastAsia="Calibri" w:hAnsi="Calibri" w:cs="Times New Roman"/>
          <w:sz w:val="20"/>
          <w:szCs w:val="20"/>
          <w:lang w:eastAsia="de-DE"/>
        </w:rPr>
        <w:t>en</w:t>
      </w:r>
      <w:r w:rsidR="00250E81" w:rsidRPr="00250E81">
        <w:rPr>
          <w:rFonts w:ascii="Calibri" w:eastAsia="Calibri" w:hAnsi="Calibri" w:cs="Times New Roman"/>
          <w:sz w:val="20"/>
          <w:szCs w:val="20"/>
          <w:lang w:eastAsia="de-DE"/>
        </w:rPr>
        <w:t>gesundheit, um somit dem ungedeckten Bedarf einer großen Mehrheit benachteiligter Bevölkerungsgruppen gerecht werden zu können.</w:t>
      </w:r>
    </w:p>
    <w:p w14:paraId="76E6C183" w14:textId="77777777" w:rsidR="00250E81" w:rsidRPr="00731B72" w:rsidRDefault="00250E81" w:rsidP="00D70078">
      <w:pPr>
        <w:tabs>
          <w:tab w:val="left" w:pos="567"/>
        </w:tabs>
        <w:spacing w:after="0" w:line="240" w:lineRule="auto"/>
        <w:jc w:val="both"/>
        <w:rPr>
          <w:rFonts w:ascii="Calibri" w:eastAsia="Calibri" w:hAnsi="Calibri" w:cs="Times New Roman"/>
          <w:sz w:val="20"/>
          <w:szCs w:val="20"/>
          <w:lang w:eastAsia="de-DE"/>
        </w:rPr>
      </w:pPr>
    </w:p>
    <w:p w14:paraId="2376F9A9" w14:textId="77777777" w:rsidR="00731B72" w:rsidRPr="00731B72" w:rsidRDefault="00731B72" w:rsidP="00731B72">
      <w:pPr>
        <w:tabs>
          <w:tab w:val="left" w:pos="567"/>
        </w:tabs>
        <w:spacing w:after="0" w:line="240" w:lineRule="auto"/>
        <w:jc w:val="both"/>
        <w:rPr>
          <w:rFonts w:ascii="Calibri" w:eastAsia="Calibri" w:hAnsi="Calibri" w:cs="Times New Roman"/>
          <w:sz w:val="20"/>
          <w:szCs w:val="20"/>
          <w:lang w:eastAsia="de-DE"/>
        </w:rPr>
      </w:pPr>
      <w:r w:rsidRPr="00731B72">
        <w:rPr>
          <w:rFonts w:ascii="Calibri" w:eastAsia="Calibri" w:hAnsi="Calibri" w:cs="Times New Roman"/>
          <w:sz w:val="20"/>
          <w:szCs w:val="20"/>
          <w:lang w:eastAsia="de-DE"/>
        </w:rPr>
        <w:t>V. Inklusion von Menschen mit Behinderungen &amp; Barrierefreiheit</w:t>
      </w:r>
    </w:p>
    <w:p w14:paraId="1133D510" w14:textId="283D129A" w:rsidR="00731B72" w:rsidRPr="00731B72" w:rsidRDefault="00094C95" w:rsidP="00731B72">
      <w:pPr>
        <w:tabs>
          <w:tab w:val="left" w:pos="567"/>
        </w:tabs>
        <w:spacing w:after="0" w:line="240" w:lineRule="auto"/>
        <w:jc w:val="both"/>
        <w:rPr>
          <w:color w:val="A6A6A6" w:themeColor="background1" w:themeShade="A6"/>
          <w:szCs w:val="18"/>
        </w:rPr>
      </w:pPr>
      <w:r w:rsidRPr="00094C95">
        <w:rPr>
          <w:rFonts w:ascii="Calibri" w:eastAsia="Calibri" w:hAnsi="Calibri" w:cs="Times New Roman"/>
          <w:sz w:val="20"/>
          <w:szCs w:val="20"/>
          <w:lang w:eastAsia="de-DE"/>
        </w:rPr>
        <w:t xml:space="preserve">Dieser Ansatz wurde hauptsächlich geplant und umgesetzt, um sicherzustellen, dass die Rechte von Menschen mit Behinderungen hinsichtlich gesundheitlicher Belange oder Entwicklungsfragen gewahrt bleiben. Zu diesem Zweck wurde insgesamt sechzehn staatlichen Gesundheitseinrichtungen </w:t>
      </w:r>
      <w:r w:rsidR="007B0A04">
        <w:rPr>
          <w:rFonts w:ascii="Calibri" w:eastAsia="Calibri" w:hAnsi="Calibri" w:cs="Times New Roman"/>
          <w:sz w:val="20"/>
          <w:szCs w:val="20"/>
          <w:lang w:eastAsia="de-DE"/>
        </w:rPr>
        <w:t xml:space="preserve">dabei unterstützt diese </w:t>
      </w:r>
      <w:r w:rsidRPr="00094C95">
        <w:rPr>
          <w:rFonts w:ascii="Calibri" w:eastAsia="Calibri" w:hAnsi="Calibri" w:cs="Times New Roman"/>
          <w:sz w:val="20"/>
          <w:szCs w:val="20"/>
          <w:lang w:eastAsia="de-DE"/>
        </w:rPr>
        <w:t xml:space="preserve">barrierefrei </w:t>
      </w:r>
      <w:r w:rsidR="007B0A04">
        <w:rPr>
          <w:rFonts w:ascii="Calibri" w:eastAsia="Calibri" w:hAnsi="Calibri" w:cs="Times New Roman"/>
          <w:sz w:val="20"/>
          <w:szCs w:val="20"/>
          <w:lang w:eastAsia="de-DE"/>
        </w:rPr>
        <w:t xml:space="preserve">zu </w:t>
      </w:r>
      <w:r w:rsidRPr="00094C95">
        <w:rPr>
          <w:rFonts w:ascii="Calibri" w:eastAsia="Calibri" w:hAnsi="Calibri" w:cs="Times New Roman"/>
          <w:sz w:val="20"/>
          <w:szCs w:val="20"/>
          <w:lang w:eastAsia="de-DE"/>
        </w:rPr>
        <w:t xml:space="preserve">gestaltet. Zudem wurden Mitglieder aus </w:t>
      </w:r>
      <w:proofErr w:type="spellStart"/>
      <w:r w:rsidR="007B0A04">
        <w:rPr>
          <w:rFonts w:ascii="Calibri" w:eastAsia="Calibri" w:hAnsi="Calibri" w:cs="Times New Roman"/>
          <w:sz w:val="20"/>
          <w:szCs w:val="20"/>
          <w:lang w:eastAsia="de-DE"/>
        </w:rPr>
        <w:t>DPOs</w:t>
      </w:r>
      <w:proofErr w:type="spellEnd"/>
      <w:r w:rsidRPr="00094C95">
        <w:rPr>
          <w:rFonts w:ascii="Calibri" w:eastAsia="Calibri" w:hAnsi="Calibri" w:cs="Times New Roman"/>
          <w:sz w:val="20"/>
          <w:szCs w:val="20"/>
          <w:lang w:eastAsia="de-DE"/>
        </w:rPr>
        <w:t xml:space="preserve"> hinsichtlich inklusiver Entwicklung geschult. Workshops wurden durchgeführt, um Mitarbeiter aus dem Gesundheitswesen und Lehrkräfte bezüglich Notfallmaßnahmen auszubilden. Das Hauptziel bestand darin, Menschen mit Behinderungen hinsichtlich ihrer Rechte zu ermächtigen; gleichzeitig sollte eine Sensibilisierung der staatlichen Stellen erfolgen, damit Inklusion bei der Planung oder Umsetzung entsprechender gesundheitsfördernder Entwicklungsinterventionen berücksichtigt wird.</w:t>
      </w:r>
    </w:p>
    <w:p w14:paraId="0C818DFF" w14:textId="77777777" w:rsidR="00731B72" w:rsidRPr="00731B72" w:rsidRDefault="00731B72" w:rsidP="00731B72">
      <w:pPr>
        <w:tabs>
          <w:tab w:val="left" w:pos="567"/>
        </w:tabs>
        <w:spacing w:after="0" w:line="240" w:lineRule="auto"/>
        <w:jc w:val="both"/>
        <w:rPr>
          <w:color w:val="A6A6A6" w:themeColor="background1" w:themeShade="A6"/>
          <w:szCs w:val="18"/>
        </w:rPr>
      </w:pPr>
    </w:p>
    <w:p w14:paraId="7DB897EF" w14:textId="7B9BC88E" w:rsidR="00AC519B" w:rsidRDefault="00AC519B" w:rsidP="0014703F">
      <w:pPr>
        <w:pStyle w:val="Listenabsatz"/>
        <w:numPr>
          <w:ilvl w:val="1"/>
          <w:numId w:val="2"/>
        </w:numPr>
        <w:jc w:val="both"/>
        <w:outlineLvl w:val="1"/>
        <w:rPr>
          <w:b/>
          <w:color w:val="244061" w:themeColor="accent1" w:themeShade="80"/>
          <w:sz w:val="24"/>
          <w:szCs w:val="24"/>
        </w:rPr>
      </w:pPr>
      <w:r w:rsidRPr="003B4597">
        <w:rPr>
          <w:b/>
          <w:color w:val="244061" w:themeColor="accent1" w:themeShade="80"/>
          <w:sz w:val="24"/>
          <w:szCs w:val="24"/>
        </w:rPr>
        <w:t>Kapazitätsförderung beim lokalen Projektträger</w:t>
      </w:r>
    </w:p>
    <w:p w14:paraId="3203A984" w14:textId="0BB5D292" w:rsidR="00C162D8" w:rsidRPr="00C162D8" w:rsidRDefault="00C162D8" w:rsidP="0014703F">
      <w:pPr>
        <w:tabs>
          <w:tab w:val="left" w:pos="567"/>
        </w:tabs>
        <w:spacing w:after="0" w:line="240" w:lineRule="auto"/>
        <w:jc w:val="both"/>
        <w:rPr>
          <w:rFonts w:ascii="Calibri" w:eastAsia="Calibri" w:hAnsi="Calibri" w:cs="Times New Roman"/>
          <w:sz w:val="20"/>
          <w:szCs w:val="20"/>
          <w:lang w:eastAsia="de-DE"/>
        </w:rPr>
      </w:pPr>
      <w:r w:rsidRPr="00C162D8">
        <w:rPr>
          <w:rFonts w:ascii="Calibri" w:eastAsia="Calibri" w:hAnsi="Calibri" w:cs="Times New Roman"/>
          <w:sz w:val="20"/>
          <w:szCs w:val="20"/>
          <w:lang w:eastAsia="de-DE"/>
        </w:rPr>
        <w:t>Das Projekt wurde vo</w:t>
      </w:r>
      <w:r w:rsidR="00A31C7B">
        <w:rPr>
          <w:rFonts w:ascii="Calibri" w:eastAsia="Calibri" w:hAnsi="Calibri" w:cs="Times New Roman"/>
          <w:sz w:val="20"/>
          <w:szCs w:val="20"/>
          <w:lang w:eastAsia="de-DE"/>
        </w:rPr>
        <w:t>m lokalen Projekt</w:t>
      </w:r>
      <w:r w:rsidR="001346C5">
        <w:rPr>
          <w:rFonts w:ascii="Calibri" w:eastAsia="Calibri" w:hAnsi="Calibri" w:cs="Times New Roman"/>
          <w:sz w:val="20"/>
          <w:szCs w:val="20"/>
          <w:lang w:eastAsia="de-DE"/>
        </w:rPr>
        <w:t>t</w:t>
      </w:r>
      <w:r w:rsidR="00A31C7B">
        <w:rPr>
          <w:rFonts w:ascii="Calibri" w:eastAsia="Calibri" w:hAnsi="Calibri" w:cs="Times New Roman"/>
          <w:sz w:val="20"/>
          <w:szCs w:val="20"/>
          <w:lang w:eastAsia="de-DE"/>
        </w:rPr>
        <w:t>räger</w:t>
      </w:r>
      <w:r w:rsidRPr="00C162D8">
        <w:rPr>
          <w:rFonts w:ascii="Calibri" w:eastAsia="Calibri" w:hAnsi="Calibri" w:cs="Times New Roman"/>
          <w:sz w:val="20"/>
          <w:szCs w:val="20"/>
          <w:lang w:eastAsia="de-DE"/>
        </w:rPr>
        <w:t xml:space="preserve"> Nepal </w:t>
      </w:r>
      <w:proofErr w:type="spellStart"/>
      <w:r w:rsidRPr="00C162D8">
        <w:rPr>
          <w:rFonts w:ascii="Calibri" w:eastAsia="Calibri" w:hAnsi="Calibri" w:cs="Times New Roman"/>
          <w:sz w:val="20"/>
          <w:szCs w:val="20"/>
          <w:lang w:eastAsia="de-DE"/>
        </w:rPr>
        <w:t>Netra</w:t>
      </w:r>
      <w:proofErr w:type="spellEnd"/>
      <w:r w:rsidRPr="00C162D8">
        <w:rPr>
          <w:rFonts w:ascii="Calibri" w:eastAsia="Calibri" w:hAnsi="Calibri" w:cs="Times New Roman"/>
          <w:sz w:val="20"/>
          <w:szCs w:val="20"/>
          <w:lang w:eastAsia="de-DE"/>
        </w:rPr>
        <w:t xml:space="preserve"> Jyoti </w:t>
      </w:r>
      <w:proofErr w:type="spellStart"/>
      <w:r w:rsidR="00BD42EB" w:rsidRPr="00C162D8">
        <w:rPr>
          <w:rFonts w:ascii="Calibri" w:eastAsia="Calibri" w:hAnsi="Calibri" w:cs="Times New Roman"/>
          <w:sz w:val="20"/>
          <w:szCs w:val="20"/>
          <w:lang w:eastAsia="de-DE"/>
        </w:rPr>
        <w:t>Sangh</w:t>
      </w:r>
      <w:proofErr w:type="spellEnd"/>
      <w:r w:rsidR="00BD42EB" w:rsidRPr="00C162D8">
        <w:rPr>
          <w:rFonts w:ascii="Calibri" w:eastAsia="Calibri" w:hAnsi="Calibri" w:cs="Times New Roman"/>
          <w:sz w:val="20"/>
          <w:szCs w:val="20"/>
          <w:lang w:eastAsia="de-DE"/>
        </w:rPr>
        <w:t xml:space="preserve"> gemäß</w:t>
      </w:r>
      <w:r w:rsidRPr="00C162D8">
        <w:rPr>
          <w:rFonts w:ascii="Calibri" w:eastAsia="Calibri" w:hAnsi="Calibri" w:cs="Times New Roman"/>
          <w:sz w:val="20"/>
          <w:szCs w:val="20"/>
          <w:lang w:eastAsia="de-DE"/>
        </w:rPr>
        <w:t xml:space="preserve"> der unterzeichneten Vereinbarung umgesetzt. Die lokalen technischen Partner sind das </w:t>
      </w:r>
      <w:proofErr w:type="spellStart"/>
      <w:r w:rsidRPr="00C162D8">
        <w:rPr>
          <w:rFonts w:ascii="Calibri" w:eastAsia="Calibri" w:hAnsi="Calibri" w:cs="Times New Roman"/>
          <w:sz w:val="20"/>
          <w:szCs w:val="20"/>
          <w:lang w:eastAsia="de-DE"/>
        </w:rPr>
        <w:t>NRCS</w:t>
      </w:r>
      <w:proofErr w:type="spellEnd"/>
      <w:r w:rsidRPr="00C162D8">
        <w:rPr>
          <w:rFonts w:ascii="Calibri" w:eastAsia="Calibri" w:hAnsi="Calibri" w:cs="Times New Roman"/>
          <w:sz w:val="20"/>
          <w:szCs w:val="20"/>
          <w:lang w:eastAsia="de-DE"/>
        </w:rPr>
        <w:t xml:space="preserve"> </w:t>
      </w:r>
      <w:proofErr w:type="spellStart"/>
      <w:r w:rsidRPr="00C162D8">
        <w:rPr>
          <w:rFonts w:ascii="Calibri" w:eastAsia="Calibri" w:hAnsi="Calibri" w:cs="Times New Roman"/>
          <w:sz w:val="20"/>
          <w:szCs w:val="20"/>
          <w:lang w:eastAsia="de-DE"/>
        </w:rPr>
        <w:t>Surkhet</w:t>
      </w:r>
      <w:proofErr w:type="spellEnd"/>
      <w:r w:rsidRPr="00C162D8">
        <w:rPr>
          <w:rFonts w:ascii="Calibri" w:eastAsia="Calibri" w:hAnsi="Calibri" w:cs="Times New Roman"/>
          <w:sz w:val="20"/>
          <w:szCs w:val="20"/>
          <w:lang w:eastAsia="de-DE"/>
        </w:rPr>
        <w:t xml:space="preserve"> Eye Hospital (für Augenheilkunde) und das </w:t>
      </w:r>
      <w:proofErr w:type="spellStart"/>
      <w:r w:rsidRPr="00C162D8">
        <w:rPr>
          <w:rFonts w:ascii="Calibri" w:eastAsia="Calibri" w:hAnsi="Calibri" w:cs="Times New Roman"/>
          <w:sz w:val="20"/>
          <w:szCs w:val="20"/>
          <w:lang w:eastAsia="de-DE"/>
        </w:rPr>
        <w:t>Karnali</w:t>
      </w:r>
      <w:proofErr w:type="spellEnd"/>
      <w:r w:rsidRPr="00C162D8">
        <w:rPr>
          <w:rFonts w:ascii="Calibri" w:eastAsia="Calibri" w:hAnsi="Calibri" w:cs="Times New Roman"/>
          <w:sz w:val="20"/>
          <w:szCs w:val="20"/>
          <w:lang w:eastAsia="de-DE"/>
        </w:rPr>
        <w:t xml:space="preserve"> Province Hospital (für Ohrenheilkunde). Beide Krankenhäuser wurden mit medizinischen Geräten unterstützt, um ihre Augen- und Ohrenheildienste entsprechend zu verbessern und damit ihre technischen Fähigkeiten zu erweitern. D</w:t>
      </w:r>
      <w:r w:rsidR="00A4374C">
        <w:rPr>
          <w:rFonts w:ascii="Calibri" w:eastAsia="Calibri" w:hAnsi="Calibri" w:cs="Times New Roman"/>
          <w:sz w:val="20"/>
          <w:szCs w:val="20"/>
          <w:lang w:eastAsia="de-DE"/>
        </w:rPr>
        <w:t>ie</w:t>
      </w:r>
      <w:r w:rsidRPr="00C162D8">
        <w:rPr>
          <w:rFonts w:ascii="Calibri" w:eastAsia="Calibri" w:hAnsi="Calibri" w:cs="Times New Roman"/>
          <w:sz w:val="20"/>
          <w:szCs w:val="20"/>
          <w:lang w:eastAsia="de-DE"/>
        </w:rPr>
        <w:t xml:space="preserve"> Schlüsselpersonen beider Partner</w:t>
      </w:r>
      <w:r w:rsidR="00A4374C">
        <w:rPr>
          <w:rFonts w:ascii="Calibri" w:eastAsia="Calibri" w:hAnsi="Calibri" w:cs="Times New Roman"/>
          <w:sz w:val="20"/>
          <w:szCs w:val="20"/>
          <w:lang w:eastAsia="de-DE"/>
        </w:rPr>
        <w:t xml:space="preserve"> konnten</w:t>
      </w:r>
      <w:r w:rsidRPr="00C162D8">
        <w:rPr>
          <w:rFonts w:ascii="Calibri" w:eastAsia="Calibri" w:hAnsi="Calibri" w:cs="Times New Roman"/>
          <w:sz w:val="20"/>
          <w:szCs w:val="20"/>
          <w:lang w:eastAsia="de-DE"/>
        </w:rPr>
        <w:t xml:space="preserve"> </w:t>
      </w:r>
      <w:r w:rsidR="00A4374C">
        <w:rPr>
          <w:rFonts w:ascii="Calibri" w:eastAsia="Calibri" w:hAnsi="Calibri" w:cs="Times New Roman"/>
          <w:sz w:val="20"/>
          <w:szCs w:val="20"/>
          <w:lang w:eastAsia="de-DE"/>
        </w:rPr>
        <w:t xml:space="preserve">an </w:t>
      </w:r>
      <w:r w:rsidRPr="00C162D8">
        <w:rPr>
          <w:rFonts w:ascii="Calibri" w:eastAsia="Calibri" w:hAnsi="Calibri" w:cs="Times New Roman"/>
          <w:sz w:val="20"/>
          <w:szCs w:val="20"/>
          <w:lang w:eastAsia="de-DE"/>
        </w:rPr>
        <w:t>Schulungen in Bereichen wie Schutzmaßnahmen</w:t>
      </w:r>
      <w:r w:rsidR="009834DA">
        <w:rPr>
          <w:rFonts w:ascii="Calibri" w:eastAsia="Calibri" w:hAnsi="Calibri" w:cs="Times New Roman"/>
          <w:sz w:val="20"/>
          <w:szCs w:val="20"/>
          <w:lang w:eastAsia="de-DE"/>
        </w:rPr>
        <w:t xml:space="preserve"> und</w:t>
      </w:r>
      <w:r w:rsidRPr="00C162D8">
        <w:rPr>
          <w:rFonts w:ascii="Calibri" w:eastAsia="Calibri" w:hAnsi="Calibri" w:cs="Times New Roman"/>
          <w:sz w:val="20"/>
          <w:szCs w:val="20"/>
          <w:lang w:eastAsia="de-DE"/>
        </w:rPr>
        <w:t xml:space="preserve"> Behinderung und Inklusion</w:t>
      </w:r>
      <w:r w:rsidR="00A4374C">
        <w:rPr>
          <w:rFonts w:ascii="Calibri" w:eastAsia="Calibri" w:hAnsi="Calibri" w:cs="Times New Roman"/>
          <w:sz w:val="20"/>
          <w:szCs w:val="20"/>
          <w:lang w:eastAsia="de-DE"/>
        </w:rPr>
        <w:t xml:space="preserve"> teilnehmen. </w:t>
      </w:r>
      <w:r w:rsidRPr="00C162D8">
        <w:rPr>
          <w:rFonts w:ascii="Calibri" w:eastAsia="Calibri" w:hAnsi="Calibri" w:cs="Times New Roman"/>
          <w:sz w:val="20"/>
          <w:szCs w:val="20"/>
          <w:lang w:eastAsia="de-DE"/>
        </w:rPr>
        <w:t xml:space="preserve"> Durch die Unterstützung des Projekts</w:t>
      </w:r>
      <w:r w:rsidR="00A4374C">
        <w:rPr>
          <w:rFonts w:ascii="Calibri" w:eastAsia="Calibri" w:hAnsi="Calibri" w:cs="Times New Roman"/>
          <w:sz w:val="20"/>
          <w:szCs w:val="20"/>
          <w:lang w:eastAsia="de-DE"/>
        </w:rPr>
        <w:t xml:space="preserve"> wurde</w:t>
      </w:r>
      <w:r w:rsidRPr="00C162D8">
        <w:rPr>
          <w:rFonts w:ascii="Calibri" w:eastAsia="Calibri" w:hAnsi="Calibri" w:cs="Times New Roman"/>
          <w:sz w:val="20"/>
          <w:szCs w:val="20"/>
          <w:lang w:eastAsia="de-DE"/>
        </w:rPr>
        <w:t xml:space="preserve"> einem Techniker des </w:t>
      </w:r>
      <w:proofErr w:type="spellStart"/>
      <w:r w:rsidRPr="00C162D8">
        <w:rPr>
          <w:rFonts w:ascii="Calibri" w:eastAsia="Calibri" w:hAnsi="Calibri" w:cs="Times New Roman"/>
          <w:sz w:val="20"/>
          <w:szCs w:val="20"/>
          <w:lang w:eastAsia="de-DE"/>
        </w:rPr>
        <w:t>Surkhet</w:t>
      </w:r>
      <w:proofErr w:type="spellEnd"/>
      <w:r w:rsidRPr="00C162D8">
        <w:rPr>
          <w:rFonts w:ascii="Calibri" w:eastAsia="Calibri" w:hAnsi="Calibri" w:cs="Times New Roman"/>
          <w:sz w:val="20"/>
          <w:szCs w:val="20"/>
          <w:lang w:eastAsia="de-DE"/>
        </w:rPr>
        <w:t xml:space="preserve"> Eye Hospital eine einmonatige Fortbildung zur Wartung und Reparatur von medizinischen Geräten</w:t>
      </w:r>
      <w:r w:rsidR="00A4374C">
        <w:rPr>
          <w:rFonts w:ascii="Calibri" w:eastAsia="Calibri" w:hAnsi="Calibri" w:cs="Times New Roman"/>
          <w:sz w:val="20"/>
          <w:szCs w:val="20"/>
          <w:lang w:eastAsia="de-DE"/>
        </w:rPr>
        <w:t xml:space="preserve"> ermöglicht</w:t>
      </w:r>
      <w:r w:rsidRPr="00C162D8">
        <w:rPr>
          <w:rFonts w:ascii="Calibri" w:eastAsia="Calibri" w:hAnsi="Calibri" w:cs="Times New Roman"/>
          <w:sz w:val="20"/>
          <w:szCs w:val="20"/>
          <w:lang w:eastAsia="de-DE"/>
        </w:rPr>
        <w:t>.</w:t>
      </w:r>
    </w:p>
    <w:p w14:paraId="1426FD76" w14:textId="77777777" w:rsidR="002E47AA" w:rsidRDefault="002E47AA" w:rsidP="0014703F">
      <w:pPr>
        <w:pStyle w:val="Listenabsatz"/>
        <w:ind w:left="792"/>
        <w:jc w:val="both"/>
        <w:rPr>
          <w:b/>
          <w:color w:val="244061" w:themeColor="accent1" w:themeShade="80"/>
          <w:sz w:val="24"/>
          <w:szCs w:val="24"/>
        </w:rPr>
      </w:pPr>
    </w:p>
    <w:p w14:paraId="451486D6" w14:textId="77777777" w:rsidR="002E47AA" w:rsidRPr="002E47AA" w:rsidRDefault="002E47AA" w:rsidP="0014703F">
      <w:pPr>
        <w:pStyle w:val="Listenabsatz"/>
        <w:numPr>
          <w:ilvl w:val="1"/>
          <w:numId w:val="2"/>
        </w:numPr>
        <w:jc w:val="both"/>
        <w:outlineLvl w:val="1"/>
        <w:rPr>
          <w:b/>
          <w:color w:val="244061" w:themeColor="accent1" w:themeShade="80"/>
          <w:sz w:val="24"/>
          <w:szCs w:val="24"/>
        </w:rPr>
      </w:pPr>
      <w:r w:rsidRPr="002E47AA">
        <w:rPr>
          <w:b/>
          <w:color w:val="244061" w:themeColor="accent1" w:themeShade="80"/>
          <w:sz w:val="24"/>
          <w:szCs w:val="24"/>
        </w:rPr>
        <w:t xml:space="preserve">Zusammenwirken mit anderen Akteuren </w:t>
      </w:r>
    </w:p>
    <w:p w14:paraId="59CC0DC0" w14:textId="24B33292" w:rsidR="00E924FE" w:rsidRPr="009C465A" w:rsidRDefault="009C465A" w:rsidP="0014703F">
      <w:pPr>
        <w:jc w:val="both"/>
        <w:rPr>
          <w:rFonts w:ascii="Calibri" w:eastAsia="Calibri" w:hAnsi="Calibri" w:cs="Times New Roman"/>
          <w:sz w:val="20"/>
          <w:szCs w:val="20"/>
          <w:lang w:eastAsia="de-DE"/>
        </w:rPr>
      </w:pPr>
      <w:r w:rsidRPr="009C465A">
        <w:rPr>
          <w:rFonts w:ascii="Calibri" w:eastAsia="Calibri" w:hAnsi="Calibri" w:cs="Times New Roman"/>
          <w:sz w:val="20"/>
          <w:szCs w:val="20"/>
          <w:lang w:eastAsia="de-DE"/>
        </w:rPr>
        <w:t xml:space="preserve">Während der Umsetzung des Projekts wurde mit vielen staatlichen und nichtstaatlichen Akteuren zusammengearbeitet und koordiniert. Es wurde mit lokalen und provinziellen </w:t>
      </w:r>
      <w:proofErr w:type="spellStart"/>
      <w:r w:rsidRPr="009C465A">
        <w:rPr>
          <w:rFonts w:ascii="Calibri" w:eastAsia="Calibri" w:hAnsi="Calibri" w:cs="Times New Roman"/>
          <w:sz w:val="20"/>
          <w:szCs w:val="20"/>
          <w:lang w:eastAsia="de-DE"/>
        </w:rPr>
        <w:t>OPDs</w:t>
      </w:r>
      <w:proofErr w:type="spellEnd"/>
      <w:r w:rsidRPr="009C465A">
        <w:rPr>
          <w:rFonts w:ascii="Calibri" w:eastAsia="Calibri" w:hAnsi="Calibri" w:cs="Times New Roman"/>
          <w:sz w:val="20"/>
          <w:szCs w:val="20"/>
          <w:lang w:eastAsia="de-DE"/>
        </w:rPr>
        <w:t xml:space="preserve">, NGOs, </w:t>
      </w:r>
      <w:proofErr w:type="spellStart"/>
      <w:r w:rsidRPr="009C465A">
        <w:rPr>
          <w:rFonts w:ascii="Calibri" w:eastAsia="Calibri" w:hAnsi="Calibri" w:cs="Times New Roman"/>
          <w:sz w:val="20"/>
          <w:szCs w:val="20"/>
          <w:lang w:eastAsia="de-DE"/>
        </w:rPr>
        <w:t>FCHVs</w:t>
      </w:r>
      <w:proofErr w:type="spellEnd"/>
      <w:r w:rsidRPr="009C465A">
        <w:rPr>
          <w:rFonts w:ascii="Calibri" w:eastAsia="Calibri" w:hAnsi="Calibri" w:cs="Times New Roman"/>
          <w:sz w:val="20"/>
          <w:szCs w:val="20"/>
          <w:lang w:eastAsia="de-DE"/>
        </w:rPr>
        <w:t xml:space="preserve">, Schulen, Lehrern, Eltern, traditionellen Heilern sowie lokalen Gesundheitseinrichtungen und -personal koordiniert, während verschiedene Projektaktivitäten wie </w:t>
      </w:r>
      <w:r>
        <w:rPr>
          <w:rFonts w:ascii="Calibri" w:eastAsia="Calibri" w:hAnsi="Calibri" w:cs="Times New Roman"/>
          <w:sz w:val="20"/>
          <w:szCs w:val="20"/>
          <w:lang w:eastAsia="de-DE"/>
        </w:rPr>
        <w:t>Reihen</w:t>
      </w:r>
      <w:r w:rsidRPr="009C465A">
        <w:rPr>
          <w:rFonts w:ascii="Calibri" w:eastAsia="Calibri" w:hAnsi="Calibri" w:cs="Times New Roman"/>
          <w:sz w:val="20"/>
          <w:szCs w:val="20"/>
          <w:lang w:eastAsia="de-DE"/>
        </w:rPr>
        <w:t>- und Schuluntersuchungen für Augen- und Ohrenheilkunde, Schulungen, Workshops und Outreach-</w:t>
      </w:r>
      <w:r>
        <w:rPr>
          <w:rFonts w:ascii="Calibri" w:eastAsia="Calibri" w:hAnsi="Calibri" w:cs="Times New Roman"/>
          <w:sz w:val="20"/>
          <w:szCs w:val="20"/>
          <w:lang w:eastAsia="de-DE"/>
        </w:rPr>
        <w:t>Operationscamps</w:t>
      </w:r>
      <w:r w:rsidRPr="009C465A">
        <w:rPr>
          <w:rFonts w:ascii="Calibri" w:eastAsia="Calibri" w:hAnsi="Calibri" w:cs="Times New Roman"/>
          <w:sz w:val="20"/>
          <w:szCs w:val="20"/>
          <w:lang w:eastAsia="de-DE"/>
        </w:rPr>
        <w:t xml:space="preserve"> durchgeführt wurden. Zudem wurde regelmäßig mit Vertretern der lokalen Regierung bei der Planung und Umsetzung von Outreach-Camps, Seminaren, Workshops und Interaktionsmeetings koordiniert und zusammengearbeitet. Auch mit Medienvertretern und -institutionen wurde koordiniert, um informative Botschaften und Jingles zur Information der </w:t>
      </w:r>
      <w:r w:rsidR="00B64CB5">
        <w:rPr>
          <w:rFonts w:ascii="Calibri" w:eastAsia="Calibri" w:hAnsi="Calibri" w:cs="Times New Roman"/>
          <w:sz w:val="20"/>
          <w:szCs w:val="20"/>
          <w:lang w:eastAsia="de-DE"/>
        </w:rPr>
        <w:t>Zielgruppe</w:t>
      </w:r>
      <w:r w:rsidRPr="009C465A">
        <w:rPr>
          <w:rFonts w:ascii="Calibri" w:eastAsia="Calibri" w:hAnsi="Calibri" w:cs="Times New Roman"/>
          <w:sz w:val="20"/>
          <w:szCs w:val="20"/>
          <w:lang w:eastAsia="de-DE"/>
        </w:rPr>
        <w:t xml:space="preserve"> zu verbreiten. Darüber hinaus wurde mit anderen gleichgesinnten Organisationen im Bereich Augenheilkunde in </w:t>
      </w:r>
      <w:proofErr w:type="spellStart"/>
      <w:r w:rsidRPr="009C465A">
        <w:rPr>
          <w:rFonts w:ascii="Calibri" w:eastAsia="Calibri" w:hAnsi="Calibri" w:cs="Times New Roman"/>
          <w:sz w:val="20"/>
          <w:szCs w:val="20"/>
          <w:lang w:eastAsia="de-DE"/>
        </w:rPr>
        <w:t>Karnali</w:t>
      </w:r>
      <w:proofErr w:type="spellEnd"/>
      <w:r w:rsidRPr="009C465A">
        <w:rPr>
          <w:rFonts w:ascii="Calibri" w:eastAsia="Calibri" w:hAnsi="Calibri" w:cs="Times New Roman"/>
          <w:sz w:val="20"/>
          <w:szCs w:val="20"/>
          <w:lang w:eastAsia="de-DE"/>
        </w:rPr>
        <w:t xml:space="preserve"> </w:t>
      </w:r>
      <w:r w:rsidR="0082520A">
        <w:rPr>
          <w:rFonts w:ascii="Calibri" w:eastAsia="Calibri" w:hAnsi="Calibri" w:cs="Times New Roman"/>
          <w:sz w:val="20"/>
          <w:szCs w:val="20"/>
          <w:lang w:eastAsia="de-DE"/>
        </w:rPr>
        <w:t>zusammengearbeitet</w:t>
      </w:r>
      <w:r w:rsidRPr="009C465A">
        <w:rPr>
          <w:rFonts w:ascii="Calibri" w:eastAsia="Calibri" w:hAnsi="Calibri" w:cs="Times New Roman"/>
          <w:sz w:val="20"/>
          <w:szCs w:val="20"/>
          <w:lang w:eastAsia="de-DE"/>
        </w:rPr>
        <w:t xml:space="preserve">, wie z.B.: The Eye Care Foundations, International Agency </w:t>
      </w:r>
      <w:proofErr w:type="spellStart"/>
      <w:r w:rsidRPr="009C465A">
        <w:rPr>
          <w:rFonts w:ascii="Calibri" w:eastAsia="Calibri" w:hAnsi="Calibri" w:cs="Times New Roman"/>
          <w:sz w:val="20"/>
          <w:szCs w:val="20"/>
          <w:lang w:eastAsia="de-DE"/>
        </w:rPr>
        <w:t>for</w:t>
      </w:r>
      <w:proofErr w:type="spellEnd"/>
      <w:r w:rsidRPr="009C465A">
        <w:rPr>
          <w:rFonts w:ascii="Calibri" w:eastAsia="Calibri" w:hAnsi="Calibri" w:cs="Times New Roman"/>
          <w:sz w:val="20"/>
          <w:szCs w:val="20"/>
          <w:lang w:eastAsia="de-DE"/>
        </w:rPr>
        <w:t xml:space="preserve"> </w:t>
      </w:r>
      <w:proofErr w:type="spellStart"/>
      <w:r w:rsidRPr="009C465A">
        <w:rPr>
          <w:rFonts w:ascii="Calibri" w:eastAsia="Calibri" w:hAnsi="Calibri" w:cs="Times New Roman"/>
          <w:sz w:val="20"/>
          <w:szCs w:val="20"/>
          <w:lang w:eastAsia="de-DE"/>
        </w:rPr>
        <w:t>Prevention</w:t>
      </w:r>
      <w:proofErr w:type="spellEnd"/>
      <w:r w:rsidRPr="009C465A">
        <w:rPr>
          <w:rFonts w:ascii="Calibri" w:eastAsia="Calibri" w:hAnsi="Calibri" w:cs="Times New Roman"/>
          <w:sz w:val="20"/>
          <w:szCs w:val="20"/>
          <w:lang w:eastAsia="de-DE"/>
        </w:rPr>
        <w:t xml:space="preserve"> </w:t>
      </w:r>
      <w:proofErr w:type="spellStart"/>
      <w:r w:rsidRPr="009C465A">
        <w:rPr>
          <w:rFonts w:ascii="Calibri" w:eastAsia="Calibri" w:hAnsi="Calibri" w:cs="Times New Roman"/>
          <w:sz w:val="20"/>
          <w:szCs w:val="20"/>
          <w:lang w:eastAsia="de-DE"/>
        </w:rPr>
        <w:t>of</w:t>
      </w:r>
      <w:proofErr w:type="spellEnd"/>
      <w:r w:rsidRPr="009C465A">
        <w:rPr>
          <w:rFonts w:ascii="Calibri" w:eastAsia="Calibri" w:hAnsi="Calibri" w:cs="Times New Roman"/>
          <w:sz w:val="20"/>
          <w:szCs w:val="20"/>
          <w:lang w:eastAsia="de-DE"/>
        </w:rPr>
        <w:t xml:space="preserve"> Blindness (</w:t>
      </w:r>
      <w:proofErr w:type="spellStart"/>
      <w:r w:rsidRPr="009C465A">
        <w:rPr>
          <w:rFonts w:ascii="Calibri" w:eastAsia="Calibri" w:hAnsi="Calibri" w:cs="Times New Roman"/>
          <w:sz w:val="20"/>
          <w:szCs w:val="20"/>
          <w:lang w:eastAsia="de-DE"/>
        </w:rPr>
        <w:t>IAPB</w:t>
      </w:r>
      <w:proofErr w:type="spellEnd"/>
      <w:r w:rsidRPr="009C465A">
        <w:rPr>
          <w:rFonts w:ascii="Calibri" w:eastAsia="Calibri" w:hAnsi="Calibri" w:cs="Times New Roman"/>
          <w:sz w:val="20"/>
          <w:szCs w:val="20"/>
          <w:lang w:eastAsia="de-DE"/>
        </w:rPr>
        <w:t xml:space="preserve">), </w:t>
      </w:r>
      <w:proofErr w:type="spellStart"/>
      <w:r w:rsidRPr="009C465A">
        <w:rPr>
          <w:rFonts w:ascii="Calibri" w:eastAsia="Calibri" w:hAnsi="Calibri" w:cs="Times New Roman"/>
          <w:sz w:val="20"/>
          <w:szCs w:val="20"/>
          <w:lang w:eastAsia="de-DE"/>
        </w:rPr>
        <w:t>Tilganga</w:t>
      </w:r>
      <w:proofErr w:type="spellEnd"/>
      <w:r w:rsidRPr="009C465A">
        <w:rPr>
          <w:rFonts w:ascii="Calibri" w:eastAsia="Calibri" w:hAnsi="Calibri" w:cs="Times New Roman"/>
          <w:sz w:val="20"/>
          <w:szCs w:val="20"/>
          <w:lang w:eastAsia="de-DE"/>
        </w:rPr>
        <w:t xml:space="preserve"> Institute </w:t>
      </w:r>
      <w:proofErr w:type="spellStart"/>
      <w:r w:rsidRPr="009C465A">
        <w:rPr>
          <w:rFonts w:ascii="Calibri" w:eastAsia="Calibri" w:hAnsi="Calibri" w:cs="Times New Roman"/>
          <w:sz w:val="20"/>
          <w:szCs w:val="20"/>
          <w:lang w:eastAsia="de-DE"/>
        </w:rPr>
        <w:t>of</w:t>
      </w:r>
      <w:proofErr w:type="spellEnd"/>
      <w:r w:rsidRPr="009C465A">
        <w:rPr>
          <w:rFonts w:ascii="Calibri" w:eastAsia="Calibri" w:hAnsi="Calibri" w:cs="Times New Roman"/>
          <w:sz w:val="20"/>
          <w:szCs w:val="20"/>
          <w:lang w:eastAsia="de-DE"/>
        </w:rPr>
        <w:t xml:space="preserve"> </w:t>
      </w:r>
      <w:proofErr w:type="spellStart"/>
      <w:r w:rsidRPr="009C465A">
        <w:rPr>
          <w:rFonts w:ascii="Calibri" w:eastAsia="Calibri" w:hAnsi="Calibri" w:cs="Times New Roman"/>
          <w:sz w:val="20"/>
          <w:szCs w:val="20"/>
          <w:lang w:eastAsia="de-DE"/>
        </w:rPr>
        <w:t>Ophthalmology</w:t>
      </w:r>
      <w:proofErr w:type="spellEnd"/>
      <w:r w:rsidRPr="009C465A">
        <w:rPr>
          <w:rFonts w:ascii="Calibri" w:eastAsia="Calibri" w:hAnsi="Calibri" w:cs="Times New Roman"/>
          <w:sz w:val="20"/>
          <w:szCs w:val="20"/>
          <w:lang w:eastAsia="de-DE"/>
        </w:rPr>
        <w:t xml:space="preserve">, SEVA </w:t>
      </w:r>
      <w:proofErr w:type="spellStart"/>
      <w:r w:rsidRPr="009C465A">
        <w:rPr>
          <w:rFonts w:ascii="Calibri" w:eastAsia="Calibri" w:hAnsi="Calibri" w:cs="Times New Roman"/>
          <w:sz w:val="20"/>
          <w:szCs w:val="20"/>
          <w:lang w:eastAsia="de-DE"/>
        </w:rPr>
        <w:t>Foundation</w:t>
      </w:r>
      <w:proofErr w:type="spellEnd"/>
      <w:r w:rsidRPr="009C465A">
        <w:rPr>
          <w:rFonts w:ascii="Calibri" w:eastAsia="Calibri" w:hAnsi="Calibri" w:cs="Times New Roman"/>
          <w:sz w:val="20"/>
          <w:szCs w:val="20"/>
          <w:lang w:eastAsia="de-DE"/>
        </w:rPr>
        <w:t xml:space="preserve"> und dem Ministerium für soziale Entwicklung der Provinz </w:t>
      </w:r>
      <w:proofErr w:type="spellStart"/>
      <w:r w:rsidRPr="009C465A">
        <w:rPr>
          <w:rFonts w:ascii="Calibri" w:eastAsia="Calibri" w:hAnsi="Calibri" w:cs="Times New Roman"/>
          <w:sz w:val="20"/>
          <w:szCs w:val="20"/>
          <w:lang w:eastAsia="de-DE"/>
        </w:rPr>
        <w:t>Karnali</w:t>
      </w:r>
      <w:proofErr w:type="spellEnd"/>
      <w:r w:rsidRPr="009C465A">
        <w:rPr>
          <w:rFonts w:ascii="Calibri" w:eastAsia="Calibri" w:hAnsi="Calibri" w:cs="Times New Roman"/>
          <w:sz w:val="20"/>
          <w:szCs w:val="20"/>
          <w:lang w:eastAsia="de-DE"/>
        </w:rPr>
        <w:t xml:space="preserve">. Diese multisektorale Zusammenarbeit und Koordination erwies sich als sehr effektiv für die zeitgerechte Durchführung vieler Projektaktivitäten, insbesondere der </w:t>
      </w:r>
      <w:r w:rsidR="0082520A" w:rsidRPr="009C465A">
        <w:rPr>
          <w:rFonts w:ascii="Calibri" w:eastAsia="Calibri" w:hAnsi="Calibri" w:cs="Times New Roman"/>
          <w:sz w:val="20"/>
          <w:szCs w:val="20"/>
          <w:lang w:eastAsia="de-DE"/>
        </w:rPr>
        <w:t>Gemeinde</w:t>
      </w:r>
      <w:r w:rsidRPr="009C465A">
        <w:rPr>
          <w:rFonts w:ascii="Calibri" w:eastAsia="Calibri" w:hAnsi="Calibri" w:cs="Times New Roman"/>
          <w:sz w:val="20"/>
          <w:szCs w:val="20"/>
          <w:lang w:eastAsia="de-DE"/>
        </w:rPr>
        <w:t>-basierten Interventionen für Augen- und Ohrenheilkunde. Dadurch wurde ein sehr förderliches Umfeld für die Umsetzung des Projekts mit breiter Beteiligung der Gemeinschaft, besseren Ergebnissen und Synergien zwischen allen Beteiligten geschaffen.</w:t>
      </w:r>
    </w:p>
    <w:p w14:paraId="0712146F" w14:textId="77777777" w:rsidR="00E924FE" w:rsidRPr="00E924FE" w:rsidRDefault="00E924FE" w:rsidP="0014703F">
      <w:pPr>
        <w:jc w:val="both"/>
      </w:pPr>
    </w:p>
    <w:p w14:paraId="34801ABC" w14:textId="77777777" w:rsidR="002E47AA" w:rsidRDefault="00331FBA" w:rsidP="0014703F">
      <w:pPr>
        <w:pStyle w:val="Listenabsatz"/>
        <w:numPr>
          <w:ilvl w:val="0"/>
          <w:numId w:val="2"/>
        </w:numPr>
        <w:jc w:val="both"/>
        <w:outlineLvl w:val="0"/>
        <w:rPr>
          <w:b/>
          <w:color w:val="244061" w:themeColor="accent1" w:themeShade="80"/>
          <w:sz w:val="24"/>
          <w:szCs w:val="24"/>
        </w:rPr>
      </w:pPr>
      <w:r w:rsidRPr="00550B86">
        <w:rPr>
          <w:b/>
          <w:color w:val="244061" w:themeColor="accent1" w:themeShade="80"/>
          <w:sz w:val="24"/>
          <w:szCs w:val="24"/>
        </w:rPr>
        <w:t>Bewertung und Schlussfolgerung</w:t>
      </w:r>
    </w:p>
    <w:p w14:paraId="5AEABE19" w14:textId="3A08C1ED" w:rsidR="00331FBA" w:rsidRPr="002E47AA" w:rsidRDefault="00331FBA" w:rsidP="0014703F">
      <w:pPr>
        <w:pStyle w:val="Listenabsatz"/>
        <w:numPr>
          <w:ilvl w:val="1"/>
          <w:numId w:val="2"/>
        </w:numPr>
        <w:jc w:val="both"/>
        <w:outlineLvl w:val="1"/>
        <w:rPr>
          <w:b/>
          <w:color w:val="244061" w:themeColor="accent1" w:themeShade="80"/>
          <w:sz w:val="24"/>
          <w:szCs w:val="24"/>
        </w:rPr>
      </w:pPr>
      <w:r w:rsidRPr="002E47AA">
        <w:rPr>
          <w:b/>
          <w:color w:val="244061" w:themeColor="accent1" w:themeShade="80"/>
          <w:sz w:val="24"/>
          <w:szCs w:val="24"/>
        </w:rPr>
        <w:t>Nachhaltigkeit</w:t>
      </w:r>
      <w:r w:rsidR="00517971">
        <w:rPr>
          <w:b/>
          <w:color w:val="244061" w:themeColor="accent1" w:themeShade="80"/>
          <w:sz w:val="24"/>
          <w:szCs w:val="24"/>
        </w:rPr>
        <w:t xml:space="preserve"> (strukturell/ökonomisch – sozial – ökologisch)</w:t>
      </w:r>
    </w:p>
    <w:p w14:paraId="6D0A9AAF" w14:textId="77777777" w:rsidR="00F72EAB" w:rsidRPr="00F72EAB" w:rsidRDefault="00F72EAB" w:rsidP="00F72EAB">
      <w:pPr>
        <w:tabs>
          <w:tab w:val="left" w:pos="567"/>
        </w:tabs>
        <w:spacing w:after="0" w:line="240" w:lineRule="auto"/>
        <w:jc w:val="both"/>
        <w:rPr>
          <w:rFonts w:ascii="Calibri" w:eastAsia="Calibri" w:hAnsi="Calibri" w:cs="Times New Roman"/>
          <w:sz w:val="20"/>
          <w:szCs w:val="20"/>
          <w:lang w:eastAsia="de-DE"/>
        </w:rPr>
      </w:pPr>
      <w:r w:rsidRPr="00F72EAB">
        <w:rPr>
          <w:rFonts w:ascii="Calibri" w:eastAsia="Calibri" w:hAnsi="Calibri" w:cs="Times New Roman"/>
          <w:sz w:val="20"/>
          <w:szCs w:val="20"/>
          <w:lang w:eastAsia="de-DE"/>
        </w:rPr>
        <w:t xml:space="preserve">Die Projektaktivitäten in </w:t>
      </w:r>
      <w:proofErr w:type="spellStart"/>
      <w:r w:rsidRPr="00F72EAB">
        <w:rPr>
          <w:rFonts w:ascii="Calibri" w:eastAsia="Calibri" w:hAnsi="Calibri" w:cs="Times New Roman"/>
          <w:sz w:val="20"/>
          <w:szCs w:val="20"/>
          <w:lang w:eastAsia="de-DE"/>
        </w:rPr>
        <w:t>Karnali</w:t>
      </w:r>
      <w:proofErr w:type="spellEnd"/>
      <w:r w:rsidRPr="00F72EAB">
        <w:rPr>
          <w:rFonts w:ascii="Calibri" w:eastAsia="Calibri" w:hAnsi="Calibri" w:cs="Times New Roman"/>
          <w:sz w:val="20"/>
          <w:szCs w:val="20"/>
          <w:lang w:eastAsia="de-DE"/>
        </w:rPr>
        <w:t xml:space="preserve"> verfolgten einen umfassenden Ansatz zur Bekämpfung vermeidbarer Ursachen von Blindheit, Sehbehinderung, Taubheit und Hörbehinderung. Durch die Wiederherstellung des Sehvermögens von Tausenden benachteiligter Menschen und die Einrichtung integrierter Augenpflegezentren unter der Verantwortung der lokalen Regierung wurde eine nachhaltige Gesundheitsversorgung geschaffen. Die Verbesserung der ophthalmologischen und otologischen Dienstleistungen, einschließlich der Schulung von Gesundheitspersonal und der Bereitstellung von Geräten, hat die Kapazität der Gesundheitsinfrastruktur erheblich erhöht.</w:t>
      </w:r>
    </w:p>
    <w:p w14:paraId="4ADD2EEC" w14:textId="77777777" w:rsidR="00F72EAB" w:rsidRPr="00F72EAB" w:rsidRDefault="00F72EAB" w:rsidP="00F72EAB">
      <w:pPr>
        <w:tabs>
          <w:tab w:val="left" w:pos="567"/>
        </w:tabs>
        <w:spacing w:after="0" w:line="240" w:lineRule="auto"/>
        <w:jc w:val="both"/>
        <w:rPr>
          <w:rFonts w:ascii="Calibri" w:eastAsia="Calibri" w:hAnsi="Calibri" w:cs="Times New Roman"/>
          <w:sz w:val="20"/>
          <w:szCs w:val="20"/>
          <w:lang w:eastAsia="de-DE"/>
        </w:rPr>
      </w:pPr>
    </w:p>
    <w:p w14:paraId="225DFD9C" w14:textId="65D917FB" w:rsidR="00F72EAB" w:rsidRPr="00F72EAB" w:rsidRDefault="00F72EAB" w:rsidP="00F72EAB">
      <w:pPr>
        <w:tabs>
          <w:tab w:val="left" w:pos="567"/>
        </w:tabs>
        <w:spacing w:after="0" w:line="240" w:lineRule="auto"/>
        <w:jc w:val="both"/>
        <w:rPr>
          <w:rFonts w:ascii="Calibri" w:eastAsia="Calibri" w:hAnsi="Calibri" w:cs="Times New Roman"/>
          <w:sz w:val="20"/>
          <w:szCs w:val="20"/>
          <w:lang w:eastAsia="de-DE"/>
        </w:rPr>
      </w:pPr>
      <w:r w:rsidRPr="00F72EAB">
        <w:rPr>
          <w:rFonts w:ascii="Calibri" w:eastAsia="Calibri" w:hAnsi="Calibri" w:cs="Times New Roman"/>
          <w:sz w:val="20"/>
          <w:szCs w:val="20"/>
          <w:lang w:eastAsia="de-DE"/>
        </w:rPr>
        <w:t xml:space="preserve">Das Projekt förderte auch die Sensibilisierung für Augen- und Ohren-Gesundheit, indem es Aberglauben abbaute und rechtzeitige Arztbesuche anregte. Durch die Einbindung traditioneller Heiler in moderne Gesundheitspraktiken wurde ein Wandel im Denken gefördert, was zu einer besseren Inanspruchnahme von Gesundheitsdiensten führte. Die erfolgreiche </w:t>
      </w:r>
      <w:proofErr w:type="spellStart"/>
      <w:r w:rsidRPr="00F72EAB">
        <w:rPr>
          <w:rFonts w:ascii="Calibri" w:eastAsia="Calibri" w:hAnsi="Calibri" w:cs="Times New Roman"/>
          <w:sz w:val="20"/>
          <w:szCs w:val="20"/>
          <w:lang w:eastAsia="de-DE"/>
        </w:rPr>
        <w:t>Advocacy</w:t>
      </w:r>
      <w:proofErr w:type="spellEnd"/>
      <w:r w:rsidRPr="00F72EAB">
        <w:rPr>
          <w:rFonts w:ascii="Calibri" w:eastAsia="Calibri" w:hAnsi="Calibri" w:cs="Times New Roman"/>
          <w:sz w:val="20"/>
          <w:szCs w:val="20"/>
          <w:lang w:eastAsia="de-DE"/>
        </w:rPr>
        <w:t xml:space="preserve">-Arbeit des Projekts führte zur </w:t>
      </w:r>
      <w:r w:rsidR="004752FA">
        <w:rPr>
          <w:rFonts w:ascii="Calibri" w:eastAsia="Calibri" w:hAnsi="Calibri" w:cs="Times New Roman"/>
          <w:sz w:val="20"/>
          <w:szCs w:val="20"/>
          <w:lang w:eastAsia="de-DE"/>
        </w:rPr>
        <w:t>Umsetzung</w:t>
      </w:r>
      <w:r w:rsidRPr="00F72EAB">
        <w:rPr>
          <w:rFonts w:ascii="Calibri" w:eastAsia="Calibri" w:hAnsi="Calibri" w:cs="Times New Roman"/>
          <w:sz w:val="20"/>
          <w:szCs w:val="20"/>
          <w:lang w:eastAsia="de-DE"/>
        </w:rPr>
        <w:t xml:space="preserve"> einer Strategie zur Augengesundheit auf Provinzebene, die eine langfristige Integration dieser Dienste in das staatliche Gesundheitssystem sicherstellt.</w:t>
      </w:r>
    </w:p>
    <w:p w14:paraId="0AD71667" w14:textId="77777777" w:rsidR="00F72EAB" w:rsidRPr="00F72EAB" w:rsidRDefault="00F72EAB" w:rsidP="00F72EAB">
      <w:pPr>
        <w:tabs>
          <w:tab w:val="left" w:pos="567"/>
        </w:tabs>
        <w:spacing w:after="0" w:line="240" w:lineRule="auto"/>
        <w:jc w:val="both"/>
        <w:rPr>
          <w:rFonts w:ascii="Calibri" w:eastAsia="Calibri" w:hAnsi="Calibri" w:cs="Times New Roman"/>
          <w:sz w:val="20"/>
          <w:szCs w:val="20"/>
          <w:lang w:eastAsia="de-DE"/>
        </w:rPr>
      </w:pPr>
    </w:p>
    <w:p w14:paraId="3007ACAD" w14:textId="788320E4" w:rsidR="00F72EAB" w:rsidRPr="00F72EAB" w:rsidRDefault="00F72EAB" w:rsidP="00F72EAB">
      <w:pPr>
        <w:tabs>
          <w:tab w:val="left" w:pos="567"/>
        </w:tabs>
        <w:spacing w:after="0" w:line="240" w:lineRule="auto"/>
        <w:jc w:val="both"/>
        <w:rPr>
          <w:rFonts w:ascii="Calibri" w:eastAsia="Calibri" w:hAnsi="Calibri" w:cs="Times New Roman"/>
          <w:sz w:val="20"/>
          <w:szCs w:val="20"/>
          <w:lang w:eastAsia="de-DE"/>
        </w:rPr>
      </w:pPr>
      <w:r w:rsidRPr="00F72EAB">
        <w:rPr>
          <w:rFonts w:ascii="Calibri" w:eastAsia="Calibri" w:hAnsi="Calibri" w:cs="Times New Roman"/>
          <w:sz w:val="20"/>
          <w:szCs w:val="20"/>
          <w:lang w:eastAsia="de-DE"/>
        </w:rPr>
        <w:t xml:space="preserve">Um die Nachhaltigkeit der Augen- und Ohrenpflege-Dienste nach Projektende zu gewährleisten, sind Maßnahmen wie die Stärkung lokaler Partnerschaften, </w:t>
      </w:r>
      <w:proofErr w:type="spellStart"/>
      <w:r w:rsidRPr="00F72EAB">
        <w:rPr>
          <w:rFonts w:ascii="Calibri" w:eastAsia="Calibri" w:hAnsi="Calibri" w:cs="Times New Roman"/>
          <w:sz w:val="20"/>
          <w:szCs w:val="20"/>
          <w:lang w:eastAsia="de-DE"/>
        </w:rPr>
        <w:t>Advocacy</w:t>
      </w:r>
      <w:proofErr w:type="spellEnd"/>
      <w:r w:rsidRPr="00F72EAB">
        <w:rPr>
          <w:rFonts w:ascii="Calibri" w:eastAsia="Calibri" w:hAnsi="Calibri" w:cs="Times New Roman"/>
          <w:sz w:val="20"/>
          <w:szCs w:val="20"/>
          <w:lang w:eastAsia="de-DE"/>
        </w:rPr>
        <w:t xml:space="preserve"> für erhöhte Budgets und kontinuierliche Schulungen für das Gesundheitspersonal erforderlich. </w:t>
      </w:r>
      <w:proofErr w:type="spellStart"/>
      <w:r w:rsidRPr="00F72EAB">
        <w:rPr>
          <w:rFonts w:ascii="Calibri" w:eastAsia="Calibri" w:hAnsi="Calibri" w:cs="Times New Roman"/>
          <w:sz w:val="20"/>
          <w:szCs w:val="20"/>
          <w:lang w:eastAsia="de-DE"/>
        </w:rPr>
        <w:t>NNJS</w:t>
      </w:r>
      <w:proofErr w:type="spellEnd"/>
      <w:r w:rsidRPr="00F72EAB">
        <w:rPr>
          <w:rFonts w:ascii="Calibri" w:eastAsia="Calibri" w:hAnsi="Calibri" w:cs="Times New Roman"/>
          <w:sz w:val="20"/>
          <w:szCs w:val="20"/>
          <w:lang w:eastAsia="de-DE"/>
        </w:rPr>
        <w:t xml:space="preserve"> bleibt dem Fortbestand des Projekts in anderen Bereichen verpflichtet, um sicherzustellen, dass alle Bevölkerungsgruppen in </w:t>
      </w:r>
      <w:proofErr w:type="spellStart"/>
      <w:r w:rsidRPr="00F72EAB">
        <w:rPr>
          <w:rFonts w:ascii="Calibri" w:eastAsia="Calibri" w:hAnsi="Calibri" w:cs="Times New Roman"/>
          <w:sz w:val="20"/>
          <w:szCs w:val="20"/>
          <w:lang w:eastAsia="de-DE"/>
        </w:rPr>
        <w:t>Karnali</w:t>
      </w:r>
      <w:proofErr w:type="spellEnd"/>
      <w:r w:rsidRPr="00F72EAB">
        <w:rPr>
          <w:rFonts w:ascii="Calibri" w:eastAsia="Calibri" w:hAnsi="Calibri" w:cs="Times New Roman"/>
          <w:sz w:val="20"/>
          <w:szCs w:val="20"/>
          <w:lang w:eastAsia="de-DE"/>
        </w:rPr>
        <w:t xml:space="preserve"> weiterhin Zugang zu diesen wichtigen Gesundheitsdiensten haben.</w:t>
      </w:r>
    </w:p>
    <w:p w14:paraId="68C158B9" w14:textId="5D05CFC1" w:rsidR="00AC519B" w:rsidRDefault="00AC519B" w:rsidP="0014703F">
      <w:pPr>
        <w:jc w:val="both"/>
      </w:pPr>
    </w:p>
    <w:p w14:paraId="09C0D3A7" w14:textId="37F7BB14" w:rsidR="00AC519B" w:rsidRPr="003B4597" w:rsidRDefault="00AC519B" w:rsidP="0014703F">
      <w:pPr>
        <w:pStyle w:val="Listenabsatz"/>
        <w:numPr>
          <w:ilvl w:val="1"/>
          <w:numId w:val="2"/>
        </w:numPr>
        <w:jc w:val="both"/>
        <w:outlineLvl w:val="1"/>
        <w:rPr>
          <w:b/>
          <w:color w:val="244061" w:themeColor="accent1" w:themeShade="80"/>
          <w:sz w:val="24"/>
          <w:szCs w:val="24"/>
        </w:rPr>
      </w:pPr>
      <w:r w:rsidRPr="003B4597">
        <w:rPr>
          <w:b/>
          <w:color w:val="244061" w:themeColor="accent1" w:themeShade="80"/>
          <w:sz w:val="24"/>
          <w:szCs w:val="24"/>
        </w:rPr>
        <w:t>Erkenntnisse aus dem Projekt</w:t>
      </w:r>
      <w:r w:rsidRPr="002E47AA">
        <w:rPr>
          <w:b/>
          <w:color w:val="244061" w:themeColor="accent1" w:themeShade="80"/>
          <w:sz w:val="24"/>
          <w:szCs w:val="24"/>
        </w:rPr>
        <w:t xml:space="preserve"> </w:t>
      </w:r>
      <w:r w:rsidRPr="002E47AA">
        <w:rPr>
          <w:color w:val="244061" w:themeColor="accent1" w:themeShade="80"/>
          <w:sz w:val="24"/>
          <w:szCs w:val="24"/>
        </w:rPr>
        <w:t>(„</w:t>
      </w:r>
      <w:proofErr w:type="spellStart"/>
      <w:r w:rsidRPr="002E47AA">
        <w:rPr>
          <w:color w:val="244061" w:themeColor="accent1" w:themeShade="80"/>
          <w:sz w:val="24"/>
          <w:szCs w:val="24"/>
        </w:rPr>
        <w:t>Lessons</w:t>
      </w:r>
      <w:proofErr w:type="spellEnd"/>
      <w:r w:rsidRPr="002E47AA">
        <w:rPr>
          <w:color w:val="244061" w:themeColor="accent1" w:themeShade="80"/>
          <w:sz w:val="24"/>
          <w:szCs w:val="24"/>
        </w:rPr>
        <w:t xml:space="preserve"> </w:t>
      </w:r>
      <w:proofErr w:type="spellStart"/>
      <w:r w:rsidRPr="002E47AA">
        <w:rPr>
          <w:color w:val="244061" w:themeColor="accent1" w:themeShade="80"/>
          <w:sz w:val="24"/>
          <w:szCs w:val="24"/>
        </w:rPr>
        <w:t>learned</w:t>
      </w:r>
      <w:proofErr w:type="spellEnd"/>
      <w:r w:rsidRPr="002E47AA">
        <w:rPr>
          <w:color w:val="244061" w:themeColor="accent1" w:themeShade="80"/>
          <w:sz w:val="24"/>
          <w:szCs w:val="24"/>
        </w:rPr>
        <w:t>“)</w:t>
      </w:r>
    </w:p>
    <w:p w14:paraId="7DF8D5CD" w14:textId="121BE74D" w:rsidR="00AF15DD" w:rsidRPr="00AF15DD" w:rsidRDefault="00AF15DD" w:rsidP="00AF15DD">
      <w:pPr>
        <w:tabs>
          <w:tab w:val="left" w:pos="567"/>
        </w:tabs>
        <w:spacing w:after="0" w:line="240" w:lineRule="auto"/>
        <w:jc w:val="both"/>
        <w:rPr>
          <w:rFonts w:ascii="Calibri" w:eastAsia="Calibri" w:hAnsi="Calibri" w:cs="Times New Roman"/>
          <w:sz w:val="20"/>
          <w:szCs w:val="20"/>
          <w:lang w:eastAsia="de-DE"/>
        </w:rPr>
      </w:pPr>
      <w:r w:rsidRPr="00AF15DD">
        <w:rPr>
          <w:rFonts w:ascii="Calibri" w:eastAsia="Calibri" w:hAnsi="Calibri" w:cs="Times New Roman"/>
          <w:sz w:val="20"/>
          <w:szCs w:val="20"/>
          <w:lang w:eastAsia="de-DE"/>
        </w:rPr>
        <w:t>Der ursprüngliche Projektzeitraum war von Dezember 2020 bis Dezember 2023 für insgesamt 37 Monate geplant. Aufgrund der COVID-19-Pandemie konnte</w:t>
      </w:r>
      <w:r>
        <w:rPr>
          <w:rFonts w:ascii="Calibri" w:eastAsia="Calibri" w:hAnsi="Calibri" w:cs="Times New Roman"/>
          <w:sz w:val="20"/>
          <w:szCs w:val="20"/>
          <w:lang w:eastAsia="de-DE"/>
        </w:rPr>
        <w:t xml:space="preserve"> </w:t>
      </w:r>
      <w:r w:rsidRPr="00AF15DD">
        <w:rPr>
          <w:rFonts w:ascii="Calibri" w:eastAsia="Calibri" w:hAnsi="Calibri" w:cs="Times New Roman"/>
          <w:sz w:val="20"/>
          <w:szCs w:val="20"/>
          <w:lang w:eastAsia="de-DE"/>
        </w:rPr>
        <w:t>die Umsetzung nicht wie geplant beginnen.</w:t>
      </w:r>
      <w:r>
        <w:rPr>
          <w:rFonts w:ascii="Calibri" w:eastAsia="Calibri" w:hAnsi="Calibri" w:cs="Times New Roman"/>
          <w:sz w:val="20"/>
          <w:szCs w:val="20"/>
          <w:lang w:eastAsia="de-DE"/>
        </w:rPr>
        <w:t xml:space="preserve"> D</w:t>
      </w:r>
      <w:r w:rsidRPr="00AF15DD">
        <w:rPr>
          <w:rFonts w:ascii="Calibri" w:eastAsia="Calibri" w:hAnsi="Calibri" w:cs="Times New Roman"/>
          <w:sz w:val="20"/>
          <w:szCs w:val="20"/>
          <w:lang w:eastAsia="de-DE"/>
        </w:rPr>
        <w:t xml:space="preserve">as Projektpersonal </w:t>
      </w:r>
      <w:r>
        <w:rPr>
          <w:rFonts w:ascii="Calibri" w:eastAsia="Calibri" w:hAnsi="Calibri" w:cs="Times New Roman"/>
          <w:sz w:val="20"/>
          <w:szCs w:val="20"/>
          <w:lang w:eastAsia="de-DE"/>
        </w:rPr>
        <w:t xml:space="preserve">konnte </w:t>
      </w:r>
      <w:r w:rsidRPr="00AF15DD">
        <w:rPr>
          <w:rFonts w:ascii="Calibri" w:eastAsia="Calibri" w:hAnsi="Calibri" w:cs="Times New Roman"/>
          <w:sz w:val="20"/>
          <w:szCs w:val="20"/>
          <w:lang w:eastAsia="de-DE"/>
        </w:rPr>
        <w:t>erst in der zweiten Juliwoche 2021 rekrutier</w:t>
      </w:r>
      <w:r>
        <w:rPr>
          <w:rFonts w:ascii="Calibri" w:eastAsia="Calibri" w:hAnsi="Calibri" w:cs="Times New Roman"/>
          <w:sz w:val="20"/>
          <w:szCs w:val="20"/>
          <w:lang w:eastAsia="de-DE"/>
        </w:rPr>
        <w:t>t werden</w:t>
      </w:r>
      <w:r w:rsidRPr="00AF15DD">
        <w:rPr>
          <w:rFonts w:ascii="Calibri" w:eastAsia="Calibri" w:hAnsi="Calibri" w:cs="Times New Roman"/>
          <w:sz w:val="20"/>
          <w:szCs w:val="20"/>
          <w:lang w:eastAsia="de-DE"/>
        </w:rPr>
        <w:t xml:space="preserve">. Die Umsetzung im Feld konnte aufgrund der anhaltenden COVID-Pandemie erst in der zweiten Augustwoche 2021 mit einigen Aktivitäten beginnen. Daher </w:t>
      </w:r>
      <w:r>
        <w:rPr>
          <w:rFonts w:ascii="Calibri" w:eastAsia="Calibri" w:hAnsi="Calibri" w:cs="Times New Roman"/>
          <w:sz w:val="20"/>
          <w:szCs w:val="20"/>
          <w:lang w:eastAsia="de-DE"/>
        </w:rPr>
        <w:t xml:space="preserve">gab es </w:t>
      </w:r>
      <w:r w:rsidRPr="00AF15DD">
        <w:rPr>
          <w:rFonts w:ascii="Calibri" w:eastAsia="Calibri" w:hAnsi="Calibri" w:cs="Times New Roman"/>
          <w:sz w:val="20"/>
          <w:szCs w:val="20"/>
          <w:lang w:eastAsia="de-DE"/>
        </w:rPr>
        <w:t xml:space="preserve">Schwierigkeiten, die Ziele innerhalb des Zeitrahmens zu erreichen. </w:t>
      </w:r>
      <w:r>
        <w:rPr>
          <w:rFonts w:ascii="Calibri" w:eastAsia="Calibri" w:hAnsi="Calibri" w:cs="Times New Roman"/>
          <w:sz w:val="20"/>
          <w:szCs w:val="20"/>
          <w:lang w:eastAsia="de-DE"/>
        </w:rPr>
        <w:t xml:space="preserve">Um </w:t>
      </w:r>
      <w:r w:rsidR="000A1D46">
        <w:rPr>
          <w:rFonts w:ascii="Calibri" w:eastAsia="Calibri" w:hAnsi="Calibri" w:cs="Times New Roman"/>
          <w:sz w:val="20"/>
          <w:szCs w:val="20"/>
          <w:lang w:eastAsia="de-DE"/>
        </w:rPr>
        <w:t xml:space="preserve">die durch Coronaeinschränkungen verlorene Zeit zu kompensieren, wurden </w:t>
      </w:r>
      <w:r w:rsidR="000A1D46" w:rsidRPr="00AF15DD">
        <w:rPr>
          <w:rFonts w:ascii="Calibri" w:eastAsia="Calibri" w:hAnsi="Calibri" w:cs="Times New Roman"/>
          <w:sz w:val="20"/>
          <w:szCs w:val="20"/>
          <w:lang w:eastAsia="de-DE"/>
        </w:rPr>
        <w:t xml:space="preserve">Projektaktivitäten </w:t>
      </w:r>
      <w:r w:rsidRPr="00AF15DD">
        <w:rPr>
          <w:rFonts w:ascii="Calibri" w:eastAsia="Calibri" w:hAnsi="Calibri" w:cs="Times New Roman"/>
          <w:sz w:val="20"/>
          <w:szCs w:val="20"/>
          <w:lang w:eastAsia="de-DE"/>
        </w:rPr>
        <w:t>parallel geplant und durchgeführt</w:t>
      </w:r>
      <w:r w:rsidR="000A1D46">
        <w:rPr>
          <w:rFonts w:ascii="Calibri" w:eastAsia="Calibri" w:hAnsi="Calibri" w:cs="Times New Roman"/>
          <w:sz w:val="20"/>
          <w:szCs w:val="20"/>
          <w:lang w:eastAsia="de-DE"/>
        </w:rPr>
        <w:t>, was letztlich zu einer Einhaltung fast aller Ziele innerhalb des Projektzeitraums führte</w:t>
      </w:r>
      <w:r w:rsidRPr="00AF15DD">
        <w:rPr>
          <w:rFonts w:ascii="Calibri" w:eastAsia="Calibri" w:hAnsi="Calibri" w:cs="Times New Roman"/>
          <w:sz w:val="20"/>
          <w:szCs w:val="20"/>
          <w:lang w:eastAsia="de-DE"/>
        </w:rPr>
        <w:t xml:space="preserve">. </w:t>
      </w:r>
      <w:r w:rsidR="00511DBC">
        <w:rPr>
          <w:rFonts w:ascii="Calibri" w:eastAsia="Calibri" w:hAnsi="Calibri" w:cs="Times New Roman"/>
          <w:sz w:val="20"/>
          <w:szCs w:val="20"/>
          <w:lang w:eastAsia="de-DE"/>
        </w:rPr>
        <w:t>D</w:t>
      </w:r>
      <w:r w:rsidRPr="00AF15DD">
        <w:rPr>
          <w:rFonts w:ascii="Calibri" w:eastAsia="Calibri" w:hAnsi="Calibri" w:cs="Times New Roman"/>
          <w:sz w:val="20"/>
          <w:szCs w:val="20"/>
          <w:lang w:eastAsia="de-DE"/>
        </w:rPr>
        <w:t xml:space="preserve">as Ziel für </w:t>
      </w:r>
      <w:proofErr w:type="spellStart"/>
      <w:r w:rsidRPr="00AF15DD">
        <w:rPr>
          <w:rFonts w:ascii="Calibri" w:eastAsia="Calibri" w:hAnsi="Calibri" w:cs="Times New Roman"/>
          <w:sz w:val="20"/>
          <w:szCs w:val="20"/>
          <w:lang w:eastAsia="de-DE"/>
        </w:rPr>
        <w:t>katarraktchirurgische</w:t>
      </w:r>
      <w:proofErr w:type="spellEnd"/>
      <w:r w:rsidRPr="00AF15DD">
        <w:rPr>
          <w:rFonts w:ascii="Calibri" w:eastAsia="Calibri" w:hAnsi="Calibri" w:cs="Times New Roman"/>
          <w:sz w:val="20"/>
          <w:szCs w:val="20"/>
          <w:lang w:eastAsia="de-DE"/>
        </w:rPr>
        <w:t xml:space="preserve"> Eingriffe im Krankenhaus </w:t>
      </w:r>
      <w:r w:rsidR="00511DBC">
        <w:rPr>
          <w:rFonts w:ascii="Calibri" w:eastAsia="Calibri" w:hAnsi="Calibri" w:cs="Times New Roman"/>
          <w:sz w:val="20"/>
          <w:szCs w:val="20"/>
          <w:lang w:eastAsia="de-DE"/>
        </w:rPr>
        <w:t>konnte nicht erreicht werden.</w:t>
      </w:r>
      <w:r w:rsidRPr="00AF15DD">
        <w:rPr>
          <w:rFonts w:ascii="Calibri" w:eastAsia="Calibri" w:hAnsi="Calibri" w:cs="Times New Roman"/>
          <w:sz w:val="20"/>
          <w:szCs w:val="20"/>
          <w:lang w:eastAsia="de-DE"/>
        </w:rPr>
        <w:t xml:space="preserve"> Die aus den Augenuntersuchungen in den Projektgemeinden überwiesenen Personen besuchten das Basis-Krankenhaus kaum für die Operation, da es weit entfernt war, sie keine Begleitung hatten und die Opportunitätskosten zu hoch waren. </w:t>
      </w:r>
      <w:r w:rsidR="00697363">
        <w:rPr>
          <w:rFonts w:ascii="Calibri" w:eastAsia="Calibri" w:hAnsi="Calibri" w:cs="Times New Roman"/>
          <w:sz w:val="20"/>
          <w:szCs w:val="20"/>
          <w:lang w:eastAsia="de-DE"/>
        </w:rPr>
        <w:t xml:space="preserve">Daher wurde die Genehmigung von </w:t>
      </w:r>
      <w:proofErr w:type="spellStart"/>
      <w:r w:rsidR="00697363">
        <w:rPr>
          <w:rFonts w:ascii="Calibri" w:eastAsia="Calibri" w:hAnsi="Calibri" w:cs="Times New Roman"/>
          <w:sz w:val="20"/>
          <w:szCs w:val="20"/>
          <w:lang w:eastAsia="de-DE"/>
        </w:rPr>
        <w:t>Bengo</w:t>
      </w:r>
      <w:proofErr w:type="spellEnd"/>
      <w:r w:rsidR="00697363">
        <w:rPr>
          <w:rFonts w:ascii="Calibri" w:eastAsia="Calibri" w:hAnsi="Calibri" w:cs="Times New Roman"/>
          <w:sz w:val="20"/>
          <w:szCs w:val="20"/>
          <w:lang w:eastAsia="de-DE"/>
        </w:rPr>
        <w:t xml:space="preserve"> eingeholt, </w:t>
      </w:r>
      <w:r w:rsidRPr="00AF15DD">
        <w:rPr>
          <w:rFonts w:ascii="Calibri" w:eastAsia="Calibri" w:hAnsi="Calibri" w:cs="Times New Roman"/>
          <w:sz w:val="20"/>
          <w:szCs w:val="20"/>
          <w:lang w:eastAsia="de-DE"/>
        </w:rPr>
        <w:t>zusätzliche Outreach-Chirurgie-Camps durch</w:t>
      </w:r>
      <w:r w:rsidR="00697363">
        <w:rPr>
          <w:rFonts w:ascii="Calibri" w:eastAsia="Calibri" w:hAnsi="Calibri" w:cs="Times New Roman"/>
          <w:sz w:val="20"/>
          <w:szCs w:val="20"/>
          <w:lang w:eastAsia="de-DE"/>
        </w:rPr>
        <w:t>zuführen</w:t>
      </w:r>
      <w:r w:rsidRPr="00AF15DD">
        <w:rPr>
          <w:rFonts w:ascii="Calibri" w:eastAsia="Calibri" w:hAnsi="Calibri" w:cs="Times New Roman"/>
          <w:sz w:val="20"/>
          <w:szCs w:val="20"/>
          <w:lang w:eastAsia="de-DE"/>
        </w:rPr>
        <w:t xml:space="preserve">, </w:t>
      </w:r>
      <w:r w:rsidR="00697363">
        <w:rPr>
          <w:rFonts w:ascii="Calibri" w:eastAsia="Calibri" w:hAnsi="Calibri" w:cs="Times New Roman"/>
          <w:sz w:val="20"/>
          <w:szCs w:val="20"/>
          <w:lang w:eastAsia="de-DE"/>
        </w:rPr>
        <w:t xml:space="preserve">und </w:t>
      </w:r>
      <w:r w:rsidRPr="00AF15DD">
        <w:rPr>
          <w:rFonts w:ascii="Calibri" w:eastAsia="Calibri" w:hAnsi="Calibri" w:cs="Times New Roman"/>
          <w:sz w:val="20"/>
          <w:szCs w:val="20"/>
          <w:lang w:eastAsia="de-DE"/>
        </w:rPr>
        <w:t xml:space="preserve">das nicht ausgegebene Budget für Krankenhausoperationen </w:t>
      </w:r>
      <w:r w:rsidR="00697363">
        <w:rPr>
          <w:rFonts w:ascii="Calibri" w:eastAsia="Calibri" w:hAnsi="Calibri" w:cs="Times New Roman"/>
          <w:sz w:val="20"/>
          <w:szCs w:val="20"/>
          <w:lang w:eastAsia="de-DE"/>
        </w:rPr>
        <w:t xml:space="preserve">zu </w:t>
      </w:r>
      <w:r w:rsidRPr="00AF15DD">
        <w:rPr>
          <w:rFonts w:ascii="Calibri" w:eastAsia="Calibri" w:hAnsi="Calibri" w:cs="Times New Roman"/>
          <w:sz w:val="20"/>
          <w:szCs w:val="20"/>
          <w:lang w:eastAsia="de-DE"/>
        </w:rPr>
        <w:t xml:space="preserve">nutzten. Die geplante Umfrage zu Ohren- und Hörverlust konnte </w:t>
      </w:r>
      <w:r w:rsidR="00940D9E">
        <w:rPr>
          <w:rFonts w:ascii="Calibri" w:eastAsia="Calibri" w:hAnsi="Calibri" w:cs="Times New Roman"/>
          <w:sz w:val="20"/>
          <w:szCs w:val="20"/>
          <w:lang w:eastAsia="de-DE"/>
        </w:rPr>
        <w:t xml:space="preserve">nicht </w:t>
      </w:r>
      <w:r w:rsidRPr="00AF15DD">
        <w:rPr>
          <w:rFonts w:ascii="Calibri" w:eastAsia="Calibri" w:hAnsi="Calibri" w:cs="Times New Roman"/>
          <w:sz w:val="20"/>
          <w:szCs w:val="20"/>
          <w:lang w:eastAsia="de-DE"/>
        </w:rPr>
        <w:t xml:space="preserve">innerhalb des Projektzeitraums durchgeführt werden, da es </w:t>
      </w:r>
      <w:r w:rsidR="00940D9E">
        <w:rPr>
          <w:rFonts w:ascii="Calibri" w:eastAsia="Calibri" w:hAnsi="Calibri" w:cs="Times New Roman"/>
          <w:sz w:val="20"/>
          <w:szCs w:val="20"/>
          <w:lang w:eastAsia="de-DE"/>
        </w:rPr>
        <w:t xml:space="preserve">zum einen </w:t>
      </w:r>
      <w:r w:rsidR="005E3B08">
        <w:rPr>
          <w:rFonts w:ascii="Calibri" w:eastAsia="Calibri" w:hAnsi="Calibri" w:cs="Times New Roman"/>
          <w:sz w:val="20"/>
          <w:szCs w:val="20"/>
          <w:lang w:eastAsia="de-DE"/>
        </w:rPr>
        <w:t xml:space="preserve">herausfordernd war eine passende </w:t>
      </w:r>
      <w:proofErr w:type="spellStart"/>
      <w:r w:rsidR="005E3B08">
        <w:rPr>
          <w:rFonts w:ascii="Calibri" w:eastAsia="Calibri" w:hAnsi="Calibri" w:cs="Times New Roman"/>
          <w:sz w:val="20"/>
          <w:szCs w:val="20"/>
          <w:lang w:eastAsia="de-DE"/>
        </w:rPr>
        <w:t>Consultancy</w:t>
      </w:r>
      <w:proofErr w:type="spellEnd"/>
      <w:r w:rsidR="005E3B08">
        <w:rPr>
          <w:rFonts w:ascii="Calibri" w:eastAsia="Calibri" w:hAnsi="Calibri" w:cs="Times New Roman"/>
          <w:sz w:val="20"/>
          <w:szCs w:val="20"/>
          <w:lang w:eastAsia="de-DE"/>
        </w:rPr>
        <w:t>- Firma zu finden und zum anderen das notwendige Budget aufzubringen.</w:t>
      </w:r>
      <w:r w:rsidRPr="00AF15DD">
        <w:rPr>
          <w:rFonts w:ascii="Calibri" w:eastAsia="Calibri" w:hAnsi="Calibri" w:cs="Times New Roman"/>
          <w:sz w:val="20"/>
          <w:szCs w:val="20"/>
          <w:lang w:eastAsia="de-DE"/>
        </w:rPr>
        <w:t xml:space="preserve"> </w:t>
      </w:r>
      <w:r w:rsidR="005E3B08">
        <w:rPr>
          <w:rFonts w:ascii="Calibri" w:eastAsia="Calibri" w:hAnsi="Calibri" w:cs="Times New Roman"/>
          <w:sz w:val="20"/>
          <w:szCs w:val="20"/>
          <w:lang w:eastAsia="de-DE"/>
        </w:rPr>
        <w:t>Daher wurde ein Teil der Budgetreserve genutzt.</w:t>
      </w:r>
      <w:r w:rsidRPr="00AF15DD">
        <w:rPr>
          <w:rFonts w:ascii="Calibri" w:eastAsia="Calibri" w:hAnsi="Calibri" w:cs="Times New Roman"/>
          <w:sz w:val="20"/>
          <w:szCs w:val="20"/>
          <w:lang w:eastAsia="de-DE"/>
        </w:rPr>
        <w:t xml:space="preserve"> Das Projekt wurde bis Mai 2024 </w:t>
      </w:r>
      <w:r w:rsidR="00A21E38">
        <w:rPr>
          <w:rFonts w:ascii="Calibri" w:eastAsia="Calibri" w:hAnsi="Calibri" w:cs="Times New Roman"/>
          <w:sz w:val="20"/>
          <w:szCs w:val="20"/>
          <w:lang w:eastAsia="de-DE"/>
        </w:rPr>
        <w:t>kostenneutral</w:t>
      </w:r>
      <w:r w:rsidRPr="00AF15DD">
        <w:rPr>
          <w:rFonts w:ascii="Calibri" w:eastAsia="Calibri" w:hAnsi="Calibri" w:cs="Times New Roman"/>
          <w:sz w:val="20"/>
          <w:szCs w:val="20"/>
          <w:lang w:eastAsia="de-DE"/>
        </w:rPr>
        <w:t xml:space="preserve"> verlängert, </w:t>
      </w:r>
      <w:r w:rsidR="00A21E38">
        <w:rPr>
          <w:rFonts w:ascii="Calibri" w:eastAsia="Calibri" w:hAnsi="Calibri" w:cs="Times New Roman"/>
          <w:sz w:val="20"/>
          <w:szCs w:val="20"/>
          <w:lang w:eastAsia="de-DE"/>
        </w:rPr>
        <w:t xml:space="preserve">um </w:t>
      </w:r>
      <w:r w:rsidRPr="00AF15DD">
        <w:rPr>
          <w:rFonts w:ascii="Calibri" w:eastAsia="Calibri" w:hAnsi="Calibri" w:cs="Times New Roman"/>
          <w:sz w:val="20"/>
          <w:szCs w:val="20"/>
          <w:lang w:eastAsia="de-DE"/>
        </w:rPr>
        <w:t xml:space="preserve">die </w:t>
      </w:r>
      <w:r w:rsidR="00A21E38">
        <w:rPr>
          <w:rFonts w:ascii="Calibri" w:eastAsia="Calibri" w:hAnsi="Calibri" w:cs="Times New Roman"/>
          <w:sz w:val="20"/>
          <w:szCs w:val="20"/>
          <w:lang w:eastAsia="de-DE"/>
        </w:rPr>
        <w:t xml:space="preserve">genannte </w:t>
      </w:r>
      <w:r w:rsidRPr="00AF15DD">
        <w:rPr>
          <w:rFonts w:ascii="Calibri" w:eastAsia="Calibri" w:hAnsi="Calibri" w:cs="Times New Roman"/>
          <w:sz w:val="20"/>
          <w:szCs w:val="20"/>
          <w:lang w:eastAsia="de-DE"/>
        </w:rPr>
        <w:t>Umfrage ab</w:t>
      </w:r>
      <w:r w:rsidR="00A21E38">
        <w:rPr>
          <w:rFonts w:ascii="Calibri" w:eastAsia="Calibri" w:hAnsi="Calibri" w:cs="Times New Roman"/>
          <w:sz w:val="20"/>
          <w:szCs w:val="20"/>
          <w:lang w:eastAsia="de-DE"/>
        </w:rPr>
        <w:t>zu</w:t>
      </w:r>
      <w:r w:rsidRPr="00AF15DD">
        <w:rPr>
          <w:rFonts w:ascii="Calibri" w:eastAsia="Calibri" w:hAnsi="Calibri" w:cs="Times New Roman"/>
          <w:sz w:val="20"/>
          <w:szCs w:val="20"/>
          <w:lang w:eastAsia="de-DE"/>
        </w:rPr>
        <w:t xml:space="preserve">schließen. </w:t>
      </w:r>
      <w:r w:rsidR="00A21E38">
        <w:rPr>
          <w:rFonts w:ascii="Calibri" w:eastAsia="Calibri" w:hAnsi="Calibri" w:cs="Times New Roman"/>
          <w:sz w:val="20"/>
          <w:szCs w:val="20"/>
          <w:lang w:eastAsia="de-DE"/>
        </w:rPr>
        <w:t>Am bedeutsamsten ist</w:t>
      </w:r>
      <w:r w:rsidRPr="00AF15DD">
        <w:rPr>
          <w:rFonts w:ascii="Calibri" w:eastAsia="Calibri" w:hAnsi="Calibri" w:cs="Times New Roman"/>
          <w:sz w:val="20"/>
          <w:szCs w:val="20"/>
          <w:lang w:eastAsia="de-DE"/>
        </w:rPr>
        <w:t xml:space="preserve">, dass das Projekt mit einigen nachhaltigen Ergebnissen abgeschlossen </w:t>
      </w:r>
      <w:r w:rsidR="00A21E38">
        <w:rPr>
          <w:rFonts w:ascii="Calibri" w:eastAsia="Calibri" w:hAnsi="Calibri" w:cs="Times New Roman"/>
          <w:sz w:val="20"/>
          <w:szCs w:val="20"/>
          <w:lang w:eastAsia="de-DE"/>
        </w:rPr>
        <w:t>werden konnte</w:t>
      </w:r>
      <w:r w:rsidRPr="00AF15DD">
        <w:rPr>
          <w:rFonts w:ascii="Calibri" w:eastAsia="Calibri" w:hAnsi="Calibri" w:cs="Times New Roman"/>
          <w:sz w:val="20"/>
          <w:szCs w:val="20"/>
          <w:lang w:eastAsia="de-DE"/>
        </w:rPr>
        <w:t xml:space="preserve">. Die </w:t>
      </w:r>
      <w:r w:rsidR="007F60E4">
        <w:rPr>
          <w:rFonts w:ascii="Calibri" w:eastAsia="Calibri" w:hAnsi="Calibri" w:cs="Times New Roman"/>
          <w:sz w:val="20"/>
          <w:szCs w:val="20"/>
          <w:lang w:eastAsia="de-DE"/>
        </w:rPr>
        <w:t>Etablierung</w:t>
      </w:r>
      <w:r w:rsidRPr="00AF15DD">
        <w:rPr>
          <w:rFonts w:ascii="Calibri" w:eastAsia="Calibri" w:hAnsi="Calibri" w:cs="Times New Roman"/>
          <w:sz w:val="20"/>
          <w:szCs w:val="20"/>
          <w:lang w:eastAsia="de-DE"/>
        </w:rPr>
        <w:t xml:space="preserve"> der Augengesundheitsstrategie durch die Provinzregierung, die Einrichtung integrierter primärer Augenpflege-Dienste und die Sicherstellung der Verfügbarkeit grundlegender Ohren</w:t>
      </w:r>
      <w:r w:rsidR="007F60E4">
        <w:rPr>
          <w:rFonts w:ascii="Calibri" w:eastAsia="Calibri" w:hAnsi="Calibri" w:cs="Times New Roman"/>
          <w:sz w:val="20"/>
          <w:szCs w:val="20"/>
          <w:lang w:eastAsia="de-DE"/>
        </w:rPr>
        <w:t>gesundheits</w:t>
      </w:r>
      <w:r w:rsidR="00EF2763">
        <w:rPr>
          <w:rFonts w:ascii="Calibri" w:eastAsia="Calibri" w:hAnsi="Calibri" w:cs="Times New Roman"/>
          <w:sz w:val="20"/>
          <w:szCs w:val="20"/>
          <w:lang w:eastAsia="de-DE"/>
        </w:rPr>
        <w:t>d</w:t>
      </w:r>
      <w:r w:rsidRPr="00AF15DD">
        <w:rPr>
          <w:rFonts w:ascii="Calibri" w:eastAsia="Calibri" w:hAnsi="Calibri" w:cs="Times New Roman"/>
          <w:sz w:val="20"/>
          <w:szCs w:val="20"/>
          <w:lang w:eastAsia="de-DE"/>
        </w:rPr>
        <w:t xml:space="preserve">ienste innerhalb des staatlichen Gesundheitssystems sind einige der Ergebnisse, die über die Laufzeit des Projekts </w:t>
      </w:r>
      <w:r w:rsidR="00AA6E00" w:rsidRPr="00AF15DD">
        <w:rPr>
          <w:rFonts w:ascii="Calibri" w:eastAsia="Calibri" w:hAnsi="Calibri" w:cs="Times New Roman"/>
          <w:sz w:val="20"/>
          <w:szCs w:val="20"/>
          <w:lang w:eastAsia="de-DE"/>
        </w:rPr>
        <w:t>hinauswirken</w:t>
      </w:r>
      <w:r w:rsidRPr="00AF15DD">
        <w:rPr>
          <w:rFonts w:ascii="Calibri" w:eastAsia="Calibri" w:hAnsi="Calibri" w:cs="Times New Roman"/>
          <w:sz w:val="20"/>
          <w:szCs w:val="20"/>
          <w:lang w:eastAsia="de-DE"/>
        </w:rPr>
        <w:t xml:space="preserve"> werden. Die meisten der beteiligten Gemeinden haben bereits begonnen, Budgets für Augengesundheit in ihren Jahresplänen einzuplanen. Dies ist eines der erfolgreichen Ergebnisse aufgrund der kontinuierlichen Lobbyarbeit und </w:t>
      </w:r>
      <w:proofErr w:type="spellStart"/>
      <w:r w:rsidRPr="00AF15DD">
        <w:rPr>
          <w:rFonts w:ascii="Calibri" w:eastAsia="Calibri" w:hAnsi="Calibri" w:cs="Times New Roman"/>
          <w:sz w:val="20"/>
          <w:szCs w:val="20"/>
          <w:lang w:eastAsia="de-DE"/>
        </w:rPr>
        <w:t>Advocacy</w:t>
      </w:r>
      <w:proofErr w:type="spellEnd"/>
      <w:r w:rsidRPr="00AF15DD">
        <w:rPr>
          <w:rFonts w:ascii="Calibri" w:eastAsia="Calibri" w:hAnsi="Calibri" w:cs="Times New Roman"/>
          <w:sz w:val="20"/>
          <w:szCs w:val="20"/>
          <w:lang w:eastAsia="de-DE"/>
        </w:rPr>
        <w:t xml:space="preserve"> während der Projektdurchführung.</w:t>
      </w:r>
    </w:p>
    <w:p w14:paraId="39952905" w14:textId="77777777" w:rsidR="00AF15DD" w:rsidRPr="002E4CC6" w:rsidRDefault="00AF15DD" w:rsidP="0014703F">
      <w:pPr>
        <w:tabs>
          <w:tab w:val="left" w:pos="567"/>
        </w:tabs>
        <w:spacing w:after="0" w:line="240" w:lineRule="auto"/>
        <w:jc w:val="both"/>
        <w:rPr>
          <w:color w:val="A6A6A6" w:themeColor="background1" w:themeShade="A6"/>
          <w:szCs w:val="18"/>
        </w:rPr>
      </w:pPr>
    </w:p>
    <w:p w14:paraId="3B4301FC" w14:textId="1ADA904B" w:rsidR="00AB7E1F" w:rsidRDefault="00331FBA" w:rsidP="0014703F">
      <w:pPr>
        <w:pStyle w:val="Listenabsatz"/>
        <w:numPr>
          <w:ilvl w:val="0"/>
          <w:numId w:val="2"/>
        </w:numPr>
        <w:jc w:val="both"/>
        <w:outlineLvl w:val="0"/>
        <w:rPr>
          <w:b/>
          <w:color w:val="244061" w:themeColor="accent1" w:themeShade="80"/>
          <w:sz w:val="24"/>
          <w:szCs w:val="24"/>
        </w:rPr>
      </w:pPr>
      <w:r w:rsidRPr="006A313B">
        <w:rPr>
          <w:b/>
          <w:color w:val="244061" w:themeColor="accent1" w:themeShade="80"/>
          <w:sz w:val="24"/>
          <w:szCs w:val="24"/>
        </w:rPr>
        <w:t>Berichterstattung zu Auflagen gemäß Weiterleitungsvertrag</w:t>
      </w:r>
    </w:p>
    <w:p w14:paraId="5E6897E2" w14:textId="6E0CF9D7" w:rsidR="004761E4" w:rsidRPr="00EC037E" w:rsidRDefault="00EC037E" w:rsidP="0014703F">
      <w:pPr>
        <w:spacing w:after="0"/>
        <w:jc w:val="both"/>
        <w:rPr>
          <w:rFonts w:ascii="Calibri" w:eastAsia="Calibri" w:hAnsi="Calibri" w:cs="Times New Roman"/>
          <w:sz w:val="20"/>
          <w:szCs w:val="20"/>
          <w:lang w:eastAsia="de-DE"/>
        </w:rPr>
      </w:pPr>
      <w:r w:rsidRPr="00EC037E">
        <w:rPr>
          <w:rFonts w:ascii="Calibri" w:eastAsia="Calibri" w:hAnsi="Calibri" w:cs="Times New Roman"/>
          <w:sz w:val="20"/>
          <w:szCs w:val="20"/>
          <w:lang w:eastAsia="de-DE"/>
        </w:rPr>
        <w:t>Keine Auflagen.</w:t>
      </w:r>
    </w:p>
    <w:p w14:paraId="37F31FEF" w14:textId="16716EEF" w:rsidR="00C0375D" w:rsidRPr="00FE1B61" w:rsidRDefault="00C0375D" w:rsidP="0014703F">
      <w:pPr>
        <w:spacing w:after="0"/>
        <w:jc w:val="both"/>
      </w:pPr>
    </w:p>
    <w:p w14:paraId="28705DCD" w14:textId="54DD853A" w:rsidR="00893C43" w:rsidRDefault="00DA1E4D" w:rsidP="0014703F">
      <w:pPr>
        <w:pStyle w:val="Listenabsatz"/>
        <w:numPr>
          <w:ilvl w:val="0"/>
          <w:numId w:val="2"/>
        </w:numPr>
        <w:jc w:val="both"/>
        <w:outlineLvl w:val="0"/>
        <w:rPr>
          <w:b/>
          <w:color w:val="244061" w:themeColor="accent1" w:themeShade="80"/>
          <w:sz w:val="24"/>
          <w:szCs w:val="24"/>
        </w:rPr>
      </w:pPr>
      <w:r w:rsidRPr="006A313B">
        <w:rPr>
          <w:b/>
          <w:color w:val="244061" w:themeColor="accent1" w:themeShade="80"/>
          <w:sz w:val="24"/>
          <w:szCs w:val="24"/>
        </w:rPr>
        <w:t>Stellungnahme zu einer durchgeführten Evaluation und</w:t>
      </w:r>
      <w:r w:rsidR="00893C43">
        <w:rPr>
          <w:b/>
          <w:color w:val="244061" w:themeColor="accent1" w:themeShade="80"/>
          <w:sz w:val="24"/>
          <w:szCs w:val="24"/>
        </w:rPr>
        <w:t>/oder</w:t>
      </w:r>
      <w:r w:rsidRPr="006A313B">
        <w:rPr>
          <w:b/>
          <w:color w:val="244061" w:themeColor="accent1" w:themeShade="80"/>
          <w:sz w:val="24"/>
          <w:szCs w:val="24"/>
        </w:rPr>
        <w:t xml:space="preserve"> Auswertung des Testats der unabhängigen Buchprüfung</w:t>
      </w:r>
    </w:p>
    <w:p w14:paraId="74F3F16B" w14:textId="479D2677" w:rsidR="00EA52E2" w:rsidRDefault="00163B6A" w:rsidP="00EA52E2">
      <w:pPr>
        <w:jc w:val="both"/>
        <w:outlineLvl w:val="0"/>
        <w:rPr>
          <w:rFonts w:ascii="Calibri" w:eastAsia="Calibri" w:hAnsi="Calibri" w:cs="Times New Roman"/>
          <w:b/>
          <w:bCs/>
          <w:sz w:val="20"/>
          <w:szCs w:val="20"/>
          <w:lang w:eastAsia="de-DE"/>
        </w:rPr>
      </w:pPr>
      <w:r w:rsidRPr="00163B6A">
        <w:rPr>
          <w:rFonts w:ascii="Calibri" w:eastAsia="Calibri" w:hAnsi="Calibri" w:cs="Times New Roman"/>
          <w:b/>
          <w:bCs/>
          <w:sz w:val="20"/>
          <w:szCs w:val="20"/>
          <w:lang w:eastAsia="de-DE"/>
        </w:rPr>
        <w:t>Zusammenfassung und Stellungnahme zur durchgeführten finalen Evaluation</w:t>
      </w:r>
    </w:p>
    <w:p w14:paraId="0ACBDFA1" w14:textId="77777777" w:rsidR="00163B6A" w:rsidRPr="005242FF" w:rsidRDefault="00163B6A" w:rsidP="00C511F4">
      <w:pPr>
        <w:spacing w:after="120"/>
        <w:jc w:val="both"/>
        <w:rPr>
          <w:rFonts w:ascii="Calibri" w:eastAsia="Calibri" w:hAnsi="Calibri" w:cs="Times New Roman"/>
          <w:sz w:val="20"/>
          <w:szCs w:val="20"/>
          <w:lang w:eastAsia="de-DE"/>
        </w:rPr>
      </w:pPr>
      <w:r w:rsidRPr="005242FF">
        <w:rPr>
          <w:rFonts w:ascii="Calibri" w:eastAsia="Calibri" w:hAnsi="Calibri" w:cs="Times New Roman"/>
          <w:sz w:val="20"/>
          <w:szCs w:val="20"/>
          <w:lang w:eastAsia="de-DE"/>
        </w:rPr>
        <w:t xml:space="preserve">In der </w:t>
      </w:r>
      <w:proofErr w:type="spellStart"/>
      <w:r w:rsidRPr="005242FF">
        <w:rPr>
          <w:rFonts w:ascii="Calibri" w:eastAsia="Calibri" w:hAnsi="Calibri" w:cs="Times New Roman"/>
          <w:sz w:val="20"/>
          <w:szCs w:val="20"/>
          <w:lang w:eastAsia="de-DE"/>
        </w:rPr>
        <w:t>Karnali</w:t>
      </w:r>
      <w:proofErr w:type="spellEnd"/>
      <w:r w:rsidRPr="005242FF">
        <w:rPr>
          <w:rFonts w:ascii="Calibri" w:eastAsia="Calibri" w:hAnsi="Calibri" w:cs="Times New Roman"/>
          <w:sz w:val="20"/>
          <w:szCs w:val="20"/>
          <w:lang w:eastAsia="de-DE"/>
        </w:rPr>
        <w:t xml:space="preserve">-Provinz Nepals haben viele Menschen unbehandelte Katarakte und Ohrprobleme, da der Zugang zu Augen- und Ohrenheilkunde stark eingeschränkt ist. </w:t>
      </w:r>
      <w:r w:rsidRPr="00163B6A">
        <w:rPr>
          <w:rFonts w:ascii="Calibri" w:eastAsia="Calibri" w:hAnsi="Calibri" w:cs="Times New Roman"/>
          <w:sz w:val="20"/>
          <w:szCs w:val="20"/>
          <w:lang w:eastAsia="de-DE"/>
        </w:rPr>
        <w:t>Das</w:t>
      </w:r>
      <w:r w:rsidRPr="005242FF">
        <w:rPr>
          <w:rFonts w:ascii="Calibri" w:eastAsia="Calibri" w:hAnsi="Calibri" w:cs="Times New Roman"/>
          <w:sz w:val="20"/>
          <w:szCs w:val="20"/>
          <w:lang w:eastAsia="de-DE"/>
        </w:rPr>
        <w:t xml:space="preserve"> Projekt hat eine Aufklärungskampagne gestartet, Gesundheitsarbeiter geschult und Screening-Camps organisiert, um die Versorgung zu verbessern. Zudem wurde ein staatliches Augen</w:t>
      </w:r>
      <w:r w:rsidRPr="00163B6A">
        <w:rPr>
          <w:rFonts w:ascii="Calibri" w:eastAsia="Calibri" w:hAnsi="Calibri" w:cs="Times New Roman"/>
          <w:sz w:val="20"/>
          <w:szCs w:val="20"/>
          <w:lang w:eastAsia="de-DE"/>
        </w:rPr>
        <w:t>gesundheits</w:t>
      </w:r>
      <w:r w:rsidRPr="005242FF">
        <w:rPr>
          <w:rFonts w:ascii="Calibri" w:eastAsia="Calibri" w:hAnsi="Calibri" w:cs="Times New Roman"/>
          <w:sz w:val="20"/>
          <w:szCs w:val="20"/>
          <w:lang w:eastAsia="de-DE"/>
        </w:rPr>
        <w:t>zentrum eingerichtet, das die Qualität der Dienstleistungen erhöht. Durch Partnerschaften mit lokalen Einrichtungen konnte die Kapazität für Behandlungen gesteigert werden, was die Lebensqualität der Bevölkerung verbessert. Das Projekt steigerte das Bewusstsein für Augen- und Ohren</w:t>
      </w:r>
      <w:r w:rsidRPr="00163B6A">
        <w:rPr>
          <w:rFonts w:ascii="Calibri" w:eastAsia="Calibri" w:hAnsi="Calibri" w:cs="Times New Roman"/>
          <w:sz w:val="20"/>
          <w:szCs w:val="20"/>
          <w:lang w:eastAsia="de-DE"/>
        </w:rPr>
        <w:t>gesundheit</w:t>
      </w:r>
      <w:r w:rsidRPr="005242FF">
        <w:rPr>
          <w:rFonts w:ascii="Calibri" w:eastAsia="Calibri" w:hAnsi="Calibri" w:cs="Times New Roman"/>
          <w:sz w:val="20"/>
          <w:szCs w:val="20"/>
          <w:lang w:eastAsia="de-DE"/>
        </w:rPr>
        <w:t xml:space="preserve"> durch Medienkampagnen und Schulungen, während Screening-Camps in Schulen die frühzeitige Erkennung von Erkrankungen förderten. Es bot direkte Dienstleistungen wie Medikamente, Brillen und chirurgische Überweisungen an und verbesserte die Kapazität lokaler Gesundheitseinrichtungen durch Schulungen und </w:t>
      </w:r>
      <w:r w:rsidRPr="00163B6A">
        <w:rPr>
          <w:rFonts w:ascii="Calibri" w:eastAsia="Calibri" w:hAnsi="Calibri" w:cs="Times New Roman"/>
          <w:sz w:val="20"/>
          <w:szCs w:val="20"/>
          <w:lang w:eastAsia="de-DE"/>
        </w:rPr>
        <w:t>die Ausstattung mit medizinischen Geräten</w:t>
      </w:r>
      <w:r w:rsidRPr="005242FF">
        <w:rPr>
          <w:rFonts w:ascii="Calibri" w:eastAsia="Calibri" w:hAnsi="Calibri" w:cs="Times New Roman"/>
          <w:sz w:val="20"/>
          <w:szCs w:val="20"/>
          <w:lang w:eastAsia="de-DE"/>
        </w:rPr>
        <w:t xml:space="preserve">. Trotz Herausforderungen </w:t>
      </w:r>
      <w:r w:rsidRPr="00163B6A">
        <w:rPr>
          <w:rFonts w:ascii="Calibri" w:eastAsia="Calibri" w:hAnsi="Calibri" w:cs="Times New Roman"/>
          <w:sz w:val="20"/>
          <w:szCs w:val="20"/>
          <w:lang w:eastAsia="de-DE"/>
        </w:rPr>
        <w:t xml:space="preserve">wie die </w:t>
      </w:r>
      <w:r w:rsidRPr="005242FF">
        <w:rPr>
          <w:rFonts w:ascii="Calibri" w:eastAsia="Calibri" w:hAnsi="Calibri" w:cs="Times New Roman"/>
          <w:sz w:val="20"/>
          <w:szCs w:val="20"/>
          <w:lang w:eastAsia="de-DE"/>
        </w:rPr>
        <w:t>COVID-19</w:t>
      </w:r>
      <w:r w:rsidRPr="00163B6A">
        <w:rPr>
          <w:rFonts w:ascii="Calibri" w:eastAsia="Calibri" w:hAnsi="Calibri" w:cs="Times New Roman"/>
          <w:sz w:val="20"/>
          <w:szCs w:val="20"/>
          <w:lang w:eastAsia="de-DE"/>
        </w:rPr>
        <w:t xml:space="preserve"> Pandemie</w:t>
      </w:r>
      <w:r w:rsidRPr="005242FF">
        <w:rPr>
          <w:rFonts w:ascii="Calibri" w:eastAsia="Calibri" w:hAnsi="Calibri" w:cs="Times New Roman"/>
          <w:sz w:val="20"/>
          <w:szCs w:val="20"/>
          <w:lang w:eastAsia="de-DE"/>
        </w:rPr>
        <w:t xml:space="preserve"> war das Projekt effizient in der Umsetzung seiner Ziele zur Verbesserung der Augen- und Ohren</w:t>
      </w:r>
      <w:r w:rsidRPr="00163B6A">
        <w:rPr>
          <w:rFonts w:ascii="Calibri" w:eastAsia="Calibri" w:hAnsi="Calibri" w:cs="Times New Roman"/>
          <w:sz w:val="20"/>
          <w:szCs w:val="20"/>
          <w:lang w:eastAsia="de-DE"/>
        </w:rPr>
        <w:t>gesundheit</w:t>
      </w:r>
      <w:r w:rsidRPr="005242FF">
        <w:rPr>
          <w:rFonts w:ascii="Calibri" w:eastAsia="Calibri" w:hAnsi="Calibri" w:cs="Times New Roman"/>
          <w:sz w:val="20"/>
          <w:szCs w:val="20"/>
          <w:lang w:eastAsia="de-DE"/>
        </w:rPr>
        <w:t xml:space="preserve">. Gemeinschaftskoordinatoren spielten eine Schlüsselrolle bei der Identifizierung von Patienten mit Katarakten sowie bei Aufklärungsprogrammen. </w:t>
      </w:r>
      <w:r w:rsidRPr="00163B6A">
        <w:rPr>
          <w:rFonts w:ascii="Calibri" w:eastAsia="Calibri" w:hAnsi="Calibri" w:cs="Times New Roman"/>
          <w:sz w:val="20"/>
          <w:szCs w:val="20"/>
          <w:lang w:eastAsia="de-DE"/>
        </w:rPr>
        <w:t>Die s</w:t>
      </w:r>
      <w:r w:rsidRPr="005242FF">
        <w:rPr>
          <w:rFonts w:ascii="Calibri" w:eastAsia="Calibri" w:hAnsi="Calibri" w:cs="Times New Roman"/>
          <w:sz w:val="20"/>
          <w:szCs w:val="20"/>
          <w:lang w:eastAsia="de-DE"/>
        </w:rPr>
        <w:t>trategische Planung optimierte die Nutzung vorhandener Gesundheitsressourcen, während Kooperationen mit lokalen Krankenhäusern den Zugang zu Behandlungen erleichterten. Das Projekt führte mehrere Screening-Kampagnen gleichzeitig durch, einschließlich Outreach-Camps für Kataraktoperationen in schwer erreichbaren Gemeinden.</w:t>
      </w:r>
    </w:p>
    <w:p w14:paraId="4A4ED850" w14:textId="77777777" w:rsidR="00163B6A" w:rsidRPr="005242FF" w:rsidRDefault="00163B6A" w:rsidP="00C511F4">
      <w:pPr>
        <w:spacing w:after="120"/>
        <w:jc w:val="both"/>
        <w:rPr>
          <w:rFonts w:ascii="Calibri" w:eastAsia="Calibri" w:hAnsi="Calibri" w:cs="Times New Roman"/>
          <w:sz w:val="20"/>
          <w:szCs w:val="20"/>
          <w:lang w:eastAsia="de-DE"/>
        </w:rPr>
      </w:pPr>
      <w:r w:rsidRPr="005242FF">
        <w:rPr>
          <w:rFonts w:ascii="Calibri" w:eastAsia="Calibri" w:hAnsi="Calibri" w:cs="Times New Roman"/>
          <w:sz w:val="20"/>
          <w:szCs w:val="20"/>
          <w:lang w:eastAsia="de-DE"/>
        </w:rPr>
        <w:t xml:space="preserve">Das Projekt hatte einen signifikanten Einfluss auf die Augengesundheit in </w:t>
      </w:r>
      <w:proofErr w:type="spellStart"/>
      <w:r w:rsidRPr="005242FF">
        <w:rPr>
          <w:rFonts w:ascii="Calibri" w:eastAsia="Calibri" w:hAnsi="Calibri" w:cs="Times New Roman"/>
          <w:sz w:val="20"/>
          <w:szCs w:val="20"/>
          <w:lang w:eastAsia="de-DE"/>
        </w:rPr>
        <w:t>Karnali</w:t>
      </w:r>
      <w:proofErr w:type="spellEnd"/>
      <w:r w:rsidRPr="005242FF">
        <w:rPr>
          <w:rFonts w:ascii="Calibri" w:eastAsia="Calibri" w:hAnsi="Calibri" w:cs="Times New Roman"/>
          <w:sz w:val="20"/>
          <w:szCs w:val="20"/>
          <w:lang w:eastAsia="de-DE"/>
        </w:rPr>
        <w:t xml:space="preserve"> durch die Stärkung lokaler Gesundheitseinrichtungen und die Förderung präventiver Maßnahmen. Es richtete Augenpflegezentren ein, erleichterte den Zugang zu erschwinglichen chirurgischen Dienstleistungen und führte zahlreiche Screening-Camps durch, wobei über 151.000 Personen gescreent wurden und mehr als 11.000 Kataraktoperationen durchgeführt wurden. Schulungen für Gesundheitsarbeiter schufen Vertrauen in lokale Dienste, während das Projekt auch nationale Strategien zur Augengesundheit unterstützte. Der gleichberechtigte Zugang zu Augen- und Ohrenservices wurde für alle Geschlechter sowie Menschen mit Behinderungen gefördert, wobei geschlechterfreundliche Programmgestaltung und Schulungen in behinderungsinklusiver Entwicklung im Vordergrund standen. Barrieren wurden identifiziert und Strategien zur Verbesserung des Zugangs entwickelt, einschließlich barrierefreier Screening-Camps.</w:t>
      </w:r>
    </w:p>
    <w:p w14:paraId="4DCD5113" w14:textId="77777777" w:rsidR="00163B6A" w:rsidRDefault="00163B6A" w:rsidP="00C511F4">
      <w:pPr>
        <w:spacing w:after="120"/>
        <w:jc w:val="both"/>
        <w:rPr>
          <w:rFonts w:ascii="Calibri" w:eastAsia="Calibri" w:hAnsi="Calibri" w:cs="Times New Roman"/>
          <w:sz w:val="20"/>
          <w:szCs w:val="20"/>
          <w:lang w:eastAsia="de-DE"/>
        </w:rPr>
      </w:pPr>
      <w:r w:rsidRPr="005242FF">
        <w:rPr>
          <w:rFonts w:ascii="Calibri" w:eastAsia="Calibri" w:hAnsi="Calibri" w:cs="Times New Roman"/>
          <w:sz w:val="20"/>
          <w:szCs w:val="20"/>
          <w:lang w:eastAsia="de-DE"/>
        </w:rPr>
        <w:t xml:space="preserve">Der Schutz von Teilnehmern wurde durch Schulungen, Richtlinien und kontinuierliche Überwachung sichergestellt; </w:t>
      </w:r>
      <w:proofErr w:type="spellStart"/>
      <w:r w:rsidRPr="005242FF">
        <w:rPr>
          <w:rFonts w:ascii="Calibri" w:eastAsia="Calibri" w:hAnsi="Calibri" w:cs="Times New Roman"/>
          <w:sz w:val="20"/>
          <w:szCs w:val="20"/>
          <w:lang w:eastAsia="de-DE"/>
        </w:rPr>
        <w:t>NNJS</w:t>
      </w:r>
      <w:proofErr w:type="spellEnd"/>
      <w:r w:rsidRPr="005242FF">
        <w:rPr>
          <w:rFonts w:ascii="Calibri" w:eastAsia="Calibri" w:hAnsi="Calibri" w:cs="Times New Roman"/>
          <w:sz w:val="20"/>
          <w:szCs w:val="20"/>
          <w:lang w:eastAsia="de-DE"/>
        </w:rPr>
        <w:t xml:space="preserve"> sowie Partnerkrankenhäuser haben eigene Schutzrichtlinien implementiert. Regelmäßige Schulungen helfen dem Personal, effektive Schutzmaßnahmen umzusetzen, während Outreach-Camps sicher geplant wurden. Ein Beschwerdesystem ermöglicht es Teilnehmern, Bedenken zu äußern, insbesondere bei der Arbeit mit Kindern, wo spezielle Sicherheitsmaßnahmen priorisiert werden.</w:t>
      </w:r>
    </w:p>
    <w:p w14:paraId="4CF28CF8" w14:textId="360E69FF" w:rsidR="00FB3233" w:rsidRDefault="00FB3233" w:rsidP="00C511F4">
      <w:pPr>
        <w:spacing w:after="120"/>
        <w:jc w:val="both"/>
        <w:rPr>
          <w:rFonts w:ascii="Calibri" w:eastAsia="Calibri" w:hAnsi="Calibri" w:cs="Times New Roman"/>
          <w:sz w:val="20"/>
          <w:szCs w:val="20"/>
          <w:lang w:eastAsia="de-DE"/>
        </w:rPr>
      </w:pPr>
      <w:r>
        <w:rPr>
          <w:rFonts w:ascii="Calibri" w:eastAsia="Calibri" w:hAnsi="Calibri" w:cs="Times New Roman"/>
          <w:sz w:val="20"/>
          <w:szCs w:val="20"/>
          <w:lang w:eastAsia="de-DE"/>
        </w:rPr>
        <w:t xml:space="preserve">Insgesamt ist das Projekt </w:t>
      </w:r>
      <w:r w:rsidR="00C511F4">
        <w:rPr>
          <w:rFonts w:ascii="Calibri" w:eastAsia="Calibri" w:hAnsi="Calibri" w:cs="Times New Roman"/>
          <w:sz w:val="20"/>
          <w:szCs w:val="20"/>
          <w:lang w:eastAsia="de-DE"/>
        </w:rPr>
        <w:t>als äußerst positiv zu bewerten.</w:t>
      </w:r>
    </w:p>
    <w:p w14:paraId="7DB3318C" w14:textId="77777777" w:rsidR="002E6947" w:rsidRPr="00F15DDA" w:rsidRDefault="002E6947" w:rsidP="00C511F4">
      <w:pPr>
        <w:spacing w:after="120"/>
        <w:jc w:val="both"/>
        <w:rPr>
          <w:rFonts w:ascii="Calibri" w:eastAsia="Calibri" w:hAnsi="Calibri" w:cs="Times New Roman"/>
          <w:b/>
          <w:bCs/>
          <w:sz w:val="20"/>
          <w:szCs w:val="20"/>
          <w:lang w:eastAsia="de-DE"/>
        </w:rPr>
      </w:pPr>
    </w:p>
    <w:p w14:paraId="0E5F75F0" w14:textId="5E322FCE" w:rsidR="002E6947" w:rsidRPr="00F15DDA" w:rsidRDefault="002E6947" w:rsidP="00C511F4">
      <w:pPr>
        <w:spacing w:after="120"/>
        <w:jc w:val="both"/>
        <w:rPr>
          <w:rFonts w:ascii="Calibri" w:eastAsia="Calibri" w:hAnsi="Calibri" w:cs="Times New Roman"/>
          <w:b/>
          <w:bCs/>
          <w:sz w:val="20"/>
          <w:szCs w:val="20"/>
          <w:lang w:eastAsia="de-DE"/>
        </w:rPr>
      </w:pPr>
      <w:r w:rsidRPr="00F15DDA">
        <w:rPr>
          <w:rFonts w:ascii="Calibri" w:eastAsia="Calibri" w:hAnsi="Calibri" w:cs="Times New Roman"/>
          <w:b/>
          <w:bCs/>
          <w:sz w:val="20"/>
          <w:szCs w:val="20"/>
          <w:lang w:eastAsia="de-DE"/>
        </w:rPr>
        <w:t>Stellungnahme zum Testat der unabhängigen Buchprüfung</w:t>
      </w:r>
    </w:p>
    <w:p w14:paraId="50BF1B31" w14:textId="3B3905FC" w:rsidR="00783FED" w:rsidRDefault="00F15DDA" w:rsidP="000239E8">
      <w:pPr>
        <w:spacing w:after="120"/>
        <w:jc w:val="both"/>
        <w:rPr>
          <w:rFonts w:ascii="Calibri" w:eastAsia="Calibri" w:hAnsi="Calibri" w:cs="Times New Roman"/>
          <w:sz w:val="20"/>
          <w:szCs w:val="20"/>
          <w:lang w:eastAsia="de-DE"/>
        </w:rPr>
      </w:pPr>
      <w:r w:rsidRPr="00F15DDA">
        <w:rPr>
          <w:rFonts w:ascii="Calibri" w:eastAsia="Calibri" w:hAnsi="Calibri" w:cs="Times New Roman"/>
          <w:sz w:val="20"/>
          <w:szCs w:val="20"/>
          <w:lang w:eastAsia="de-DE"/>
        </w:rPr>
        <w:t>Durch das Wirtschaftsprüfunternehmen</w:t>
      </w:r>
      <w:r w:rsidR="000239E8" w:rsidRPr="000239E8">
        <w:rPr>
          <w:rFonts w:ascii="Calibri" w:eastAsia="Calibri" w:hAnsi="Calibri" w:cs="Times New Roman"/>
          <w:sz w:val="20"/>
          <w:szCs w:val="20"/>
          <w:lang w:eastAsia="de-DE"/>
        </w:rPr>
        <w:t xml:space="preserve"> </w:t>
      </w:r>
      <w:r w:rsidR="003570C9">
        <w:rPr>
          <w:rFonts w:ascii="Calibri" w:eastAsia="Calibri" w:hAnsi="Calibri" w:cs="Times New Roman"/>
          <w:sz w:val="20"/>
          <w:szCs w:val="20"/>
          <w:lang w:eastAsia="de-DE"/>
        </w:rPr>
        <w:t xml:space="preserve">S. </w:t>
      </w:r>
      <w:proofErr w:type="spellStart"/>
      <w:r w:rsidR="000239E8" w:rsidRPr="000239E8">
        <w:rPr>
          <w:rFonts w:ascii="Calibri" w:eastAsia="Calibri" w:hAnsi="Calibri" w:cs="Times New Roman"/>
          <w:sz w:val="20"/>
          <w:szCs w:val="20"/>
          <w:lang w:eastAsia="de-DE"/>
        </w:rPr>
        <w:t>Devkota</w:t>
      </w:r>
      <w:proofErr w:type="spellEnd"/>
      <w:r w:rsidR="000239E8" w:rsidRPr="000239E8">
        <w:rPr>
          <w:rFonts w:ascii="Calibri" w:eastAsia="Calibri" w:hAnsi="Calibri" w:cs="Times New Roman"/>
          <w:sz w:val="20"/>
          <w:szCs w:val="20"/>
          <w:lang w:eastAsia="de-DE"/>
        </w:rPr>
        <w:t xml:space="preserve"> &amp; Company</w:t>
      </w:r>
      <w:r w:rsidR="000239E8">
        <w:rPr>
          <w:rFonts w:ascii="Calibri" w:eastAsia="Calibri" w:hAnsi="Calibri" w:cs="Times New Roman"/>
          <w:sz w:val="20"/>
          <w:szCs w:val="20"/>
          <w:lang w:eastAsia="de-DE"/>
        </w:rPr>
        <w:t xml:space="preserve"> </w:t>
      </w:r>
      <w:r w:rsidR="000239E8" w:rsidRPr="000239E8">
        <w:rPr>
          <w:rFonts w:ascii="Calibri" w:eastAsia="Calibri" w:hAnsi="Calibri" w:cs="Times New Roman"/>
          <w:sz w:val="20"/>
          <w:szCs w:val="20"/>
          <w:lang w:eastAsia="de-DE"/>
        </w:rPr>
        <w:t>Chartered Accountants</w:t>
      </w:r>
      <w:r w:rsidRPr="00F15DDA">
        <w:rPr>
          <w:rFonts w:ascii="Calibri" w:eastAsia="Calibri" w:hAnsi="Calibri" w:cs="Times New Roman"/>
          <w:sz w:val="20"/>
          <w:szCs w:val="20"/>
          <w:lang w:eastAsia="de-DE"/>
        </w:rPr>
        <w:t>, wurde im Einklang mit den International Standards on Auditing (ISA) ein unabhängiges finales Testat über die gesamte Projektlaufzeit erstellt. Dieses umfasst die Bewertung der Angemessenheit der angewandten Rechnungslegungsgrundsätze, der wesentlichen buchhalterischen Angaben sowie der Gesamtdarstellung der Jahresabschlüsse.</w:t>
      </w:r>
    </w:p>
    <w:p w14:paraId="7D571269" w14:textId="77777777" w:rsidR="008F03C7" w:rsidRDefault="002460F3" w:rsidP="000239E8">
      <w:pPr>
        <w:spacing w:after="120"/>
        <w:jc w:val="both"/>
        <w:rPr>
          <w:rFonts w:ascii="Calibri" w:eastAsia="Calibri" w:hAnsi="Calibri" w:cs="Times New Roman"/>
          <w:sz w:val="20"/>
          <w:szCs w:val="20"/>
          <w:lang w:eastAsia="de-DE"/>
        </w:rPr>
      </w:pPr>
      <w:r>
        <w:rPr>
          <w:rFonts w:ascii="Calibri" w:eastAsia="Calibri" w:hAnsi="Calibri" w:cs="Times New Roman"/>
          <w:sz w:val="20"/>
          <w:szCs w:val="20"/>
          <w:lang w:eastAsia="de-DE"/>
        </w:rPr>
        <w:t>Das Testat</w:t>
      </w:r>
      <w:r w:rsidR="00B61215">
        <w:rPr>
          <w:rFonts w:ascii="Calibri" w:eastAsia="Calibri" w:hAnsi="Calibri" w:cs="Times New Roman"/>
          <w:sz w:val="20"/>
          <w:szCs w:val="20"/>
          <w:lang w:eastAsia="de-DE"/>
        </w:rPr>
        <w:t xml:space="preserve"> </w:t>
      </w:r>
      <w:r w:rsidR="0061568D">
        <w:rPr>
          <w:rFonts w:ascii="Calibri" w:eastAsia="Calibri" w:hAnsi="Calibri" w:cs="Times New Roman"/>
          <w:sz w:val="20"/>
          <w:szCs w:val="20"/>
          <w:lang w:eastAsia="de-DE"/>
        </w:rPr>
        <w:t xml:space="preserve">ergab, dass der lokale Projektträger einige Schwächen </w:t>
      </w:r>
      <w:r w:rsidR="00F132F4">
        <w:rPr>
          <w:rFonts w:ascii="Calibri" w:eastAsia="Calibri" w:hAnsi="Calibri" w:cs="Times New Roman"/>
          <w:sz w:val="20"/>
          <w:szCs w:val="20"/>
          <w:lang w:eastAsia="de-DE"/>
        </w:rPr>
        <w:t>im buchhalterischen Bereich aufweist.</w:t>
      </w:r>
      <w:r w:rsidR="003E461C">
        <w:rPr>
          <w:rFonts w:ascii="Calibri" w:eastAsia="Calibri" w:hAnsi="Calibri" w:cs="Times New Roman"/>
          <w:sz w:val="20"/>
          <w:szCs w:val="20"/>
          <w:lang w:eastAsia="de-DE"/>
        </w:rPr>
        <w:t xml:space="preserve"> </w:t>
      </w:r>
    </w:p>
    <w:p w14:paraId="3DE19D42" w14:textId="0D3675EF" w:rsidR="002460F3" w:rsidRDefault="00737C4D" w:rsidP="000239E8">
      <w:pPr>
        <w:spacing w:after="120"/>
        <w:jc w:val="both"/>
        <w:rPr>
          <w:rFonts w:ascii="Calibri" w:eastAsia="Calibri" w:hAnsi="Calibri" w:cs="Times New Roman"/>
          <w:sz w:val="20"/>
          <w:szCs w:val="20"/>
          <w:lang w:eastAsia="de-DE"/>
        </w:rPr>
      </w:pPr>
      <w:r>
        <w:rPr>
          <w:rFonts w:ascii="Calibri" w:eastAsia="Calibri" w:hAnsi="Calibri" w:cs="Times New Roman"/>
          <w:sz w:val="20"/>
          <w:szCs w:val="20"/>
          <w:lang w:eastAsia="de-DE"/>
        </w:rPr>
        <w:t xml:space="preserve">Entgegen den Regularien wurden </w:t>
      </w:r>
      <w:r w:rsidR="009D3399">
        <w:rPr>
          <w:rFonts w:ascii="Calibri" w:eastAsia="Calibri" w:hAnsi="Calibri" w:cs="Times New Roman"/>
          <w:sz w:val="20"/>
          <w:szCs w:val="20"/>
          <w:lang w:eastAsia="de-DE"/>
        </w:rPr>
        <w:t xml:space="preserve">teilweise </w:t>
      </w:r>
      <w:r w:rsidR="005C598E">
        <w:rPr>
          <w:rFonts w:ascii="Calibri" w:eastAsia="Calibri" w:hAnsi="Calibri" w:cs="Times New Roman"/>
          <w:sz w:val="20"/>
          <w:szCs w:val="20"/>
          <w:lang w:eastAsia="de-DE"/>
        </w:rPr>
        <w:t xml:space="preserve">Sitzungsgelder </w:t>
      </w:r>
      <w:r w:rsidR="009D3399">
        <w:rPr>
          <w:rFonts w:ascii="Calibri" w:eastAsia="Calibri" w:hAnsi="Calibri" w:cs="Times New Roman"/>
          <w:sz w:val="20"/>
          <w:szCs w:val="20"/>
          <w:lang w:eastAsia="de-DE"/>
        </w:rPr>
        <w:t xml:space="preserve">für MitarbeiterInnen </w:t>
      </w:r>
      <w:r w:rsidR="005C598E">
        <w:rPr>
          <w:rFonts w:ascii="Calibri" w:eastAsia="Calibri" w:hAnsi="Calibri" w:cs="Times New Roman"/>
          <w:sz w:val="20"/>
          <w:szCs w:val="20"/>
          <w:lang w:eastAsia="de-DE"/>
        </w:rPr>
        <w:t xml:space="preserve">gezahlt sowie </w:t>
      </w:r>
      <w:r w:rsidR="009D3399">
        <w:rPr>
          <w:rFonts w:ascii="Calibri" w:eastAsia="Calibri" w:hAnsi="Calibri" w:cs="Times New Roman"/>
          <w:sz w:val="20"/>
          <w:szCs w:val="20"/>
          <w:lang w:eastAsia="de-DE"/>
        </w:rPr>
        <w:t xml:space="preserve">komplette Verpflegungspauschalen bei gleichzeitiger Verpflegung während </w:t>
      </w:r>
      <w:r w:rsidR="00BB5089">
        <w:rPr>
          <w:rFonts w:ascii="Calibri" w:eastAsia="Calibri" w:hAnsi="Calibri" w:cs="Times New Roman"/>
          <w:sz w:val="20"/>
          <w:szCs w:val="20"/>
          <w:lang w:eastAsia="de-DE"/>
        </w:rPr>
        <w:t xml:space="preserve">der Aktivität. Diese nicht zuwendungsfähigen Kosten </w:t>
      </w:r>
      <w:r w:rsidR="008C6033">
        <w:rPr>
          <w:rFonts w:ascii="Calibri" w:eastAsia="Calibri" w:hAnsi="Calibri" w:cs="Times New Roman"/>
          <w:sz w:val="20"/>
          <w:szCs w:val="20"/>
          <w:lang w:eastAsia="de-DE"/>
        </w:rPr>
        <w:t xml:space="preserve">belaufen sich auf </w:t>
      </w:r>
      <w:r w:rsidR="00B72DDD" w:rsidRPr="00B72DDD">
        <w:rPr>
          <w:rFonts w:ascii="Calibri" w:eastAsia="Calibri" w:hAnsi="Calibri" w:cs="Times New Roman"/>
          <w:sz w:val="20"/>
          <w:szCs w:val="20"/>
          <w:lang w:eastAsia="de-DE"/>
        </w:rPr>
        <w:t>3.219,50</w:t>
      </w:r>
      <w:r w:rsidR="00B72DDD">
        <w:rPr>
          <w:rFonts w:ascii="Calibri" w:eastAsia="Calibri" w:hAnsi="Calibri" w:cs="Times New Roman"/>
          <w:sz w:val="20"/>
          <w:szCs w:val="20"/>
          <w:lang w:eastAsia="de-DE"/>
        </w:rPr>
        <w:t xml:space="preserve"> EUR und werden vom lokalen Projektträger rückerstattet.</w:t>
      </w:r>
      <w:r w:rsidR="00AA0C48">
        <w:rPr>
          <w:rFonts w:ascii="Calibri" w:eastAsia="Calibri" w:hAnsi="Calibri" w:cs="Times New Roman"/>
          <w:sz w:val="20"/>
          <w:szCs w:val="20"/>
          <w:lang w:eastAsia="de-DE"/>
        </w:rPr>
        <w:t xml:space="preserve"> </w:t>
      </w:r>
      <w:r w:rsidR="00B72DDD">
        <w:rPr>
          <w:rFonts w:ascii="Calibri" w:eastAsia="Calibri" w:hAnsi="Calibri" w:cs="Times New Roman"/>
          <w:sz w:val="20"/>
          <w:szCs w:val="20"/>
          <w:lang w:eastAsia="de-DE"/>
        </w:rPr>
        <w:t xml:space="preserve"> </w:t>
      </w:r>
    </w:p>
    <w:p w14:paraId="6D065C68" w14:textId="3308A64B" w:rsidR="002D1C82" w:rsidRDefault="002D1C82" w:rsidP="002D1C82">
      <w:pPr>
        <w:spacing w:after="120"/>
        <w:jc w:val="both"/>
        <w:rPr>
          <w:rFonts w:ascii="Calibri" w:eastAsia="Calibri" w:hAnsi="Calibri" w:cs="Times New Roman"/>
          <w:sz w:val="20"/>
          <w:szCs w:val="20"/>
          <w:lang w:eastAsia="de-DE"/>
        </w:rPr>
      </w:pPr>
      <w:r w:rsidRPr="002D1C82">
        <w:rPr>
          <w:rFonts w:ascii="Calibri" w:eastAsia="Calibri" w:hAnsi="Calibri" w:cs="Times New Roman"/>
          <w:sz w:val="20"/>
          <w:szCs w:val="20"/>
          <w:lang w:eastAsia="de-DE"/>
        </w:rPr>
        <w:t>Im Rahmen der Aktivität</w:t>
      </w:r>
      <w:r>
        <w:rPr>
          <w:rFonts w:ascii="Calibri" w:eastAsia="Calibri" w:hAnsi="Calibri" w:cs="Times New Roman"/>
          <w:sz w:val="20"/>
          <w:szCs w:val="20"/>
          <w:lang w:eastAsia="de-DE"/>
        </w:rPr>
        <w:t xml:space="preserve"> </w:t>
      </w:r>
      <w:r w:rsidRPr="002D1C82">
        <w:rPr>
          <w:rFonts w:ascii="Calibri" w:eastAsia="Calibri" w:hAnsi="Calibri" w:cs="Times New Roman"/>
          <w:sz w:val="20"/>
          <w:szCs w:val="20"/>
          <w:lang w:eastAsia="de-DE"/>
        </w:rPr>
        <w:t xml:space="preserve">2.2.8 zur Verbesserung der Zugänglichkeit von primären Gesundheitszentren, stellte </w:t>
      </w:r>
      <w:r w:rsidR="006874BB">
        <w:rPr>
          <w:rFonts w:ascii="Calibri" w:eastAsia="Calibri" w:hAnsi="Calibri" w:cs="Times New Roman"/>
          <w:sz w:val="20"/>
          <w:szCs w:val="20"/>
          <w:lang w:eastAsia="de-DE"/>
        </w:rPr>
        <w:t>der lokale Projektträger</w:t>
      </w:r>
      <w:r w:rsidRPr="002D1C82">
        <w:rPr>
          <w:rFonts w:ascii="Calibri" w:eastAsia="Calibri" w:hAnsi="Calibri" w:cs="Times New Roman"/>
          <w:sz w:val="20"/>
          <w:szCs w:val="20"/>
          <w:lang w:eastAsia="de-DE"/>
        </w:rPr>
        <w:t xml:space="preserve"> finanzielle Unterstützung für die Reparatur und Renovierung von Gesundheitseinrichtungen bereit. Es wurden Verträge zwischen dem </w:t>
      </w:r>
      <w:r w:rsidR="006874BB">
        <w:rPr>
          <w:rFonts w:ascii="Calibri" w:eastAsia="Calibri" w:hAnsi="Calibri" w:cs="Times New Roman"/>
          <w:sz w:val="20"/>
          <w:szCs w:val="20"/>
          <w:lang w:eastAsia="de-DE"/>
        </w:rPr>
        <w:t>lokalen Projektträger</w:t>
      </w:r>
      <w:r w:rsidRPr="002D1C82">
        <w:rPr>
          <w:rFonts w:ascii="Calibri" w:eastAsia="Calibri" w:hAnsi="Calibri" w:cs="Times New Roman"/>
          <w:sz w:val="20"/>
          <w:szCs w:val="20"/>
          <w:lang w:eastAsia="de-DE"/>
        </w:rPr>
        <w:t xml:space="preserve"> und sechs verschiedenen Gemeinden geschlossen, wobei die Mittel bei Unterzeichnung der Verträge im Voraus ausgezahlt wurden. Die Vertragsbedingungen sahen vor, dass jede Gemeinde die Kosten und Reparaturarbeiten an den bezeichneten Gesundheitseinrichtungen entsprechend den geplanten Verbesserungen der Zugänglichkeit überwachen würde.</w:t>
      </w:r>
      <w:r w:rsidR="006874BB">
        <w:rPr>
          <w:rFonts w:ascii="Calibri" w:eastAsia="Calibri" w:hAnsi="Calibri" w:cs="Times New Roman"/>
          <w:sz w:val="20"/>
          <w:szCs w:val="20"/>
          <w:lang w:eastAsia="de-DE"/>
        </w:rPr>
        <w:t xml:space="preserve"> </w:t>
      </w:r>
      <w:r w:rsidRPr="002D1C82">
        <w:rPr>
          <w:rFonts w:ascii="Calibri" w:eastAsia="Calibri" w:hAnsi="Calibri" w:cs="Times New Roman"/>
          <w:sz w:val="20"/>
          <w:szCs w:val="20"/>
          <w:lang w:eastAsia="de-DE"/>
        </w:rPr>
        <w:t xml:space="preserve">Gemäß den Vertragsbedingungen mussten die Gemeinden nach Abschluss der Renovierungsarbeiten Rechnungen und Zahlungsbelege für die tatsächlich durchgeführten Arbeiten vorlegen. </w:t>
      </w:r>
      <w:r w:rsidR="006874BB">
        <w:rPr>
          <w:rFonts w:ascii="Calibri" w:eastAsia="Calibri" w:hAnsi="Calibri" w:cs="Times New Roman"/>
          <w:sz w:val="20"/>
          <w:szCs w:val="20"/>
          <w:lang w:eastAsia="de-DE"/>
        </w:rPr>
        <w:t>Der lokale Projektträger</w:t>
      </w:r>
      <w:r w:rsidRPr="002D1C82">
        <w:rPr>
          <w:rFonts w:ascii="Calibri" w:eastAsia="Calibri" w:hAnsi="Calibri" w:cs="Times New Roman"/>
          <w:sz w:val="20"/>
          <w:szCs w:val="20"/>
          <w:lang w:eastAsia="de-DE"/>
        </w:rPr>
        <w:t xml:space="preserve"> hat jedoch die Ausgaben verbucht und dem Projekt zum Zeitpunkt der Gewährung des Vorschusses an die Gemeinden belastet, ohne Rechnungen und Zahlungsbelege zu erhalten, die die Reparaturen und die damit verbundenen Kosten belegen. Ein weiterer Fertigstellungsbericht wurde bis zum Zeitpunkt unserer Überprüfung nicht vorgelegt.</w:t>
      </w:r>
      <w:r w:rsidR="00184F0B">
        <w:rPr>
          <w:rFonts w:ascii="Calibri" w:eastAsia="Calibri" w:hAnsi="Calibri" w:cs="Times New Roman"/>
          <w:sz w:val="20"/>
          <w:szCs w:val="20"/>
          <w:lang w:eastAsia="de-DE"/>
        </w:rPr>
        <w:t xml:space="preserve"> Die nicht Zuwendungsfähigen Kosten belaufen sich hier au</w:t>
      </w:r>
      <w:r w:rsidR="008F03C7">
        <w:rPr>
          <w:rFonts w:ascii="Calibri" w:eastAsia="Calibri" w:hAnsi="Calibri" w:cs="Times New Roman"/>
          <w:sz w:val="20"/>
          <w:szCs w:val="20"/>
          <w:lang w:eastAsia="de-DE"/>
        </w:rPr>
        <w:t>f</w:t>
      </w:r>
      <w:r w:rsidR="00184F0B">
        <w:rPr>
          <w:rFonts w:ascii="Calibri" w:eastAsia="Calibri" w:hAnsi="Calibri" w:cs="Times New Roman"/>
          <w:sz w:val="20"/>
          <w:szCs w:val="20"/>
          <w:lang w:eastAsia="de-DE"/>
        </w:rPr>
        <w:t xml:space="preserve"> </w:t>
      </w:r>
      <w:r w:rsidR="00663BE5" w:rsidRPr="00663BE5">
        <w:rPr>
          <w:rFonts w:ascii="Calibri" w:eastAsia="Calibri" w:hAnsi="Calibri" w:cs="Times New Roman"/>
          <w:sz w:val="20"/>
          <w:szCs w:val="20"/>
          <w:lang w:eastAsia="de-DE"/>
        </w:rPr>
        <w:t>232,38</w:t>
      </w:r>
      <w:r w:rsidR="008F03C7">
        <w:rPr>
          <w:rFonts w:ascii="Calibri" w:eastAsia="Calibri" w:hAnsi="Calibri" w:cs="Times New Roman"/>
          <w:sz w:val="20"/>
          <w:szCs w:val="20"/>
          <w:lang w:eastAsia="de-DE"/>
        </w:rPr>
        <w:t xml:space="preserve"> EUR und werden ebenfalls zurückerstattet.</w:t>
      </w:r>
    </w:p>
    <w:p w14:paraId="21B46D5C" w14:textId="32A448A3" w:rsidR="00C47D07" w:rsidRDefault="00C47D07" w:rsidP="002D1C82">
      <w:pPr>
        <w:spacing w:after="120"/>
        <w:jc w:val="both"/>
        <w:rPr>
          <w:rFonts w:ascii="Calibri" w:eastAsia="Calibri" w:hAnsi="Calibri" w:cs="Times New Roman"/>
          <w:sz w:val="20"/>
          <w:szCs w:val="20"/>
          <w:lang w:eastAsia="de-DE"/>
        </w:rPr>
      </w:pPr>
      <w:r>
        <w:rPr>
          <w:rFonts w:ascii="Calibri" w:eastAsia="Calibri" w:hAnsi="Calibri" w:cs="Times New Roman"/>
          <w:sz w:val="20"/>
          <w:szCs w:val="20"/>
          <w:lang w:eastAsia="de-DE"/>
        </w:rPr>
        <w:t xml:space="preserve">Das Gesamtergebnis der Ausgaben zwischen dem Finalen </w:t>
      </w:r>
      <w:r w:rsidR="00607D4A">
        <w:rPr>
          <w:rFonts w:ascii="Calibri" w:eastAsia="Calibri" w:hAnsi="Calibri" w:cs="Times New Roman"/>
          <w:sz w:val="20"/>
          <w:szCs w:val="20"/>
          <w:lang w:eastAsia="de-DE"/>
        </w:rPr>
        <w:t xml:space="preserve">Testat und den eingereichten Beleglisten weicht daher um den Betrag von </w:t>
      </w:r>
      <w:r w:rsidR="002503C5" w:rsidRPr="002503C5">
        <w:rPr>
          <w:rFonts w:ascii="Calibri" w:eastAsia="Calibri" w:hAnsi="Calibri" w:cs="Times New Roman"/>
          <w:sz w:val="20"/>
          <w:szCs w:val="20"/>
          <w:lang w:eastAsia="de-DE"/>
        </w:rPr>
        <w:t>3.451,88</w:t>
      </w:r>
      <w:r w:rsidR="002503C5">
        <w:rPr>
          <w:rFonts w:ascii="Calibri" w:eastAsia="Calibri" w:hAnsi="Calibri" w:cs="Times New Roman"/>
          <w:sz w:val="20"/>
          <w:szCs w:val="20"/>
          <w:lang w:eastAsia="de-DE"/>
        </w:rPr>
        <w:t xml:space="preserve"> EUR voneinander ab.</w:t>
      </w:r>
    </w:p>
    <w:p w14:paraId="72AB7CA7" w14:textId="0B637FD3" w:rsidR="007B075A" w:rsidRDefault="00A15708" w:rsidP="002D1C82">
      <w:pPr>
        <w:spacing w:after="120"/>
        <w:jc w:val="both"/>
        <w:rPr>
          <w:rFonts w:ascii="Calibri" w:eastAsia="Calibri" w:hAnsi="Calibri" w:cs="Times New Roman"/>
          <w:sz w:val="20"/>
          <w:szCs w:val="20"/>
          <w:lang w:eastAsia="de-DE"/>
        </w:rPr>
      </w:pPr>
      <w:r>
        <w:rPr>
          <w:rFonts w:ascii="Calibri" w:eastAsia="Calibri" w:hAnsi="Calibri" w:cs="Times New Roman"/>
          <w:sz w:val="20"/>
          <w:szCs w:val="20"/>
          <w:lang w:eastAsia="de-DE"/>
        </w:rPr>
        <w:t>Zudem wurde folgende Punkte hervorgehoben:</w:t>
      </w:r>
    </w:p>
    <w:p w14:paraId="54977C50" w14:textId="74519C84" w:rsidR="007B075A" w:rsidRPr="00A15708" w:rsidRDefault="007B075A" w:rsidP="00A15708">
      <w:pPr>
        <w:pStyle w:val="Listenabsatz"/>
        <w:numPr>
          <w:ilvl w:val="0"/>
          <w:numId w:val="21"/>
        </w:numPr>
        <w:spacing w:after="120"/>
        <w:jc w:val="both"/>
        <w:rPr>
          <w:rFonts w:ascii="Calibri" w:eastAsia="Calibri" w:hAnsi="Calibri" w:cs="Times New Roman"/>
          <w:sz w:val="20"/>
          <w:szCs w:val="20"/>
          <w:lang w:eastAsia="de-DE"/>
        </w:rPr>
      </w:pPr>
      <w:r w:rsidRPr="00A15708">
        <w:rPr>
          <w:rFonts w:ascii="Calibri" w:eastAsia="Calibri" w:hAnsi="Calibri" w:cs="Times New Roman"/>
          <w:sz w:val="20"/>
          <w:szCs w:val="20"/>
          <w:lang w:eastAsia="de-DE"/>
        </w:rPr>
        <w:t>In der Organisation gab es keine Praxis für die Aufbewahrung von Bestellscheinen.</w:t>
      </w:r>
    </w:p>
    <w:p w14:paraId="5288FC14" w14:textId="33BF1FC4" w:rsidR="007B075A" w:rsidRPr="00A15708" w:rsidRDefault="007B075A" w:rsidP="00A15708">
      <w:pPr>
        <w:pStyle w:val="Listenabsatz"/>
        <w:numPr>
          <w:ilvl w:val="0"/>
          <w:numId w:val="21"/>
        </w:numPr>
        <w:spacing w:after="120"/>
        <w:jc w:val="both"/>
        <w:rPr>
          <w:rFonts w:ascii="Calibri" w:eastAsia="Calibri" w:hAnsi="Calibri" w:cs="Times New Roman"/>
          <w:sz w:val="20"/>
          <w:szCs w:val="20"/>
          <w:lang w:eastAsia="de-DE"/>
        </w:rPr>
      </w:pPr>
      <w:r w:rsidRPr="00A15708">
        <w:rPr>
          <w:rFonts w:ascii="Calibri" w:eastAsia="Calibri" w:hAnsi="Calibri" w:cs="Times New Roman"/>
          <w:sz w:val="20"/>
          <w:szCs w:val="20"/>
          <w:lang w:eastAsia="de-DE"/>
        </w:rPr>
        <w:t xml:space="preserve">Vergleichstabellen waren undatiert. </w:t>
      </w:r>
    </w:p>
    <w:p w14:paraId="6C3B5E22" w14:textId="03FA9847" w:rsidR="007B075A" w:rsidRPr="00A15708" w:rsidRDefault="007B075A" w:rsidP="00A15708">
      <w:pPr>
        <w:pStyle w:val="Listenabsatz"/>
        <w:numPr>
          <w:ilvl w:val="0"/>
          <w:numId w:val="21"/>
        </w:numPr>
        <w:spacing w:after="120"/>
        <w:jc w:val="both"/>
        <w:rPr>
          <w:rFonts w:ascii="Calibri" w:eastAsia="Calibri" w:hAnsi="Calibri" w:cs="Times New Roman"/>
          <w:sz w:val="20"/>
          <w:szCs w:val="20"/>
          <w:lang w:eastAsia="de-DE"/>
        </w:rPr>
      </w:pPr>
      <w:r w:rsidRPr="00A15708">
        <w:rPr>
          <w:rFonts w:ascii="Calibri" w:eastAsia="Calibri" w:hAnsi="Calibri" w:cs="Times New Roman"/>
          <w:sz w:val="20"/>
          <w:szCs w:val="20"/>
          <w:lang w:eastAsia="de-DE"/>
        </w:rPr>
        <w:t xml:space="preserve">Es </w:t>
      </w:r>
      <w:r w:rsidR="005407B7">
        <w:rPr>
          <w:rFonts w:ascii="Calibri" w:eastAsia="Calibri" w:hAnsi="Calibri" w:cs="Times New Roman"/>
          <w:sz w:val="20"/>
          <w:szCs w:val="20"/>
          <w:lang w:eastAsia="de-DE"/>
        </w:rPr>
        <w:t>wurde versäumt</w:t>
      </w:r>
      <w:r w:rsidRPr="00A15708">
        <w:rPr>
          <w:rFonts w:ascii="Calibri" w:eastAsia="Calibri" w:hAnsi="Calibri" w:cs="Times New Roman"/>
          <w:sz w:val="20"/>
          <w:szCs w:val="20"/>
          <w:lang w:eastAsia="de-DE"/>
        </w:rPr>
        <w:t xml:space="preserve">, Ausschreibungen mit den Spezifikationen der benötigten Waren und den Fristen für die Angebotsabgabe zu erstellen, um sicherzustellen, dass die Bieter ihre Angebote rechtzeitig einreichten und die Angebote rechtzeitig vorlagen. </w:t>
      </w:r>
    </w:p>
    <w:p w14:paraId="3C973A82" w14:textId="3130FF03" w:rsidR="007B075A" w:rsidRPr="00A15708" w:rsidRDefault="007B075A" w:rsidP="00A15708">
      <w:pPr>
        <w:pStyle w:val="Listenabsatz"/>
        <w:numPr>
          <w:ilvl w:val="0"/>
          <w:numId w:val="21"/>
        </w:numPr>
        <w:spacing w:after="120"/>
        <w:jc w:val="both"/>
        <w:rPr>
          <w:rFonts w:ascii="Calibri" w:eastAsia="Calibri" w:hAnsi="Calibri" w:cs="Times New Roman"/>
          <w:sz w:val="20"/>
          <w:szCs w:val="20"/>
          <w:lang w:eastAsia="de-DE"/>
        </w:rPr>
      </w:pPr>
      <w:r w:rsidRPr="00A15708">
        <w:rPr>
          <w:rFonts w:ascii="Calibri" w:eastAsia="Calibri" w:hAnsi="Calibri" w:cs="Times New Roman"/>
          <w:sz w:val="20"/>
          <w:szCs w:val="20"/>
          <w:lang w:eastAsia="de-DE"/>
        </w:rPr>
        <w:t>D</w:t>
      </w:r>
      <w:r w:rsidR="005407B7">
        <w:rPr>
          <w:rFonts w:ascii="Calibri" w:eastAsia="Calibri" w:hAnsi="Calibri" w:cs="Times New Roman"/>
          <w:sz w:val="20"/>
          <w:szCs w:val="20"/>
          <w:lang w:eastAsia="de-DE"/>
        </w:rPr>
        <w:t>er lokale Projektträger</w:t>
      </w:r>
      <w:r w:rsidRPr="00A15708">
        <w:rPr>
          <w:rFonts w:ascii="Calibri" w:eastAsia="Calibri" w:hAnsi="Calibri" w:cs="Times New Roman"/>
          <w:sz w:val="20"/>
          <w:szCs w:val="20"/>
          <w:lang w:eastAsia="de-DE"/>
        </w:rPr>
        <w:t xml:space="preserve"> führte keine Wareneingangsscheine und Qualitätskontrollberichte über den Wareneingang.</w:t>
      </w:r>
    </w:p>
    <w:p w14:paraId="6013E56B" w14:textId="6A37F76E" w:rsidR="003E43F5" w:rsidRDefault="007B075A" w:rsidP="00A15708">
      <w:pPr>
        <w:pStyle w:val="Listenabsatz"/>
        <w:numPr>
          <w:ilvl w:val="0"/>
          <w:numId w:val="21"/>
        </w:numPr>
        <w:spacing w:after="120"/>
        <w:jc w:val="both"/>
        <w:rPr>
          <w:rFonts w:ascii="Calibri" w:eastAsia="Calibri" w:hAnsi="Calibri" w:cs="Times New Roman"/>
          <w:sz w:val="20"/>
          <w:szCs w:val="20"/>
          <w:lang w:eastAsia="de-DE"/>
        </w:rPr>
      </w:pPr>
      <w:r w:rsidRPr="00A15708">
        <w:rPr>
          <w:rFonts w:ascii="Calibri" w:eastAsia="Calibri" w:hAnsi="Calibri" w:cs="Times New Roman"/>
          <w:sz w:val="20"/>
          <w:szCs w:val="20"/>
          <w:lang w:eastAsia="de-DE"/>
        </w:rPr>
        <w:t xml:space="preserve">Für einige wenige Beschaffungen wurden Einkaufsaufträge </w:t>
      </w:r>
      <w:r w:rsidR="00CD2E0C">
        <w:rPr>
          <w:rFonts w:ascii="Calibri" w:eastAsia="Calibri" w:hAnsi="Calibri" w:cs="Times New Roman"/>
          <w:sz w:val="20"/>
          <w:szCs w:val="20"/>
          <w:lang w:eastAsia="de-DE"/>
        </w:rPr>
        <w:t>in der Zentrale des Projektträgers in Kath</w:t>
      </w:r>
      <w:r w:rsidR="00C158E3">
        <w:rPr>
          <w:rFonts w:ascii="Calibri" w:eastAsia="Calibri" w:hAnsi="Calibri" w:cs="Times New Roman"/>
          <w:sz w:val="20"/>
          <w:szCs w:val="20"/>
          <w:lang w:eastAsia="de-DE"/>
        </w:rPr>
        <w:t xml:space="preserve">mandu </w:t>
      </w:r>
      <w:r w:rsidRPr="00A15708">
        <w:rPr>
          <w:rFonts w:ascii="Calibri" w:eastAsia="Calibri" w:hAnsi="Calibri" w:cs="Times New Roman"/>
          <w:sz w:val="20"/>
          <w:szCs w:val="20"/>
          <w:lang w:eastAsia="de-DE"/>
        </w:rPr>
        <w:t xml:space="preserve">aufbewahrt, während in der Außenstelle in </w:t>
      </w:r>
      <w:proofErr w:type="spellStart"/>
      <w:r w:rsidRPr="00A15708">
        <w:rPr>
          <w:rFonts w:ascii="Calibri" w:eastAsia="Calibri" w:hAnsi="Calibri" w:cs="Times New Roman"/>
          <w:sz w:val="20"/>
          <w:szCs w:val="20"/>
          <w:lang w:eastAsia="de-DE"/>
        </w:rPr>
        <w:t>Surkhet</w:t>
      </w:r>
      <w:proofErr w:type="spellEnd"/>
      <w:r w:rsidRPr="00A15708">
        <w:rPr>
          <w:rFonts w:ascii="Calibri" w:eastAsia="Calibri" w:hAnsi="Calibri" w:cs="Times New Roman"/>
          <w:sz w:val="20"/>
          <w:szCs w:val="20"/>
          <w:lang w:eastAsia="de-DE"/>
        </w:rPr>
        <w:t xml:space="preserve"> die Praxis der Erstellung von Einkaufsaufträgen nicht befolgt wurde.</w:t>
      </w:r>
    </w:p>
    <w:p w14:paraId="531313BC" w14:textId="27A4E381" w:rsidR="00C158E3" w:rsidRDefault="004C202B" w:rsidP="00D3532A">
      <w:pPr>
        <w:pStyle w:val="Listenabsatz"/>
        <w:numPr>
          <w:ilvl w:val="0"/>
          <w:numId w:val="21"/>
        </w:numPr>
        <w:spacing w:after="120"/>
        <w:jc w:val="both"/>
        <w:rPr>
          <w:rFonts w:ascii="Calibri" w:eastAsia="Calibri" w:hAnsi="Calibri" w:cs="Times New Roman"/>
          <w:sz w:val="20"/>
          <w:szCs w:val="20"/>
          <w:lang w:eastAsia="de-DE"/>
        </w:rPr>
      </w:pPr>
      <w:r w:rsidRPr="002B4DD5">
        <w:rPr>
          <w:rFonts w:ascii="Calibri" w:eastAsia="Calibri" w:hAnsi="Calibri" w:cs="Times New Roman"/>
          <w:sz w:val="20"/>
          <w:szCs w:val="20"/>
          <w:lang w:eastAsia="de-DE"/>
        </w:rPr>
        <w:t xml:space="preserve">Die Organisation hielt sich bei diversen Käufen nicht an das vorgegebene Beschaffungsverfahren, sondern entschied sich für Direktkäufe aufgrund des unmittelbaren Bedarfs. </w:t>
      </w:r>
      <w:r w:rsidR="002B4DD5">
        <w:rPr>
          <w:rFonts w:ascii="Calibri" w:eastAsia="Calibri" w:hAnsi="Calibri" w:cs="Times New Roman"/>
          <w:sz w:val="20"/>
          <w:szCs w:val="20"/>
          <w:lang w:eastAsia="de-DE"/>
        </w:rPr>
        <w:t xml:space="preserve">Dies hatte teilweise zur Folge, </w:t>
      </w:r>
      <w:r w:rsidR="00A24669">
        <w:rPr>
          <w:rFonts w:ascii="Calibri" w:eastAsia="Calibri" w:hAnsi="Calibri" w:cs="Times New Roman"/>
          <w:sz w:val="20"/>
          <w:szCs w:val="20"/>
          <w:lang w:eastAsia="de-DE"/>
        </w:rPr>
        <w:t>dass</w:t>
      </w:r>
      <w:r w:rsidR="002B4DD5">
        <w:rPr>
          <w:rFonts w:ascii="Calibri" w:eastAsia="Calibri" w:hAnsi="Calibri" w:cs="Times New Roman"/>
          <w:sz w:val="20"/>
          <w:szCs w:val="20"/>
          <w:lang w:eastAsia="de-DE"/>
        </w:rPr>
        <w:t xml:space="preserve"> Preise nicht verhandelt </w:t>
      </w:r>
      <w:r w:rsidR="00A92FFA">
        <w:rPr>
          <w:rFonts w:ascii="Calibri" w:eastAsia="Calibri" w:hAnsi="Calibri" w:cs="Times New Roman"/>
          <w:sz w:val="20"/>
          <w:szCs w:val="20"/>
          <w:lang w:eastAsia="de-DE"/>
        </w:rPr>
        <w:t>wurden,</w:t>
      </w:r>
      <w:r w:rsidR="002B4DD5">
        <w:rPr>
          <w:rFonts w:ascii="Calibri" w:eastAsia="Calibri" w:hAnsi="Calibri" w:cs="Times New Roman"/>
          <w:sz w:val="20"/>
          <w:szCs w:val="20"/>
          <w:lang w:eastAsia="de-DE"/>
        </w:rPr>
        <w:t xml:space="preserve"> sondern zum Höchstpreis eingekauft wurden. </w:t>
      </w:r>
    </w:p>
    <w:p w14:paraId="4432C041" w14:textId="3477C478" w:rsidR="00A24669" w:rsidRDefault="00A24669" w:rsidP="00A24669">
      <w:pPr>
        <w:spacing w:after="120"/>
        <w:jc w:val="both"/>
        <w:rPr>
          <w:rFonts w:ascii="Calibri" w:eastAsia="Calibri" w:hAnsi="Calibri" w:cs="Times New Roman"/>
          <w:sz w:val="20"/>
          <w:szCs w:val="20"/>
          <w:lang w:eastAsia="de-DE"/>
        </w:rPr>
      </w:pPr>
      <w:r>
        <w:rPr>
          <w:rFonts w:ascii="Calibri" w:eastAsia="Calibri" w:hAnsi="Calibri" w:cs="Times New Roman"/>
          <w:sz w:val="20"/>
          <w:szCs w:val="20"/>
          <w:lang w:eastAsia="de-DE"/>
        </w:rPr>
        <w:t xml:space="preserve">Der lokale Projektträger wies darauf hin, dass zum Teil Beschaffungen in abgelegenen Gebieten </w:t>
      </w:r>
      <w:r w:rsidR="00122F7D">
        <w:rPr>
          <w:rFonts w:ascii="Calibri" w:eastAsia="Calibri" w:hAnsi="Calibri" w:cs="Times New Roman"/>
          <w:sz w:val="20"/>
          <w:szCs w:val="20"/>
          <w:lang w:eastAsia="de-DE"/>
        </w:rPr>
        <w:t xml:space="preserve">durchgeführt werden </w:t>
      </w:r>
      <w:r w:rsidR="00185312">
        <w:rPr>
          <w:rFonts w:ascii="Calibri" w:eastAsia="Calibri" w:hAnsi="Calibri" w:cs="Times New Roman"/>
          <w:sz w:val="20"/>
          <w:szCs w:val="20"/>
          <w:lang w:eastAsia="de-DE"/>
        </w:rPr>
        <w:t>mussten,</w:t>
      </w:r>
      <w:r w:rsidR="00122F7D">
        <w:rPr>
          <w:rFonts w:ascii="Calibri" w:eastAsia="Calibri" w:hAnsi="Calibri" w:cs="Times New Roman"/>
          <w:sz w:val="20"/>
          <w:szCs w:val="20"/>
          <w:lang w:eastAsia="de-DE"/>
        </w:rPr>
        <w:t xml:space="preserve"> um den akuten Bedarf an Medikamenten oder medizinischem Verbrauchsmaterial </w:t>
      </w:r>
      <w:r w:rsidR="009A6EF2">
        <w:rPr>
          <w:rFonts w:ascii="Calibri" w:eastAsia="Calibri" w:hAnsi="Calibri" w:cs="Times New Roman"/>
          <w:sz w:val="20"/>
          <w:szCs w:val="20"/>
          <w:lang w:eastAsia="de-DE"/>
        </w:rPr>
        <w:t>zu decken. Ein Vergleich von Angeboten wäre in diesen Fällen zum einen zeitlich nicht möglich gewesen und zum anderen</w:t>
      </w:r>
      <w:r w:rsidR="00A627F5">
        <w:rPr>
          <w:rFonts w:ascii="Calibri" w:eastAsia="Calibri" w:hAnsi="Calibri" w:cs="Times New Roman"/>
          <w:sz w:val="20"/>
          <w:szCs w:val="20"/>
          <w:lang w:eastAsia="de-DE"/>
        </w:rPr>
        <w:t xml:space="preserve"> gab es häufig nur einen Verkäufer im jeweiligen Gebiet</w:t>
      </w:r>
      <w:r w:rsidR="007A45E3">
        <w:rPr>
          <w:rFonts w:ascii="Calibri" w:eastAsia="Calibri" w:hAnsi="Calibri" w:cs="Times New Roman"/>
          <w:sz w:val="20"/>
          <w:szCs w:val="20"/>
          <w:lang w:eastAsia="de-DE"/>
        </w:rPr>
        <w:t xml:space="preserve">. Bei größeren Anschaffungen entschied sich das </w:t>
      </w:r>
      <w:proofErr w:type="spellStart"/>
      <w:r w:rsidR="007A45E3">
        <w:rPr>
          <w:rFonts w:ascii="Calibri" w:eastAsia="Calibri" w:hAnsi="Calibri" w:cs="Times New Roman"/>
          <w:sz w:val="20"/>
          <w:szCs w:val="20"/>
          <w:lang w:eastAsia="de-DE"/>
        </w:rPr>
        <w:t>Procurement</w:t>
      </w:r>
      <w:proofErr w:type="spellEnd"/>
      <w:r w:rsidR="007A45E3">
        <w:rPr>
          <w:rFonts w:ascii="Calibri" w:eastAsia="Calibri" w:hAnsi="Calibri" w:cs="Times New Roman"/>
          <w:sz w:val="20"/>
          <w:szCs w:val="20"/>
          <w:lang w:eastAsia="de-DE"/>
        </w:rPr>
        <w:t xml:space="preserve"> </w:t>
      </w:r>
      <w:r w:rsidR="006958AA">
        <w:rPr>
          <w:rFonts w:ascii="Calibri" w:eastAsia="Calibri" w:hAnsi="Calibri" w:cs="Times New Roman"/>
          <w:sz w:val="20"/>
          <w:szCs w:val="20"/>
          <w:lang w:eastAsia="de-DE"/>
        </w:rPr>
        <w:t>Committee</w:t>
      </w:r>
      <w:r w:rsidR="007A45E3">
        <w:rPr>
          <w:rFonts w:ascii="Calibri" w:eastAsia="Calibri" w:hAnsi="Calibri" w:cs="Times New Roman"/>
          <w:sz w:val="20"/>
          <w:szCs w:val="20"/>
          <w:lang w:eastAsia="de-DE"/>
        </w:rPr>
        <w:t xml:space="preserve"> des </w:t>
      </w:r>
      <w:r w:rsidR="00432536">
        <w:rPr>
          <w:rFonts w:ascii="Calibri" w:eastAsia="Calibri" w:hAnsi="Calibri" w:cs="Times New Roman"/>
          <w:sz w:val="20"/>
          <w:szCs w:val="20"/>
          <w:lang w:eastAsia="de-DE"/>
        </w:rPr>
        <w:t>lokalen Projektträgers bestimmte medizinische Geräte ausschließlich von einem zertifizierten Verkäufer zu beschaffen</w:t>
      </w:r>
      <w:r w:rsidR="00550CA1">
        <w:rPr>
          <w:rFonts w:ascii="Calibri" w:eastAsia="Calibri" w:hAnsi="Calibri" w:cs="Times New Roman"/>
          <w:sz w:val="20"/>
          <w:szCs w:val="20"/>
          <w:lang w:eastAsia="de-DE"/>
        </w:rPr>
        <w:t xml:space="preserve"> was einen Ausschreibungsprozess nicht notwendig machte. </w:t>
      </w:r>
      <w:r w:rsidR="0090173E">
        <w:rPr>
          <w:rFonts w:ascii="Calibri" w:eastAsia="Calibri" w:hAnsi="Calibri" w:cs="Times New Roman"/>
          <w:sz w:val="20"/>
          <w:szCs w:val="20"/>
          <w:lang w:eastAsia="de-DE"/>
        </w:rPr>
        <w:t>Der lokale Projektträger entschuldigt sich dafür, dass es zu Versäumnissen bei oben genannten Punkten gekommen ist. Aufgrund der Corona-Pandemie und der daraus resultierenden Zeit</w:t>
      </w:r>
      <w:r w:rsidR="00D37DD1">
        <w:rPr>
          <w:rFonts w:ascii="Calibri" w:eastAsia="Calibri" w:hAnsi="Calibri" w:cs="Times New Roman"/>
          <w:sz w:val="20"/>
          <w:szCs w:val="20"/>
          <w:lang w:eastAsia="de-DE"/>
        </w:rPr>
        <w:t xml:space="preserve">not mussten diverse Aktivitäten parallel </w:t>
      </w:r>
      <w:r w:rsidR="005405F7">
        <w:rPr>
          <w:rFonts w:ascii="Calibri" w:eastAsia="Calibri" w:hAnsi="Calibri" w:cs="Times New Roman"/>
          <w:sz w:val="20"/>
          <w:szCs w:val="20"/>
          <w:lang w:eastAsia="de-DE"/>
        </w:rPr>
        <w:t xml:space="preserve">geplant und umgesetzt werden was zu einer Vernachlässigung der </w:t>
      </w:r>
      <w:r w:rsidR="00E75DFF">
        <w:rPr>
          <w:rFonts w:ascii="Calibri" w:eastAsia="Calibri" w:hAnsi="Calibri" w:cs="Times New Roman"/>
          <w:sz w:val="20"/>
          <w:szCs w:val="20"/>
          <w:lang w:eastAsia="de-DE"/>
        </w:rPr>
        <w:t xml:space="preserve">Überprüfung der </w:t>
      </w:r>
      <w:r w:rsidR="005405F7">
        <w:rPr>
          <w:rFonts w:ascii="Calibri" w:eastAsia="Calibri" w:hAnsi="Calibri" w:cs="Times New Roman"/>
          <w:sz w:val="20"/>
          <w:szCs w:val="20"/>
          <w:lang w:eastAsia="de-DE"/>
        </w:rPr>
        <w:t xml:space="preserve">buchhalterischen Arbeit geführt hat. </w:t>
      </w:r>
    </w:p>
    <w:p w14:paraId="3C7862D1" w14:textId="7AD9C115" w:rsidR="00EE3731" w:rsidRDefault="00EE3731" w:rsidP="00A24669">
      <w:pPr>
        <w:spacing w:after="120"/>
        <w:jc w:val="both"/>
        <w:rPr>
          <w:rFonts w:ascii="Calibri" w:eastAsia="Calibri" w:hAnsi="Calibri" w:cs="Times New Roman"/>
          <w:sz w:val="20"/>
          <w:szCs w:val="20"/>
          <w:lang w:eastAsia="de-DE"/>
        </w:rPr>
      </w:pPr>
      <w:r>
        <w:rPr>
          <w:rFonts w:ascii="Calibri" w:eastAsia="Calibri" w:hAnsi="Calibri" w:cs="Times New Roman"/>
          <w:sz w:val="20"/>
          <w:szCs w:val="20"/>
          <w:lang w:eastAsia="de-DE"/>
        </w:rPr>
        <w:t xml:space="preserve">Der unabhängige Buchprüfer weist in seinem Bericht auf weitere </w:t>
      </w:r>
      <w:r w:rsidR="00F02CBF">
        <w:rPr>
          <w:rFonts w:ascii="Calibri" w:eastAsia="Calibri" w:hAnsi="Calibri" w:cs="Times New Roman"/>
          <w:sz w:val="20"/>
          <w:szCs w:val="20"/>
          <w:lang w:eastAsia="de-DE"/>
        </w:rPr>
        <w:t xml:space="preserve">Ungenauigkeiten </w:t>
      </w:r>
      <w:r w:rsidR="00CE2CE9">
        <w:rPr>
          <w:rFonts w:ascii="Calibri" w:eastAsia="Calibri" w:hAnsi="Calibri" w:cs="Times New Roman"/>
          <w:sz w:val="20"/>
          <w:szCs w:val="20"/>
          <w:lang w:eastAsia="de-DE"/>
        </w:rPr>
        <w:t>hin,</w:t>
      </w:r>
      <w:r w:rsidR="00F02CBF">
        <w:rPr>
          <w:rFonts w:ascii="Calibri" w:eastAsia="Calibri" w:hAnsi="Calibri" w:cs="Times New Roman"/>
          <w:sz w:val="20"/>
          <w:szCs w:val="20"/>
          <w:lang w:eastAsia="de-DE"/>
        </w:rPr>
        <w:t xml:space="preserve"> welche jedoch nur gegen die Richtlinien des lokalen Projektträgers </w:t>
      </w:r>
      <w:r w:rsidR="00CE2CE9">
        <w:rPr>
          <w:rFonts w:ascii="Calibri" w:eastAsia="Calibri" w:hAnsi="Calibri" w:cs="Times New Roman"/>
          <w:sz w:val="20"/>
          <w:szCs w:val="20"/>
          <w:lang w:eastAsia="de-DE"/>
        </w:rPr>
        <w:t>selbst verstoßen. Auf diese wird daher nicht weiter eingegangen.</w:t>
      </w:r>
    </w:p>
    <w:p w14:paraId="3FE5B133" w14:textId="77777777" w:rsidR="006B5FE6" w:rsidRDefault="006B5FE6" w:rsidP="00A24669">
      <w:pPr>
        <w:spacing w:after="120"/>
        <w:jc w:val="both"/>
        <w:rPr>
          <w:rFonts w:ascii="Calibri" w:eastAsia="Calibri" w:hAnsi="Calibri" w:cs="Times New Roman"/>
          <w:sz w:val="20"/>
          <w:szCs w:val="20"/>
          <w:lang w:eastAsia="de-DE"/>
        </w:rPr>
      </w:pPr>
    </w:p>
    <w:p w14:paraId="2348600E" w14:textId="74511F66" w:rsidR="00C7565B" w:rsidRDefault="00C7565B" w:rsidP="001C7D1C">
      <w:pPr>
        <w:jc w:val="both"/>
        <w:rPr>
          <w:rFonts w:ascii="Calibri" w:eastAsia="Calibri" w:hAnsi="Calibri" w:cs="Times New Roman"/>
          <w:sz w:val="20"/>
          <w:szCs w:val="20"/>
          <w:lang w:eastAsia="de-DE"/>
        </w:rPr>
      </w:pPr>
      <w:r w:rsidRPr="003778F3">
        <w:rPr>
          <w:rFonts w:ascii="Calibri" w:eastAsia="Calibri" w:hAnsi="Calibri" w:cs="Times New Roman"/>
          <w:sz w:val="20"/>
          <w:szCs w:val="20"/>
          <w:lang w:eastAsia="de-DE"/>
        </w:rPr>
        <w:t>Die Summe der Projektausgaben durch d</w:t>
      </w:r>
      <w:r w:rsidR="00826C1D">
        <w:rPr>
          <w:rFonts w:ascii="Calibri" w:eastAsia="Calibri" w:hAnsi="Calibri" w:cs="Times New Roman"/>
          <w:sz w:val="20"/>
          <w:szCs w:val="20"/>
          <w:lang w:eastAsia="de-DE"/>
        </w:rPr>
        <w:t>en</w:t>
      </w:r>
      <w:r w:rsidRPr="003778F3">
        <w:rPr>
          <w:rFonts w:ascii="Calibri" w:eastAsia="Calibri" w:hAnsi="Calibri" w:cs="Times New Roman"/>
          <w:sz w:val="20"/>
          <w:szCs w:val="20"/>
          <w:lang w:eastAsia="de-DE"/>
        </w:rPr>
        <w:t xml:space="preserve"> lokalen Projektträger betrug </w:t>
      </w:r>
      <w:r w:rsidR="00F84687" w:rsidRPr="00F84687">
        <w:rPr>
          <w:rFonts w:ascii="Calibri" w:eastAsia="Calibri" w:hAnsi="Calibri" w:cs="Times New Roman"/>
          <w:sz w:val="20"/>
          <w:szCs w:val="20"/>
          <w:lang w:eastAsia="de-DE"/>
        </w:rPr>
        <w:t>99.582.842,49</w:t>
      </w:r>
      <w:r w:rsidRPr="003778F3">
        <w:rPr>
          <w:rFonts w:ascii="Calibri" w:eastAsia="Calibri" w:hAnsi="Calibri" w:cs="Times New Roman"/>
          <w:sz w:val="20"/>
          <w:szCs w:val="20"/>
          <w:lang w:eastAsia="de-DE"/>
        </w:rPr>
        <w:t xml:space="preserve"> </w:t>
      </w:r>
      <w:r w:rsidR="009C6B97" w:rsidRPr="003778F3">
        <w:rPr>
          <w:rFonts w:ascii="Calibri" w:eastAsia="Calibri" w:hAnsi="Calibri" w:cs="Times New Roman"/>
          <w:sz w:val="20"/>
          <w:szCs w:val="20"/>
          <w:lang w:eastAsia="de-DE"/>
        </w:rPr>
        <w:t xml:space="preserve">NPR </w:t>
      </w:r>
      <w:r w:rsidRPr="003778F3">
        <w:rPr>
          <w:rFonts w:ascii="Calibri" w:eastAsia="Calibri" w:hAnsi="Calibri" w:cs="Times New Roman"/>
          <w:sz w:val="20"/>
          <w:szCs w:val="20"/>
          <w:lang w:eastAsia="de-DE"/>
        </w:rPr>
        <w:t>(</w:t>
      </w:r>
      <w:r w:rsidR="001C7D1C" w:rsidRPr="003778F3">
        <w:rPr>
          <w:rFonts w:ascii="Calibri" w:eastAsia="Times New Roman" w:hAnsi="Calibri" w:cs="Calibri"/>
          <w:color w:val="000000"/>
          <w:sz w:val="20"/>
          <w:szCs w:val="20"/>
          <w:lang w:eastAsia="de-DE"/>
        </w:rPr>
        <w:t xml:space="preserve">722.104,57 </w:t>
      </w:r>
      <w:r w:rsidRPr="003778F3">
        <w:rPr>
          <w:rFonts w:ascii="Calibri" w:eastAsia="Calibri" w:hAnsi="Calibri" w:cs="Times New Roman"/>
          <w:sz w:val="20"/>
          <w:szCs w:val="20"/>
          <w:lang w:eastAsia="de-DE"/>
        </w:rPr>
        <w:t>€ bei einem Durchschnittswechselkurs von</w:t>
      </w:r>
      <w:r w:rsidR="009C6B97" w:rsidRPr="003778F3">
        <w:rPr>
          <w:rFonts w:ascii="Calibri" w:eastAsia="Calibri" w:hAnsi="Calibri" w:cs="Times New Roman"/>
          <w:sz w:val="20"/>
          <w:szCs w:val="20"/>
          <w:lang w:eastAsia="de-DE"/>
        </w:rPr>
        <w:t xml:space="preserve"> </w:t>
      </w:r>
      <w:r w:rsidR="007B6E62" w:rsidRPr="003778F3">
        <w:rPr>
          <w:rFonts w:ascii="Calibri" w:eastAsia="Calibri" w:hAnsi="Calibri" w:cs="Times New Roman"/>
          <w:sz w:val="20"/>
          <w:szCs w:val="20"/>
          <w:lang w:eastAsia="de-DE"/>
        </w:rPr>
        <w:t>137,9064</w:t>
      </w:r>
      <w:r w:rsidRPr="003778F3">
        <w:rPr>
          <w:rFonts w:ascii="Calibri" w:eastAsia="Calibri" w:hAnsi="Calibri" w:cs="Times New Roman"/>
          <w:sz w:val="20"/>
          <w:szCs w:val="20"/>
          <w:lang w:eastAsia="de-DE"/>
        </w:rPr>
        <w:t xml:space="preserve">), womit </w:t>
      </w:r>
      <w:r w:rsidR="009C6B97" w:rsidRPr="003778F3">
        <w:rPr>
          <w:rFonts w:ascii="Calibri" w:eastAsia="Calibri" w:hAnsi="Calibri" w:cs="Times New Roman"/>
          <w:sz w:val="20"/>
          <w:szCs w:val="20"/>
          <w:lang w:eastAsia="de-DE"/>
        </w:rPr>
        <w:t>ein</w:t>
      </w:r>
      <w:r w:rsidRPr="003778F3">
        <w:rPr>
          <w:rFonts w:ascii="Calibri" w:eastAsia="Calibri" w:hAnsi="Calibri" w:cs="Times New Roman"/>
          <w:sz w:val="20"/>
          <w:szCs w:val="20"/>
          <w:lang w:eastAsia="de-DE"/>
        </w:rPr>
        <w:t xml:space="preserve"> Bestand</w:t>
      </w:r>
      <w:r w:rsidR="009C6B97" w:rsidRPr="003778F3">
        <w:rPr>
          <w:rFonts w:ascii="Calibri" w:eastAsia="Calibri" w:hAnsi="Calibri" w:cs="Times New Roman"/>
          <w:sz w:val="20"/>
          <w:szCs w:val="20"/>
          <w:lang w:eastAsia="de-DE"/>
        </w:rPr>
        <w:t xml:space="preserve"> von </w:t>
      </w:r>
      <w:r w:rsidR="003778F3" w:rsidRPr="003778F3">
        <w:rPr>
          <w:rFonts w:ascii="Calibri" w:eastAsia="Calibri" w:hAnsi="Calibri" w:cs="Times New Roman"/>
          <w:sz w:val="20"/>
          <w:szCs w:val="20"/>
          <w:lang w:eastAsia="de-DE"/>
        </w:rPr>
        <w:t xml:space="preserve">25.867,36 € </w:t>
      </w:r>
      <w:r w:rsidRPr="003778F3">
        <w:rPr>
          <w:rFonts w:ascii="Calibri" w:eastAsia="Calibri" w:hAnsi="Calibri" w:cs="Times New Roman"/>
          <w:sz w:val="20"/>
          <w:szCs w:val="20"/>
          <w:lang w:eastAsia="de-DE"/>
        </w:rPr>
        <w:t xml:space="preserve">bei den lokalen Projektträgern verblieben ist. Die Verausgabung erfolgte gemäß Prüfung entsprechend dem Verwendungszweck auf effiziente und wirtschaftliche Weise. Nachweislich wurden keine weiteren als die ausgewiesenen Mittel für die Finanzierung des Projektes genutzt. </w:t>
      </w:r>
    </w:p>
    <w:p w14:paraId="2A99C6DD" w14:textId="2E41D9FB" w:rsidR="00C7565B" w:rsidRPr="00B6663B" w:rsidRDefault="000B79B5" w:rsidP="00C7565B">
      <w:pPr>
        <w:spacing w:after="120"/>
        <w:jc w:val="both"/>
        <w:rPr>
          <w:rFonts w:ascii="Calibri" w:eastAsia="Calibri" w:hAnsi="Calibri" w:cs="Times New Roman"/>
          <w:sz w:val="20"/>
          <w:szCs w:val="20"/>
          <w:lang w:eastAsia="de-DE"/>
        </w:rPr>
      </w:pPr>
      <w:r w:rsidRPr="00B6663B">
        <w:rPr>
          <w:rFonts w:ascii="Calibri" w:eastAsia="Calibri" w:hAnsi="Calibri" w:cs="Times New Roman"/>
          <w:sz w:val="20"/>
          <w:szCs w:val="20"/>
          <w:lang w:eastAsia="de-DE"/>
        </w:rPr>
        <w:t>Z</w:t>
      </w:r>
      <w:r w:rsidR="00C7565B" w:rsidRPr="00B6663B">
        <w:rPr>
          <w:rFonts w:ascii="Calibri" w:eastAsia="Calibri" w:hAnsi="Calibri" w:cs="Times New Roman"/>
          <w:sz w:val="20"/>
          <w:szCs w:val="20"/>
          <w:lang w:eastAsia="de-DE"/>
        </w:rPr>
        <w:t>usätzlich zu den oben genannten Einnahmen und Ausgaben de</w:t>
      </w:r>
      <w:r w:rsidRPr="00B6663B">
        <w:rPr>
          <w:rFonts w:ascii="Calibri" w:eastAsia="Calibri" w:hAnsi="Calibri" w:cs="Times New Roman"/>
          <w:sz w:val="20"/>
          <w:szCs w:val="20"/>
          <w:lang w:eastAsia="de-DE"/>
        </w:rPr>
        <w:t>s</w:t>
      </w:r>
      <w:r w:rsidR="00C7565B" w:rsidRPr="00B6663B">
        <w:rPr>
          <w:rFonts w:ascii="Calibri" w:eastAsia="Calibri" w:hAnsi="Calibri" w:cs="Times New Roman"/>
          <w:sz w:val="20"/>
          <w:szCs w:val="20"/>
          <w:lang w:eastAsia="de-DE"/>
        </w:rPr>
        <w:t xml:space="preserve"> lokalen Projektträger</w:t>
      </w:r>
      <w:r w:rsidRPr="00B6663B">
        <w:rPr>
          <w:rFonts w:ascii="Calibri" w:eastAsia="Calibri" w:hAnsi="Calibri" w:cs="Times New Roman"/>
          <w:sz w:val="20"/>
          <w:szCs w:val="20"/>
          <w:lang w:eastAsia="de-DE"/>
        </w:rPr>
        <w:t>s</w:t>
      </w:r>
      <w:r w:rsidR="0030266A" w:rsidRPr="00B6663B">
        <w:rPr>
          <w:rFonts w:ascii="Calibri" w:eastAsia="Calibri" w:hAnsi="Calibri" w:cs="Times New Roman"/>
          <w:sz w:val="20"/>
          <w:szCs w:val="20"/>
          <w:lang w:eastAsia="de-DE"/>
        </w:rPr>
        <w:t xml:space="preserve"> sind</w:t>
      </w:r>
      <w:r w:rsidR="00C7565B" w:rsidRPr="00B6663B">
        <w:rPr>
          <w:rFonts w:ascii="Calibri" w:eastAsia="Calibri" w:hAnsi="Calibri" w:cs="Times New Roman"/>
          <w:sz w:val="20"/>
          <w:szCs w:val="20"/>
          <w:lang w:eastAsia="de-DE"/>
        </w:rPr>
        <w:t xml:space="preserve"> folgende weitere Ausgaben angefallen</w:t>
      </w:r>
      <w:r w:rsidR="0030266A" w:rsidRPr="00B6663B">
        <w:rPr>
          <w:rFonts w:ascii="Calibri" w:eastAsia="Calibri" w:hAnsi="Calibri" w:cs="Times New Roman"/>
          <w:sz w:val="20"/>
          <w:szCs w:val="20"/>
          <w:lang w:eastAsia="de-DE"/>
        </w:rPr>
        <w:t>:</w:t>
      </w:r>
    </w:p>
    <w:p w14:paraId="686ED497" w14:textId="40DAB888" w:rsidR="00C7565B" w:rsidRPr="00B6663B" w:rsidRDefault="00914EA4" w:rsidP="00914EA4">
      <w:pPr>
        <w:pStyle w:val="Listenabsatz"/>
        <w:numPr>
          <w:ilvl w:val="0"/>
          <w:numId w:val="22"/>
        </w:numPr>
        <w:spacing w:after="0" w:line="240" w:lineRule="auto"/>
        <w:jc w:val="both"/>
        <w:rPr>
          <w:rFonts w:ascii="Calibri" w:eastAsia="Calibri" w:hAnsi="Calibri" w:cs="Times New Roman"/>
          <w:sz w:val="20"/>
          <w:szCs w:val="20"/>
          <w:lang w:eastAsia="de-DE"/>
        </w:rPr>
      </w:pPr>
      <w:r w:rsidRPr="00B6663B">
        <w:rPr>
          <w:rFonts w:ascii="Calibri" w:eastAsia="Calibri" w:hAnsi="Calibri" w:cs="Times New Roman"/>
          <w:sz w:val="20"/>
          <w:szCs w:val="20"/>
          <w:lang w:eastAsia="de-DE"/>
        </w:rPr>
        <w:t xml:space="preserve">5.781,70 </w:t>
      </w:r>
      <w:r w:rsidR="00186571">
        <w:rPr>
          <w:rFonts w:ascii="Calibri" w:eastAsia="Calibri" w:hAnsi="Calibri" w:cs="Times New Roman"/>
          <w:sz w:val="20"/>
          <w:szCs w:val="20"/>
          <w:lang w:eastAsia="de-DE"/>
        </w:rPr>
        <w:t xml:space="preserve">€ </w:t>
      </w:r>
      <w:r w:rsidR="00C7565B" w:rsidRPr="00B6663B">
        <w:rPr>
          <w:rFonts w:ascii="Calibri" w:eastAsia="Calibri" w:hAnsi="Calibri" w:cs="Times New Roman"/>
          <w:sz w:val="20"/>
          <w:szCs w:val="20"/>
          <w:lang w:eastAsia="de-DE"/>
        </w:rPr>
        <w:t>für Projektbetreuungsreisen</w:t>
      </w:r>
    </w:p>
    <w:p w14:paraId="7B652906" w14:textId="10890011" w:rsidR="009433D0" w:rsidRDefault="00B6663B" w:rsidP="00914EA4">
      <w:pPr>
        <w:pStyle w:val="Listenabsatz"/>
        <w:numPr>
          <w:ilvl w:val="0"/>
          <w:numId w:val="22"/>
        </w:numPr>
        <w:spacing w:after="0" w:line="240" w:lineRule="auto"/>
        <w:jc w:val="both"/>
        <w:rPr>
          <w:rFonts w:ascii="Calibri" w:eastAsia="Calibri" w:hAnsi="Calibri" w:cs="Times New Roman"/>
          <w:sz w:val="20"/>
          <w:szCs w:val="20"/>
          <w:lang w:eastAsia="de-DE"/>
        </w:rPr>
      </w:pPr>
      <w:r w:rsidRPr="00B6663B">
        <w:rPr>
          <w:rFonts w:ascii="Calibri" w:eastAsia="Calibri" w:hAnsi="Calibri" w:cs="Times New Roman"/>
          <w:sz w:val="20"/>
          <w:szCs w:val="20"/>
          <w:lang w:eastAsia="de-DE"/>
        </w:rPr>
        <w:t xml:space="preserve">15.601,58 </w:t>
      </w:r>
      <w:r w:rsidR="00186571">
        <w:rPr>
          <w:rFonts w:ascii="Calibri" w:eastAsia="Calibri" w:hAnsi="Calibri" w:cs="Times New Roman"/>
          <w:sz w:val="20"/>
          <w:szCs w:val="20"/>
          <w:lang w:eastAsia="de-DE"/>
        </w:rPr>
        <w:t xml:space="preserve">€ </w:t>
      </w:r>
      <w:r w:rsidRPr="00B6663B">
        <w:rPr>
          <w:rFonts w:ascii="Calibri" w:eastAsia="Calibri" w:hAnsi="Calibri" w:cs="Times New Roman"/>
          <w:sz w:val="20"/>
          <w:szCs w:val="20"/>
          <w:lang w:eastAsia="de-DE"/>
        </w:rPr>
        <w:t>für CBM Interne Zahlungen</w:t>
      </w:r>
    </w:p>
    <w:p w14:paraId="51C3508C" w14:textId="77777777" w:rsidR="00186571" w:rsidRPr="00B6663B" w:rsidRDefault="00186571" w:rsidP="00186571">
      <w:pPr>
        <w:pStyle w:val="Listenabsatz"/>
        <w:spacing w:after="0" w:line="240" w:lineRule="auto"/>
        <w:jc w:val="both"/>
        <w:rPr>
          <w:rFonts w:ascii="Calibri" w:eastAsia="Calibri" w:hAnsi="Calibri" w:cs="Times New Roman"/>
          <w:sz w:val="20"/>
          <w:szCs w:val="20"/>
          <w:lang w:eastAsia="de-DE"/>
        </w:rPr>
      </w:pPr>
    </w:p>
    <w:p w14:paraId="2E0E93CD" w14:textId="58AF8954" w:rsidR="00884B1A" w:rsidRDefault="00884B1A" w:rsidP="00C7565B">
      <w:pPr>
        <w:spacing w:after="120"/>
        <w:jc w:val="both"/>
        <w:rPr>
          <w:rFonts w:ascii="Calibri" w:eastAsia="Calibri" w:hAnsi="Calibri" w:cs="Times New Roman"/>
          <w:sz w:val="20"/>
          <w:szCs w:val="20"/>
          <w:lang w:eastAsia="de-DE"/>
        </w:rPr>
      </w:pPr>
      <w:r w:rsidRPr="00884B1A">
        <w:rPr>
          <w:rFonts w:ascii="Calibri" w:eastAsia="Calibri" w:hAnsi="Calibri" w:cs="Times New Roman"/>
          <w:sz w:val="20"/>
          <w:szCs w:val="20"/>
          <w:lang w:eastAsia="de-DE"/>
        </w:rPr>
        <w:t xml:space="preserve">Das finale Testat des Buchprüfers und die eingereichten Belege stimmen leider nicht überein. Hierfür gibt es folgende Gründe: Zum einen enthalten die Berechnungen im Testat noch die Summe, die als nicht zuwendungsfähig rückerstattet wird. Es ist auch anzumerken, dass die Kosten für die </w:t>
      </w:r>
      <w:proofErr w:type="spellStart"/>
      <w:r w:rsidRPr="00884B1A">
        <w:rPr>
          <w:rFonts w:ascii="Calibri" w:eastAsia="Calibri" w:hAnsi="Calibri" w:cs="Times New Roman"/>
          <w:sz w:val="20"/>
          <w:szCs w:val="20"/>
          <w:lang w:eastAsia="de-DE"/>
        </w:rPr>
        <w:t>Feasibility</w:t>
      </w:r>
      <w:proofErr w:type="spellEnd"/>
      <w:r w:rsidRPr="00884B1A">
        <w:rPr>
          <w:rFonts w:ascii="Calibri" w:eastAsia="Calibri" w:hAnsi="Calibri" w:cs="Times New Roman"/>
          <w:sz w:val="20"/>
          <w:szCs w:val="20"/>
          <w:lang w:eastAsia="de-DE"/>
        </w:rPr>
        <w:t xml:space="preserve"> Study</w:t>
      </w:r>
      <w:r>
        <w:rPr>
          <w:rFonts w:ascii="Calibri" w:eastAsia="Calibri" w:hAnsi="Calibri" w:cs="Times New Roman"/>
          <w:sz w:val="20"/>
          <w:szCs w:val="20"/>
          <w:lang w:eastAsia="de-DE"/>
        </w:rPr>
        <w:t xml:space="preserve">, die letzte Zahlung der Evaluationskosten, </w:t>
      </w:r>
      <w:r w:rsidR="00472D36">
        <w:rPr>
          <w:rFonts w:ascii="Calibri" w:eastAsia="Calibri" w:hAnsi="Calibri" w:cs="Times New Roman"/>
          <w:sz w:val="20"/>
          <w:szCs w:val="20"/>
          <w:lang w:eastAsia="de-DE"/>
        </w:rPr>
        <w:t xml:space="preserve">die </w:t>
      </w:r>
      <w:r>
        <w:rPr>
          <w:rFonts w:ascii="Calibri" w:eastAsia="Calibri" w:hAnsi="Calibri" w:cs="Times New Roman"/>
          <w:sz w:val="20"/>
          <w:szCs w:val="20"/>
          <w:lang w:eastAsia="de-DE"/>
        </w:rPr>
        <w:t>de</w:t>
      </w:r>
      <w:r w:rsidR="00472D36">
        <w:rPr>
          <w:rFonts w:ascii="Calibri" w:eastAsia="Calibri" w:hAnsi="Calibri" w:cs="Times New Roman"/>
          <w:sz w:val="20"/>
          <w:szCs w:val="20"/>
          <w:lang w:eastAsia="de-DE"/>
        </w:rPr>
        <w:t>r</w:t>
      </w:r>
      <w:r>
        <w:rPr>
          <w:rFonts w:ascii="Calibri" w:eastAsia="Calibri" w:hAnsi="Calibri" w:cs="Times New Roman"/>
          <w:sz w:val="20"/>
          <w:szCs w:val="20"/>
          <w:lang w:eastAsia="de-DE"/>
        </w:rPr>
        <w:t xml:space="preserve"> finale</w:t>
      </w:r>
      <w:r w:rsidR="00794168">
        <w:rPr>
          <w:rFonts w:ascii="Calibri" w:eastAsia="Calibri" w:hAnsi="Calibri" w:cs="Times New Roman"/>
          <w:sz w:val="20"/>
          <w:szCs w:val="20"/>
          <w:lang w:eastAsia="de-DE"/>
        </w:rPr>
        <w:t>n Buchprüfung</w:t>
      </w:r>
      <w:r w:rsidRPr="00884B1A">
        <w:rPr>
          <w:rFonts w:ascii="Calibri" w:eastAsia="Calibri" w:hAnsi="Calibri" w:cs="Times New Roman"/>
          <w:sz w:val="20"/>
          <w:szCs w:val="20"/>
          <w:lang w:eastAsia="de-DE"/>
        </w:rPr>
        <w:t xml:space="preserve"> sowie die Ausgaben in EUR nicht Teil des Audit-Berichts sind.</w:t>
      </w:r>
      <w:r w:rsidR="00794168">
        <w:rPr>
          <w:rFonts w:ascii="Calibri" w:eastAsia="Calibri" w:hAnsi="Calibri" w:cs="Times New Roman"/>
          <w:sz w:val="20"/>
          <w:szCs w:val="20"/>
          <w:lang w:eastAsia="de-DE"/>
        </w:rPr>
        <w:t xml:space="preserve"> </w:t>
      </w:r>
      <w:r w:rsidR="00794168" w:rsidRPr="00B6663B">
        <w:rPr>
          <w:rFonts w:ascii="Calibri" w:eastAsia="Calibri" w:hAnsi="Calibri" w:cs="Times New Roman"/>
          <w:sz w:val="20"/>
          <w:szCs w:val="20"/>
          <w:lang w:eastAsia="de-DE"/>
        </w:rPr>
        <w:t>Die Unterlagen können bei Bedarf selbstverständlich vorgelegt werden.</w:t>
      </w:r>
      <w:r w:rsidR="00794168" w:rsidRPr="00C7565B">
        <w:rPr>
          <w:rFonts w:ascii="Calibri" w:eastAsia="Calibri" w:hAnsi="Calibri" w:cs="Times New Roman"/>
          <w:sz w:val="20"/>
          <w:szCs w:val="20"/>
          <w:lang w:eastAsia="de-DE"/>
        </w:rPr>
        <w:t xml:space="preserve"> </w:t>
      </w:r>
      <w:r w:rsidRPr="00884B1A">
        <w:rPr>
          <w:rFonts w:ascii="Calibri" w:eastAsia="Calibri" w:hAnsi="Calibri" w:cs="Times New Roman"/>
          <w:sz w:val="20"/>
          <w:szCs w:val="20"/>
          <w:lang w:eastAsia="de-DE"/>
        </w:rPr>
        <w:t>Zum anderen ist im Zuge der finalen Abrechnung aufgefallen, dass es zu einem Formatfehler in unseren Berechnungen gekommen ist. Ausschlaggebend war die fehlerhafte Eingabe des Lokalwährungscodes (</w:t>
      </w:r>
      <w:proofErr w:type="spellStart"/>
      <w:r w:rsidRPr="00884B1A">
        <w:rPr>
          <w:rFonts w:ascii="Calibri" w:eastAsia="Calibri" w:hAnsi="Calibri" w:cs="Times New Roman"/>
          <w:sz w:val="20"/>
          <w:szCs w:val="20"/>
          <w:lang w:eastAsia="de-DE"/>
        </w:rPr>
        <w:t>NRP</w:t>
      </w:r>
      <w:proofErr w:type="spellEnd"/>
      <w:r w:rsidRPr="00884B1A">
        <w:rPr>
          <w:rFonts w:ascii="Calibri" w:eastAsia="Calibri" w:hAnsi="Calibri" w:cs="Times New Roman"/>
          <w:sz w:val="20"/>
          <w:szCs w:val="20"/>
          <w:lang w:eastAsia="de-DE"/>
        </w:rPr>
        <w:t xml:space="preserve"> anstelle von NPR), die zur Folge hatte, dass nicht alle Ausgaben in den Jahren 2021-2025 korrekt berechnet wurden. Dies hat auch Auswirkungen auf die zuvor eingereichten Zwischennachweise. Die angehängte Berechnung gibt einen Überblick über die Tatsächlichen Ausgaben sowie die Abweichungen vom Testat. Wir bitten Sie, diese Ungenauigkeit zu entschuldigen. Die Belege, so wie sie eingereicht wurden, wurden von der CBM geprüft.</w:t>
      </w:r>
    </w:p>
    <w:p w14:paraId="21A113F0" w14:textId="00BAF91D" w:rsidR="00DA58AE" w:rsidRDefault="00DA58AE" w:rsidP="00C7565B">
      <w:pPr>
        <w:spacing w:after="120"/>
        <w:jc w:val="both"/>
        <w:rPr>
          <w:rFonts w:ascii="Calibri" w:eastAsia="Calibri" w:hAnsi="Calibri" w:cs="Times New Roman"/>
          <w:sz w:val="20"/>
          <w:szCs w:val="20"/>
          <w:lang w:eastAsia="de-DE"/>
        </w:rPr>
      </w:pPr>
      <w:r>
        <w:rPr>
          <w:rFonts w:ascii="Calibri" w:eastAsia="Calibri" w:hAnsi="Calibri" w:cs="Times New Roman"/>
          <w:sz w:val="20"/>
          <w:szCs w:val="20"/>
          <w:lang w:eastAsia="de-DE"/>
        </w:rPr>
        <w:t xml:space="preserve">Der Gesamtbestand </w:t>
      </w:r>
      <w:r w:rsidR="00673F5E">
        <w:rPr>
          <w:rFonts w:ascii="Calibri" w:eastAsia="Calibri" w:hAnsi="Calibri" w:cs="Times New Roman"/>
          <w:sz w:val="20"/>
          <w:szCs w:val="20"/>
          <w:lang w:eastAsia="de-DE"/>
        </w:rPr>
        <w:t xml:space="preserve">von </w:t>
      </w:r>
      <w:r w:rsidR="00673F5E" w:rsidRPr="003778F3">
        <w:rPr>
          <w:rFonts w:ascii="Calibri" w:eastAsia="Calibri" w:hAnsi="Calibri" w:cs="Times New Roman"/>
          <w:sz w:val="20"/>
          <w:szCs w:val="20"/>
          <w:lang w:eastAsia="de-DE"/>
        </w:rPr>
        <w:t>25.86</w:t>
      </w:r>
      <w:r w:rsidR="00D712FB">
        <w:rPr>
          <w:rFonts w:ascii="Calibri" w:eastAsia="Calibri" w:hAnsi="Calibri" w:cs="Times New Roman"/>
          <w:sz w:val="20"/>
          <w:szCs w:val="20"/>
          <w:lang w:eastAsia="de-DE"/>
        </w:rPr>
        <w:t>8</w:t>
      </w:r>
      <w:r w:rsidR="00673F5E" w:rsidRPr="003778F3">
        <w:rPr>
          <w:rFonts w:ascii="Calibri" w:eastAsia="Calibri" w:hAnsi="Calibri" w:cs="Times New Roman"/>
          <w:sz w:val="20"/>
          <w:szCs w:val="20"/>
          <w:lang w:eastAsia="de-DE"/>
        </w:rPr>
        <w:t xml:space="preserve"> €</w:t>
      </w:r>
      <w:r>
        <w:rPr>
          <w:rFonts w:ascii="Calibri" w:eastAsia="Calibri" w:hAnsi="Calibri" w:cs="Times New Roman"/>
          <w:sz w:val="20"/>
          <w:szCs w:val="20"/>
          <w:lang w:eastAsia="de-DE"/>
        </w:rPr>
        <w:t xml:space="preserve"> </w:t>
      </w:r>
      <w:r w:rsidR="00673F5E">
        <w:rPr>
          <w:rFonts w:ascii="Calibri" w:eastAsia="Calibri" w:hAnsi="Calibri" w:cs="Times New Roman"/>
          <w:sz w:val="20"/>
          <w:szCs w:val="20"/>
          <w:lang w:eastAsia="de-DE"/>
        </w:rPr>
        <w:t xml:space="preserve">an </w:t>
      </w:r>
      <w:r>
        <w:rPr>
          <w:rFonts w:ascii="Calibri" w:eastAsia="Calibri" w:hAnsi="Calibri" w:cs="Times New Roman"/>
          <w:sz w:val="20"/>
          <w:szCs w:val="20"/>
          <w:lang w:eastAsia="de-DE"/>
        </w:rPr>
        <w:t xml:space="preserve">Zuwendungsmitteln </w:t>
      </w:r>
      <w:r w:rsidR="00E302F0">
        <w:rPr>
          <w:rFonts w:ascii="Calibri" w:eastAsia="Calibri" w:hAnsi="Calibri" w:cs="Times New Roman"/>
          <w:sz w:val="20"/>
          <w:szCs w:val="20"/>
          <w:lang w:eastAsia="de-DE"/>
        </w:rPr>
        <w:t xml:space="preserve">zuzüglich </w:t>
      </w:r>
      <w:r w:rsidR="00E302F0" w:rsidRPr="00E302F0">
        <w:rPr>
          <w:rFonts w:ascii="Calibri" w:eastAsia="Calibri" w:hAnsi="Calibri" w:cs="Times New Roman"/>
          <w:sz w:val="20"/>
          <w:szCs w:val="20"/>
          <w:lang w:eastAsia="de-DE"/>
        </w:rPr>
        <w:t>2.633,05 €</w:t>
      </w:r>
      <w:r w:rsidR="00E302F0">
        <w:rPr>
          <w:rFonts w:ascii="Calibri" w:eastAsia="Calibri" w:hAnsi="Calibri" w:cs="Times New Roman"/>
          <w:sz w:val="20"/>
          <w:szCs w:val="20"/>
          <w:lang w:eastAsia="de-DE"/>
        </w:rPr>
        <w:t xml:space="preserve"> Sollzinsen </w:t>
      </w:r>
      <w:r w:rsidR="008D4AC3">
        <w:rPr>
          <w:rFonts w:ascii="Calibri" w:eastAsia="Calibri" w:hAnsi="Calibri" w:cs="Times New Roman"/>
          <w:sz w:val="20"/>
          <w:szCs w:val="20"/>
          <w:lang w:eastAsia="de-DE"/>
        </w:rPr>
        <w:t xml:space="preserve">aus den Jahren 2024 und 2025 </w:t>
      </w:r>
      <w:r w:rsidR="00E302F0">
        <w:rPr>
          <w:rFonts w:ascii="Calibri" w:eastAsia="Calibri" w:hAnsi="Calibri" w:cs="Times New Roman"/>
          <w:sz w:val="20"/>
          <w:szCs w:val="20"/>
          <w:lang w:eastAsia="de-DE"/>
        </w:rPr>
        <w:t xml:space="preserve">(gesamt </w:t>
      </w:r>
      <w:r w:rsidR="008D4AC3" w:rsidRPr="008D4AC3">
        <w:rPr>
          <w:rFonts w:ascii="Calibri" w:eastAsia="Calibri" w:hAnsi="Calibri" w:cs="Times New Roman"/>
          <w:sz w:val="20"/>
          <w:szCs w:val="20"/>
          <w:lang w:eastAsia="de-DE"/>
        </w:rPr>
        <w:t>28.501</w:t>
      </w:r>
      <w:r w:rsidR="00AA48DC">
        <w:rPr>
          <w:rFonts w:ascii="Calibri" w:eastAsia="Calibri" w:hAnsi="Calibri" w:cs="Times New Roman"/>
          <w:sz w:val="20"/>
          <w:szCs w:val="20"/>
          <w:lang w:eastAsia="de-DE"/>
        </w:rPr>
        <w:t xml:space="preserve"> €) </w:t>
      </w:r>
      <w:r>
        <w:rPr>
          <w:rFonts w:ascii="Calibri" w:eastAsia="Calibri" w:hAnsi="Calibri" w:cs="Times New Roman"/>
          <w:sz w:val="20"/>
          <w:szCs w:val="20"/>
          <w:lang w:eastAsia="de-DE"/>
        </w:rPr>
        <w:t xml:space="preserve">wird am </w:t>
      </w:r>
      <w:r w:rsidR="00E21BF2">
        <w:rPr>
          <w:rFonts w:ascii="Calibri" w:eastAsia="Calibri" w:hAnsi="Calibri" w:cs="Times New Roman"/>
          <w:sz w:val="20"/>
          <w:szCs w:val="20"/>
          <w:lang w:eastAsia="de-DE"/>
        </w:rPr>
        <w:t>20.03.2025 an das BMZ zurücküberwiesen.</w:t>
      </w:r>
    </w:p>
    <w:p w14:paraId="46E4275C" w14:textId="77777777" w:rsidR="0079668F" w:rsidRPr="00A92FE2" w:rsidRDefault="0079668F" w:rsidP="0014703F">
      <w:pPr>
        <w:spacing w:after="0"/>
        <w:jc w:val="both"/>
        <w:rPr>
          <w:color w:val="A6A6A6" w:themeColor="background1" w:themeShade="A6"/>
          <w:szCs w:val="18"/>
        </w:rPr>
      </w:pPr>
    </w:p>
    <w:p w14:paraId="3868266C" w14:textId="1316A84C" w:rsidR="009C6B97" w:rsidRDefault="00893C43" w:rsidP="009C6B97">
      <w:pPr>
        <w:pStyle w:val="Listenabsatz"/>
        <w:numPr>
          <w:ilvl w:val="0"/>
          <w:numId w:val="2"/>
        </w:numPr>
        <w:jc w:val="both"/>
        <w:outlineLvl w:val="0"/>
        <w:rPr>
          <w:b/>
          <w:color w:val="244061" w:themeColor="accent1" w:themeShade="80"/>
          <w:sz w:val="24"/>
          <w:szCs w:val="24"/>
        </w:rPr>
      </w:pPr>
      <w:r>
        <w:rPr>
          <w:b/>
          <w:color w:val="244061" w:themeColor="accent1" w:themeShade="80"/>
          <w:sz w:val="24"/>
          <w:szCs w:val="24"/>
        </w:rPr>
        <w:t>Sonstige Bemerkungen</w:t>
      </w:r>
    </w:p>
    <w:p w14:paraId="01F85AD5" w14:textId="353C3E5F" w:rsidR="00CA4529" w:rsidRDefault="000F4514" w:rsidP="003206ED">
      <w:pPr>
        <w:jc w:val="both"/>
        <w:outlineLvl w:val="0"/>
        <w:rPr>
          <w:rFonts w:ascii="Calibri" w:eastAsia="Calibri" w:hAnsi="Calibri" w:cs="Times New Roman"/>
          <w:sz w:val="20"/>
          <w:szCs w:val="20"/>
          <w:lang w:eastAsia="de-DE"/>
        </w:rPr>
      </w:pPr>
      <w:r w:rsidRPr="000F4514">
        <w:rPr>
          <w:rFonts w:ascii="Calibri" w:eastAsia="Calibri" w:hAnsi="Calibri" w:cs="Times New Roman"/>
          <w:sz w:val="20"/>
          <w:szCs w:val="20"/>
          <w:lang w:eastAsia="de-DE"/>
        </w:rPr>
        <w:t xml:space="preserve">Es gab </w:t>
      </w:r>
      <w:r w:rsidR="00AF3CAF">
        <w:rPr>
          <w:rFonts w:ascii="Calibri" w:eastAsia="Calibri" w:hAnsi="Calibri" w:cs="Times New Roman"/>
          <w:sz w:val="20"/>
          <w:szCs w:val="20"/>
          <w:lang w:eastAsia="de-DE"/>
        </w:rPr>
        <w:t>wenige</w:t>
      </w:r>
      <w:r w:rsidRPr="000F4514">
        <w:rPr>
          <w:rFonts w:ascii="Calibri" w:eastAsia="Calibri" w:hAnsi="Calibri" w:cs="Times New Roman"/>
          <w:sz w:val="20"/>
          <w:szCs w:val="20"/>
          <w:lang w:eastAsia="de-DE"/>
        </w:rPr>
        <w:t xml:space="preserve"> Projektausgabe, die außerhalb der Projektlaufzeit getätigt wurde. Hierbei handelt es sich um die </w:t>
      </w:r>
      <w:r w:rsidR="00AF3749">
        <w:rPr>
          <w:rFonts w:ascii="Calibri" w:eastAsia="Calibri" w:hAnsi="Calibri" w:cs="Times New Roman"/>
          <w:sz w:val="20"/>
          <w:szCs w:val="20"/>
          <w:lang w:eastAsia="de-DE"/>
        </w:rPr>
        <w:t xml:space="preserve">letzte Teilzahlung </w:t>
      </w:r>
      <w:r w:rsidRPr="000F4514">
        <w:rPr>
          <w:rFonts w:ascii="Calibri" w:eastAsia="Calibri" w:hAnsi="Calibri" w:cs="Times New Roman"/>
          <w:sz w:val="20"/>
          <w:szCs w:val="20"/>
          <w:lang w:eastAsia="de-DE"/>
        </w:rPr>
        <w:t xml:space="preserve">für die abschließende </w:t>
      </w:r>
      <w:r w:rsidR="00AF3CAF">
        <w:rPr>
          <w:rFonts w:ascii="Calibri" w:eastAsia="Calibri" w:hAnsi="Calibri" w:cs="Times New Roman"/>
          <w:sz w:val="20"/>
          <w:szCs w:val="20"/>
          <w:lang w:eastAsia="de-DE"/>
        </w:rPr>
        <w:t xml:space="preserve">Evaluation und </w:t>
      </w:r>
      <w:r w:rsidR="00FA061A">
        <w:rPr>
          <w:rFonts w:ascii="Calibri" w:eastAsia="Calibri" w:hAnsi="Calibri" w:cs="Times New Roman"/>
          <w:sz w:val="20"/>
          <w:szCs w:val="20"/>
          <w:lang w:eastAsia="de-DE"/>
        </w:rPr>
        <w:t xml:space="preserve">finale </w:t>
      </w:r>
      <w:r w:rsidRPr="000F4514">
        <w:rPr>
          <w:rFonts w:ascii="Calibri" w:eastAsia="Calibri" w:hAnsi="Calibri" w:cs="Times New Roman"/>
          <w:sz w:val="20"/>
          <w:szCs w:val="20"/>
          <w:lang w:eastAsia="de-DE"/>
        </w:rPr>
        <w:t>Buchprüfung des Projektes</w:t>
      </w:r>
      <w:r w:rsidR="00BD5730">
        <w:rPr>
          <w:rFonts w:ascii="Calibri" w:eastAsia="Calibri" w:hAnsi="Calibri" w:cs="Times New Roman"/>
          <w:sz w:val="20"/>
          <w:szCs w:val="20"/>
          <w:lang w:eastAsia="de-DE"/>
        </w:rPr>
        <w:t>.</w:t>
      </w:r>
      <w:r w:rsidR="009566AB">
        <w:rPr>
          <w:rFonts w:ascii="Calibri" w:eastAsia="Calibri" w:hAnsi="Calibri" w:cs="Times New Roman"/>
          <w:sz w:val="20"/>
          <w:szCs w:val="20"/>
          <w:lang w:eastAsia="de-DE"/>
        </w:rPr>
        <w:t xml:space="preserve"> Wir bitten darum, diese Zahlungen anzuerkennen.</w:t>
      </w:r>
    </w:p>
    <w:p w14:paraId="7524BF91" w14:textId="77777777" w:rsidR="00AA48DC" w:rsidRDefault="00AA48DC" w:rsidP="003206ED">
      <w:pPr>
        <w:jc w:val="both"/>
        <w:outlineLvl w:val="0"/>
        <w:rPr>
          <w:rFonts w:ascii="Calibri" w:eastAsia="Calibri" w:hAnsi="Calibri" w:cs="Times New Roman"/>
          <w:sz w:val="20"/>
          <w:szCs w:val="20"/>
          <w:lang w:eastAsia="de-DE"/>
        </w:rPr>
      </w:pPr>
    </w:p>
    <w:p w14:paraId="6D8A6D01" w14:textId="033B2A02" w:rsidR="00846A8A" w:rsidRPr="0081619B" w:rsidRDefault="00846A8A" w:rsidP="003206ED">
      <w:pPr>
        <w:jc w:val="both"/>
        <w:outlineLvl w:val="0"/>
        <w:rPr>
          <w:rFonts w:ascii="Calibri" w:eastAsia="Calibri" w:hAnsi="Calibri" w:cs="Times New Roman"/>
          <w:b/>
          <w:bCs/>
          <w:sz w:val="20"/>
          <w:szCs w:val="20"/>
          <w:lang w:eastAsia="de-DE"/>
        </w:rPr>
      </w:pPr>
      <w:r w:rsidRPr="0081619B">
        <w:rPr>
          <w:rFonts w:ascii="Calibri" w:eastAsia="Calibri" w:hAnsi="Calibri" w:cs="Times New Roman"/>
          <w:b/>
          <w:bCs/>
          <w:sz w:val="20"/>
          <w:szCs w:val="20"/>
          <w:lang w:eastAsia="de-DE"/>
        </w:rPr>
        <w:t>Bitte um Sollzinserlass</w:t>
      </w:r>
    </w:p>
    <w:p w14:paraId="681BAF65" w14:textId="0CED9BA1" w:rsidR="00846A8A" w:rsidRDefault="00846A8A" w:rsidP="003206ED">
      <w:pPr>
        <w:jc w:val="both"/>
        <w:outlineLvl w:val="0"/>
        <w:rPr>
          <w:rFonts w:ascii="Calibri" w:eastAsia="Calibri" w:hAnsi="Calibri" w:cs="Times New Roman"/>
          <w:sz w:val="20"/>
          <w:szCs w:val="20"/>
          <w:lang w:eastAsia="de-DE"/>
        </w:rPr>
      </w:pPr>
      <w:r>
        <w:rPr>
          <w:rFonts w:ascii="Calibri" w:eastAsia="Calibri" w:hAnsi="Calibri" w:cs="Times New Roman"/>
          <w:sz w:val="20"/>
          <w:szCs w:val="20"/>
          <w:lang w:eastAsia="de-DE"/>
        </w:rPr>
        <w:t xml:space="preserve">In den Jahren 2020-2022 </w:t>
      </w:r>
      <w:r w:rsidR="00FE5968">
        <w:rPr>
          <w:rFonts w:ascii="Calibri" w:eastAsia="Calibri" w:hAnsi="Calibri" w:cs="Times New Roman"/>
          <w:sz w:val="20"/>
          <w:szCs w:val="20"/>
          <w:lang w:eastAsia="de-DE"/>
        </w:rPr>
        <w:t xml:space="preserve">kam es zu Überschreitungen der Verausgabungsfrist und damit zu </w:t>
      </w:r>
      <w:r w:rsidR="004632D6">
        <w:rPr>
          <w:rFonts w:ascii="Calibri" w:eastAsia="Calibri" w:hAnsi="Calibri" w:cs="Times New Roman"/>
          <w:sz w:val="20"/>
          <w:szCs w:val="20"/>
          <w:lang w:eastAsia="de-DE"/>
        </w:rPr>
        <w:t xml:space="preserve">Sollzinsen von insgesamt </w:t>
      </w:r>
      <w:r w:rsidR="004632D6" w:rsidRPr="004632D6">
        <w:rPr>
          <w:rFonts w:ascii="Calibri" w:eastAsia="Calibri" w:hAnsi="Calibri" w:cs="Times New Roman"/>
          <w:sz w:val="20"/>
          <w:szCs w:val="20"/>
          <w:lang w:eastAsia="de-DE"/>
        </w:rPr>
        <w:t>12.419,28 €</w:t>
      </w:r>
      <w:r w:rsidR="004632D6">
        <w:rPr>
          <w:rFonts w:ascii="Calibri" w:eastAsia="Calibri" w:hAnsi="Calibri" w:cs="Times New Roman"/>
          <w:sz w:val="20"/>
          <w:szCs w:val="20"/>
          <w:lang w:eastAsia="de-DE"/>
        </w:rPr>
        <w:t xml:space="preserve">. Die </w:t>
      </w:r>
      <w:r w:rsidR="00C171DE">
        <w:rPr>
          <w:rFonts w:ascii="Calibri" w:eastAsia="Calibri" w:hAnsi="Calibri" w:cs="Times New Roman"/>
          <w:sz w:val="20"/>
          <w:szCs w:val="20"/>
          <w:lang w:eastAsia="de-DE"/>
        </w:rPr>
        <w:t>Corona-Pandemie hatte in Nepal zu dieser Zeit verheerende Auswirkungen auf die geplanten Projektaktivitäten. Versammlungsbeschränkungen</w:t>
      </w:r>
      <w:r w:rsidR="006B31F8">
        <w:rPr>
          <w:rFonts w:ascii="Calibri" w:eastAsia="Calibri" w:hAnsi="Calibri" w:cs="Times New Roman"/>
          <w:sz w:val="20"/>
          <w:szCs w:val="20"/>
          <w:lang w:eastAsia="de-DE"/>
        </w:rPr>
        <w:t xml:space="preserve"> und Verbote</w:t>
      </w:r>
      <w:r w:rsidR="00C171DE">
        <w:rPr>
          <w:rFonts w:ascii="Calibri" w:eastAsia="Calibri" w:hAnsi="Calibri" w:cs="Times New Roman"/>
          <w:sz w:val="20"/>
          <w:szCs w:val="20"/>
          <w:lang w:eastAsia="de-DE"/>
        </w:rPr>
        <w:t xml:space="preserve"> </w:t>
      </w:r>
      <w:r w:rsidR="000F697E">
        <w:rPr>
          <w:rFonts w:ascii="Calibri" w:eastAsia="Calibri" w:hAnsi="Calibri" w:cs="Times New Roman"/>
          <w:sz w:val="20"/>
          <w:szCs w:val="20"/>
          <w:lang w:eastAsia="de-DE"/>
        </w:rPr>
        <w:t xml:space="preserve">machten es unmöglich die geplanten Reihenuntersuchungen </w:t>
      </w:r>
      <w:r w:rsidR="00AF698E">
        <w:rPr>
          <w:rFonts w:ascii="Calibri" w:eastAsia="Calibri" w:hAnsi="Calibri" w:cs="Times New Roman"/>
          <w:sz w:val="20"/>
          <w:szCs w:val="20"/>
          <w:lang w:eastAsia="de-DE"/>
        </w:rPr>
        <w:t xml:space="preserve">und Operationscamps </w:t>
      </w:r>
      <w:r w:rsidR="000F697E">
        <w:rPr>
          <w:rFonts w:ascii="Calibri" w:eastAsia="Calibri" w:hAnsi="Calibri" w:cs="Times New Roman"/>
          <w:sz w:val="20"/>
          <w:szCs w:val="20"/>
          <w:lang w:eastAsia="de-DE"/>
        </w:rPr>
        <w:t xml:space="preserve">durchzuführen. Im Verlauf der Jahre wurde dieses gelockert, doch über weite Strecken </w:t>
      </w:r>
      <w:r w:rsidR="00677D30">
        <w:rPr>
          <w:rFonts w:ascii="Calibri" w:eastAsia="Calibri" w:hAnsi="Calibri" w:cs="Times New Roman"/>
          <w:sz w:val="20"/>
          <w:szCs w:val="20"/>
          <w:lang w:eastAsia="de-DE"/>
        </w:rPr>
        <w:t xml:space="preserve">durften nur kleine Gruppen von Menschen zusammengebracht werden. Dies verzögerte die Durchführung der Untersuchungen </w:t>
      </w:r>
      <w:r w:rsidR="00AF698E">
        <w:rPr>
          <w:rFonts w:ascii="Calibri" w:eastAsia="Calibri" w:hAnsi="Calibri" w:cs="Times New Roman"/>
          <w:sz w:val="20"/>
          <w:szCs w:val="20"/>
          <w:lang w:eastAsia="de-DE"/>
        </w:rPr>
        <w:t xml:space="preserve">und Operationen </w:t>
      </w:r>
      <w:r w:rsidR="00677D30">
        <w:rPr>
          <w:rFonts w:ascii="Calibri" w:eastAsia="Calibri" w:hAnsi="Calibri" w:cs="Times New Roman"/>
          <w:sz w:val="20"/>
          <w:szCs w:val="20"/>
          <w:lang w:eastAsia="de-DE"/>
        </w:rPr>
        <w:t>enorm.</w:t>
      </w:r>
      <w:r w:rsidR="00294092">
        <w:rPr>
          <w:rFonts w:ascii="Calibri" w:eastAsia="Calibri" w:hAnsi="Calibri" w:cs="Times New Roman"/>
          <w:sz w:val="20"/>
          <w:szCs w:val="20"/>
          <w:lang w:eastAsia="de-DE"/>
        </w:rPr>
        <w:t xml:space="preserve"> Die Schulschließungen trugen ebenfalls dazu bei, dass </w:t>
      </w:r>
      <w:r w:rsidR="006B31F8">
        <w:rPr>
          <w:rFonts w:ascii="Calibri" w:eastAsia="Calibri" w:hAnsi="Calibri" w:cs="Times New Roman"/>
          <w:sz w:val="20"/>
          <w:szCs w:val="20"/>
          <w:lang w:eastAsia="de-DE"/>
        </w:rPr>
        <w:t>viele Aktivitäten nicht stattfinden durften.</w:t>
      </w:r>
      <w:r w:rsidR="00B35AA3">
        <w:rPr>
          <w:rFonts w:ascii="Calibri" w:eastAsia="Calibri" w:hAnsi="Calibri" w:cs="Times New Roman"/>
          <w:sz w:val="20"/>
          <w:szCs w:val="20"/>
          <w:lang w:eastAsia="de-DE"/>
        </w:rPr>
        <w:t xml:space="preserve"> Die Verausgabung der Zuwendungsmittel geriet daher erheblich ins Stocken.</w:t>
      </w:r>
    </w:p>
    <w:p w14:paraId="3339C013" w14:textId="72EED983" w:rsidR="00C13270" w:rsidRDefault="00B35AA3" w:rsidP="003206ED">
      <w:pPr>
        <w:jc w:val="both"/>
        <w:outlineLvl w:val="0"/>
        <w:rPr>
          <w:rFonts w:ascii="Calibri" w:eastAsia="Calibri" w:hAnsi="Calibri" w:cs="Times New Roman"/>
          <w:sz w:val="20"/>
          <w:szCs w:val="20"/>
          <w:lang w:eastAsia="de-DE"/>
        </w:rPr>
      </w:pPr>
      <w:r>
        <w:rPr>
          <w:rFonts w:ascii="Calibri" w:eastAsia="Calibri" w:hAnsi="Calibri" w:cs="Times New Roman"/>
          <w:sz w:val="20"/>
          <w:szCs w:val="20"/>
          <w:lang w:eastAsia="de-DE"/>
        </w:rPr>
        <w:t xml:space="preserve">Von </w:t>
      </w:r>
      <w:proofErr w:type="spellStart"/>
      <w:r>
        <w:rPr>
          <w:rFonts w:ascii="Calibri" w:eastAsia="Calibri" w:hAnsi="Calibri" w:cs="Times New Roman"/>
          <w:sz w:val="20"/>
          <w:szCs w:val="20"/>
          <w:lang w:eastAsia="de-DE"/>
        </w:rPr>
        <w:t>Ende</w:t>
      </w:r>
      <w:proofErr w:type="spellEnd"/>
      <w:r>
        <w:rPr>
          <w:rFonts w:ascii="Calibri" w:eastAsia="Calibri" w:hAnsi="Calibri" w:cs="Times New Roman"/>
          <w:sz w:val="20"/>
          <w:szCs w:val="20"/>
          <w:lang w:eastAsia="de-DE"/>
        </w:rPr>
        <w:t xml:space="preserve"> </w:t>
      </w:r>
      <w:r w:rsidR="00223685">
        <w:rPr>
          <w:rFonts w:ascii="Calibri" w:eastAsia="Calibri" w:hAnsi="Calibri" w:cs="Times New Roman"/>
          <w:sz w:val="20"/>
          <w:szCs w:val="20"/>
          <w:lang w:eastAsia="de-DE"/>
        </w:rPr>
        <w:t xml:space="preserve">2022 bis Anfang 2024 </w:t>
      </w:r>
      <w:r w:rsidR="001B04B4">
        <w:rPr>
          <w:rFonts w:ascii="Calibri" w:eastAsia="Calibri" w:hAnsi="Calibri" w:cs="Times New Roman"/>
          <w:sz w:val="20"/>
          <w:szCs w:val="20"/>
          <w:lang w:eastAsia="de-DE"/>
        </w:rPr>
        <w:t>k</w:t>
      </w:r>
      <w:r w:rsidR="001B04B4" w:rsidRPr="001B04B4">
        <w:rPr>
          <w:rFonts w:ascii="Calibri" w:eastAsia="Calibri" w:hAnsi="Calibri" w:cs="Times New Roman"/>
          <w:sz w:val="20"/>
          <w:szCs w:val="20"/>
          <w:lang w:eastAsia="de-DE"/>
        </w:rPr>
        <w:t>am es zu mehreren schweren Wetterereignissen, die zu Zerstörungen von Infrastruktur und landwirtschaftlichen Flächen führten.</w:t>
      </w:r>
      <w:r w:rsidR="001B04B4">
        <w:rPr>
          <w:rFonts w:ascii="Calibri" w:eastAsia="Calibri" w:hAnsi="Calibri" w:cs="Times New Roman"/>
          <w:sz w:val="20"/>
          <w:szCs w:val="20"/>
          <w:lang w:eastAsia="de-DE"/>
        </w:rPr>
        <w:t xml:space="preserve"> Grade in der </w:t>
      </w:r>
      <w:proofErr w:type="spellStart"/>
      <w:r w:rsidR="001B04B4">
        <w:rPr>
          <w:rFonts w:ascii="Calibri" w:eastAsia="Calibri" w:hAnsi="Calibri" w:cs="Times New Roman"/>
          <w:sz w:val="20"/>
          <w:szCs w:val="20"/>
          <w:lang w:eastAsia="de-DE"/>
        </w:rPr>
        <w:t>Karnali</w:t>
      </w:r>
      <w:proofErr w:type="spellEnd"/>
      <w:r w:rsidR="001B04B4">
        <w:rPr>
          <w:rFonts w:ascii="Calibri" w:eastAsia="Calibri" w:hAnsi="Calibri" w:cs="Times New Roman"/>
          <w:sz w:val="20"/>
          <w:szCs w:val="20"/>
          <w:lang w:eastAsia="de-DE"/>
        </w:rPr>
        <w:t xml:space="preserve"> Provinz war daher die Zugänglichkeit für Projektaktivitäten nur bedingt möglich</w:t>
      </w:r>
      <w:r w:rsidR="00A01A8E">
        <w:rPr>
          <w:rFonts w:ascii="Calibri" w:eastAsia="Calibri" w:hAnsi="Calibri" w:cs="Times New Roman"/>
          <w:sz w:val="20"/>
          <w:szCs w:val="20"/>
          <w:lang w:eastAsia="de-DE"/>
        </w:rPr>
        <w:t xml:space="preserve">. Dies betraf auch die zuletzt durchgeführte Ohrenstudie, </w:t>
      </w:r>
      <w:r w:rsidR="00101FAD">
        <w:rPr>
          <w:rFonts w:ascii="Calibri" w:eastAsia="Calibri" w:hAnsi="Calibri" w:cs="Times New Roman"/>
          <w:sz w:val="20"/>
          <w:szCs w:val="20"/>
          <w:lang w:eastAsia="de-DE"/>
        </w:rPr>
        <w:t xml:space="preserve">bei der die Zugänglichkeit zu Menschen in abgelegenen Gebieten erheblich erschwert war. </w:t>
      </w:r>
      <w:r w:rsidR="00383AC9">
        <w:rPr>
          <w:rFonts w:ascii="Calibri" w:eastAsia="Calibri" w:hAnsi="Calibri" w:cs="Times New Roman"/>
          <w:sz w:val="20"/>
          <w:szCs w:val="20"/>
          <w:lang w:eastAsia="de-DE"/>
        </w:rPr>
        <w:t xml:space="preserve">Zudem kam es zu Abstimmungsverzögerungen mit der </w:t>
      </w:r>
      <w:r w:rsidR="00835506">
        <w:rPr>
          <w:rFonts w:ascii="Calibri" w:eastAsia="Calibri" w:hAnsi="Calibri" w:cs="Times New Roman"/>
          <w:sz w:val="20"/>
          <w:szCs w:val="20"/>
          <w:lang w:eastAsia="de-DE"/>
        </w:rPr>
        <w:t xml:space="preserve">Lokalregierung zum in Bezug auf die Anbringung von Informationstafeln sowie bei der Bearbeitung der Augengesundheitsstrategie. </w:t>
      </w:r>
      <w:r w:rsidR="00C13270">
        <w:rPr>
          <w:rFonts w:ascii="Calibri" w:eastAsia="Calibri" w:hAnsi="Calibri" w:cs="Times New Roman"/>
          <w:sz w:val="20"/>
          <w:szCs w:val="20"/>
          <w:lang w:eastAsia="de-DE"/>
        </w:rPr>
        <w:t xml:space="preserve">In dieser Zeit entstanden Sollzinsen in der Höhe von </w:t>
      </w:r>
      <w:r w:rsidR="00C13270" w:rsidRPr="00C13270">
        <w:rPr>
          <w:rFonts w:ascii="Calibri" w:eastAsia="Calibri" w:hAnsi="Calibri" w:cs="Times New Roman"/>
          <w:sz w:val="20"/>
          <w:szCs w:val="20"/>
          <w:lang w:eastAsia="de-DE"/>
        </w:rPr>
        <w:t>2.082,70 €</w:t>
      </w:r>
      <w:r w:rsidR="00C13270">
        <w:rPr>
          <w:rFonts w:ascii="Calibri" w:eastAsia="Calibri" w:hAnsi="Calibri" w:cs="Times New Roman"/>
          <w:sz w:val="20"/>
          <w:szCs w:val="20"/>
          <w:lang w:eastAsia="de-DE"/>
        </w:rPr>
        <w:t>.</w:t>
      </w:r>
    </w:p>
    <w:p w14:paraId="0202D1F7" w14:textId="7FD9F4FE" w:rsidR="009566AB" w:rsidRDefault="00A92CEB" w:rsidP="003206ED">
      <w:pPr>
        <w:jc w:val="both"/>
        <w:outlineLvl w:val="0"/>
        <w:rPr>
          <w:rFonts w:ascii="Calibri" w:eastAsia="Calibri" w:hAnsi="Calibri" w:cs="Times New Roman"/>
          <w:sz w:val="20"/>
          <w:szCs w:val="20"/>
          <w:lang w:eastAsia="de-DE"/>
        </w:rPr>
      </w:pPr>
      <w:r w:rsidRPr="00A92CEB">
        <w:rPr>
          <w:rFonts w:ascii="Calibri" w:eastAsia="Calibri" w:hAnsi="Calibri" w:cs="Times New Roman"/>
          <w:sz w:val="20"/>
          <w:szCs w:val="20"/>
          <w:lang w:eastAsia="de-DE"/>
        </w:rPr>
        <w:t>Da dies triftige, unvorhersehbare Gründe sind, die vo</w:t>
      </w:r>
      <w:r w:rsidR="00C13270">
        <w:rPr>
          <w:rFonts w:ascii="Calibri" w:eastAsia="Calibri" w:hAnsi="Calibri" w:cs="Times New Roman"/>
          <w:sz w:val="20"/>
          <w:szCs w:val="20"/>
          <w:lang w:eastAsia="de-DE"/>
        </w:rPr>
        <w:t xml:space="preserve">m lokalen Projektträger </w:t>
      </w:r>
      <w:proofErr w:type="spellStart"/>
      <w:r w:rsidR="00C13270">
        <w:rPr>
          <w:rFonts w:ascii="Calibri" w:eastAsia="Calibri" w:hAnsi="Calibri" w:cs="Times New Roman"/>
          <w:sz w:val="20"/>
          <w:szCs w:val="20"/>
          <w:lang w:eastAsia="de-DE"/>
        </w:rPr>
        <w:t>NNJS</w:t>
      </w:r>
      <w:proofErr w:type="spellEnd"/>
      <w:r w:rsidRPr="00A92CEB">
        <w:rPr>
          <w:rFonts w:ascii="Calibri" w:eastAsia="Calibri" w:hAnsi="Calibri" w:cs="Times New Roman"/>
          <w:sz w:val="20"/>
          <w:szCs w:val="20"/>
          <w:lang w:eastAsia="de-DE"/>
        </w:rPr>
        <w:t xml:space="preserve"> nicht beeinflusst werden konnten, bitten wir nachträglich um einen Erlass der Sollzinsen</w:t>
      </w:r>
      <w:r w:rsidR="003E6D33">
        <w:rPr>
          <w:rFonts w:ascii="Calibri" w:eastAsia="Calibri" w:hAnsi="Calibri" w:cs="Times New Roman"/>
          <w:sz w:val="20"/>
          <w:szCs w:val="20"/>
          <w:lang w:eastAsia="de-DE"/>
        </w:rPr>
        <w:t xml:space="preserve"> </w:t>
      </w:r>
      <w:r w:rsidR="00D066B0">
        <w:rPr>
          <w:rFonts w:ascii="Calibri" w:eastAsia="Calibri" w:hAnsi="Calibri" w:cs="Times New Roman"/>
          <w:sz w:val="20"/>
          <w:szCs w:val="20"/>
          <w:lang w:eastAsia="de-DE"/>
        </w:rPr>
        <w:t xml:space="preserve">in Höhe von </w:t>
      </w:r>
      <w:r w:rsidR="00D066B0" w:rsidRPr="00D066B0">
        <w:rPr>
          <w:rFonts w:ascii="Calibri" w:eastAsia="Calibri" w:hAnsi="Calibri" w:cs="Times New Roman"/>
          <w:sz w:val="20"/>
          <w:szCs w:val="20"/>
          <w:lang w:eastAsia="de-DE"/>
        </w:rPr>
        <w:t>14.501,98</w:t>
      </w:r>
      <w:r w:rsidR="00D066B0">
        <w:rPr>
          <w:rFonts w:ascii="Calibri" w:eastAsia="Calibri" w:hAnsi="Calibri" w:cs="Times New Roman"/>
          <w:sz w:val="20"/>
          <w:szCs w:val="20"/>
          <w:lang w:eastAsia="de-DE"/>
        </w:rPr>
        <w:t xml:space="preserve"> €</w:t>
      </w:r>
      <w:r w:rsidRPr="00A92CEB">
        <w:rPr>
          <w:rFonts w:ascii="Calibri" w:eastAsia="Calibri" w:hAnsi="Calibri" w:cs="Times New Roman"/>
          <w:sz w:val="20"/>
          <w:szCs w:val="20"/>
          <w:lang w:eastAsia="de-DE"/>
        </w:rPr>
        <w:t>.</w:t>
      </w:r>
    </w:p>
    <w:p w14:paraId="4D9C38FA" w14:textId="17652403" w:rsidR="00445DF1" w:rsidRDefault="00445DF1" w:rsidP="003206ED">
      <w:pPr>
        <w:jc w:val="both"/>
        <w:outlineLvl w:val="0"/>
        <w:rPr>
          <w:rFonts w:ascii="Calibri" w:eastAsia="Calibri" w:hAnsi="Calibri" w:cs="Times New Roman"/>
          <w:sz w:val="20"/>
          <w:szCs w:val="20"/>
          <w:lang w:eastAsia="de-DE"/>
        </w:rPr>
      </w:pPr>
      <w:r>
        <w:rPr>
          <w:rFonts w:ascii="Calibri" w:eastAsia="Calibri" w:hAnsi="Calibri" w:cs="Times New Roman"/>
          <w:sz w:val="20"/>
          <w:szCs w:val="20"/>
          <w:lang w:eastAsia="de-DE"/>
        </w:rPr>
        <w:t xml:space="preserve">Die Sollzinsen aus den Jahren 2024 und 2025 in Höhe von </w:t>
      </w:r>
      <w:r w:rsidRPr="00445DF1">
        <w:rPr>
          <w:rFonts w:ascii="Calibri" w:eastAsia="Calibri" w:hAnsi="Calibri" w:cs="Times New Roman"/>
          <w:sz w:val="20"/>
          <w:szCs w:val="20"/>
          <w:lang w:eastAsia="de-DE"/>
        </w:rPr>
        <w:t>2.633,05</w:t>
      </w:r>
      <w:r w:rsidR="00D175AF">
        <w:rPr>
          <w:rFonts w:ascii="Calibri" w:eastAsia="Calibri" w:hAnsi="Calibri" w:cs="Times New Roman"/>
          <w:sz w:val="20"/>
          <w:szCs w:val="20"/>
          <w:lang w:eastAsia="de-DE"/>
        </w:rPr>
        <w:t xml:space="preserve"> € werden von CBM gezahlt.</w:t>
      </w:r>
    </w:p>
    <w:p w14:paraId="0A24FB2B" w14:textId="28AA902D" w:rsidR="00701FEA" w:rsidRDefault="00C258C3" w:rsidP="0014703F">
      <w:pPr>
        <w:pStyle w:val="Listenabsatz"/>
        <w:numPr>
          <w:ilvl w:val="0"/>
          <w:numId w:val="2"/>
        </w:numPr>
        <w:jc w:val="both"/>
        <w:outlineLvl w:val="0"/>
        <w:rPr>
          <w:b/>
          <w:color w:val="244061" w:themeColor="accent1" w:themeShade="80"/>
          <w:sz w:val="24"/>
          <w:szCs w:val="24"/>
        </w:rPr>
      </w:pPr>
      <w:r w:rsidRPr="006A313B">
        <w:rPr>
          <w:b/>
          <w:color w:val="244061" w:themeColor="accent1" w:themeShade="80"/>
          <w:sz w:val="24"/>
          <w:szCs w:val="24"/>
        </w:rPr>
        <w:t xml:space="preserve">Angaben zu Indikatoren im Rahmen des Monitoring- und Evaluierungssystems von Engagement Global </w:t>
      </w:r>
    </w:p>
    <w:p w14:paraId="02FEE6EB" w14:textId="5EFA8C2D" w:rsidR="00C258C3" w:rsidRPr="00EA6BDE" w:rsidRDefault="00C258C3" w:rsidP="0014703F">
      <w:pPr>
        <w:pStyle w:val="Listenabsatz"/>
        <w:numPr>
          <w:ilvl w:val="1"/>
          <w:numId w:val="2"/>
        </w:numPr>
        <w:jc w:val="both"/>
        <w:outlineLvl w:val="1"/>
        <w:rPr>
          <w:b/>
          <w:color w:val="244061" w:themeColor="accent1" w:themeShade="80"/>
          <w:sz w:val="24"/>
          <w:szCs w:val="24"/>
        </w:rPr>
      </w:pPr>
      <w:r w:rsidRPr="00701FEA">
        <w:rPr>
          <w:b/>
          <w:color w:val="244061" w:themeColor="accent1" w:themeShade="80"/>
          <w:sz w:val="24"/>
          <w:szCs w:val="24"/>
        </w:rPr>
        <w:t xml:space="preserve">Selbsteinschätzung </w:t>
      </w:r>
      <w:r w:rsidRPr="00EA6BDE">
        <w:rPr>
          <w:b/>
          <w:color w:val="244061" w:themeColor="accent1" w:themeShade="80"/>
          <w:sz w:val="24"/>
          <w:szCs w:val="24"/>
        </w:rPr>
        <w:t xml:space="preserve">zur Zielerreichung </w:t>
      </w:r>
      <w:r w:rsidRPr="00EA6BDE">
        <w:rPr>
          <w:color w:val="244061" w:themeColor="accent1" w:themeShade="80"/>
          <w:sz w:val="24"/>
          <w:szCs w:val="24"/>
        </w:rPr>
        <w:t>(EG-Indikator: „Zielerreichungsgrad von Auslandsprojekten“)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6"/>
        <w:gridCol w:w="1526"/>
        <w:gridCol w:w="1554"/>
        <w:gridCol w:w="1559"/>
        <w:gridCol w:w="1496"/>
        <w:gridCol w:w="1560"/>
      </w:tblGrid>
      <w:tr w:rsidR="0040127D" w:rsidRPr="003F2CEB" w14:paraId="12FAD262" w14:textId="77777777" w:rsidTr="009D4589">
        <w:tc>
          <w:tcPr>
            <w:tcW w:w="2046" w:type="dxa"/>
            <w:vMerge w:val="restart"/>
            <w:shd w:val="clear" w:color="auto" w:fill="F2F2F2" w:themeFill="background1" w:themeFillShade="F2"/>
            <w:vAlign w:val="center"/>
          </w:tcPr>
          <w:p w14:paraId="60670958" w14:textId="77777777" w:rsidR="009D4589" w:rsidRDefault="009D4589" w:rsidP="0014703F">
            <w:pPr>
              <w:spacing w:after="0" w:line="264" w:lineRule="auto"/>
              <w:jc w:val="both"/>
            </w:pPr>
          </w:p>
          <w:p w14:paraId="75C7E8A6" w14:textId="77777777" w:rsidR="009D4589" w:rsidRDefault="009D4589" w:rsidP="0014703F">
            <w:pPr>
              <w:spacing w:after="0" w:line="264" w:lineRule="auto"/>
              <w:jc w:val="both"/>
            </w:pPr>
          </w:p>
          <w:p w14:paraId="47ECE3A0" w14:textId="1FA771DD" w:rsidR="0040127D" w:rsidRDefault="0040127D" w:rsidP="0014703F">
            <w:pPr>
              <w:spacing w:after="0" w:line="264" w:lineRule="auto"/>
              <w:jc w:val="both"/>
              <w:rPr>
                <w:b/>
              </w:rPr>
            </w:pPr>
            <w:r w:rsidRPr="006619D2">
              <w:t xml:space="preserve">Das Projektziel wurde wie folgt erreicht </w:t>
            </w:r>
            <w:r w:rsidRPr="006619D2">
              <w:rPr>
                <w:b/>
              </w:rPr>
              <w:t>[bitte ankreuzen]:</w:t>
            </w:r>
          </w:p>
          <w:p w14:paraId="6C1B1AD1" w14:textId="300EEED3" w:rsidR="009D4589" w:rsidRPr="006619D2" w:rsidRDefault="009D4589" w:rsidP="0014703F">
            <w:pPr>
              <w:spacing w:after="0" w:line="264" w:lineRule="auto"/>
              <w:jc w:val="both"/>
            </w:pPr>
          </w:p>
        </w:tc>
        <w:tc>
          <w:tcPr>
            <w:tcW w:w="1526" w:type="dxa"/>
            <w:shd w:val="clear" w:color="auto" w:fill="4F81BD" w:themeFill="accent1"/>
          </w:tcPr>
          <w:p w14:paraId="66E0C1A7" w14:textId="77777777" w:rsidR="0040127D" w:rsidRPr="003F2CEB" w:rsidRDefault="0040127D" w:rsidP="0014703F">
            <w:pPr>
              <w:spacing w:after="0" w:line="264" w:lineRule="auto"/>
              <w:jc w:val="both"/>
              <w:rPr>
                <w:b/>
              </w:rPr>
            </w:pPr>
            <w:r w:rsidRPr="003F2CEB">
              <w:rPr>
                <w:b/>
              </w:rPr>
              <w:t>Vollständig</w:t>
            </w:r>
          </w:p>
        </w:tc>
        <w:tc>
          <w:tcPr>
            <w:tcW w:w="1554" w:type="dxa"/>
            <w:shd w:val="clear" w:color="auto" w:fill="95B3D7" w:themeFill="accent1" w:themeFillTint="99"/>
          </w:tcPr>
          <w:p w14:paraId="57721C14" w14:textId="77777777" w:rsidR="0040127D" w:rsidRPr="003F2CEB" w:rsidRDefault="0040127D" w:rsidP="0014703F">
            <w:pPr>
              <w:spacing w:after="0" w:line="264" w:lineRule="auto"/>
              <w:jc w:val="both"/>
              <w:rPr>
                <w:b/>
              </w:rPr>
            </w:pPr>
            <w:r w:rsidRPr="003F2CEB">
              <w:rPr>
                <w:b/>
              </w:rPr>
              <w:t>Überwiegend</w:t>
            </w:r>
          </w:p>
        </w:tc>
        <w:tc>
          <w:tcPr>
            <w:tcW w:w="1559" w:type="dxa"/>
            <w:shd w:val="clear" w:color="auto" w:fill="B8CCE4" w:themeFill="accent1" w:themeFillTint="66"/>
          </w:tcPr>
          <w:p w14:paraId="4FAC0122" w14:textId="77777777" w:rsidR="0040127D" w:rsidRPr="003F2CEB" w:rsidRDefault="0040127D" w:rsidP="0014703F">
            <w:pPr>
              <w:spacing w:after="0" w:line="264" w:lineRule="auto"/>
              <w:jc w:val="both"/>
              <w:rPr>
                <w:b/>
              </w:rPr>
            </w:pPr>
            <w:r w:rsidRPr="003F2CEB">
              <w:rPr>
                <w:b/>
              </w:rPr>
              <w:t>Teilweise</w:t>
            </w:r>
          </w:p>
        </w:tc>
        <w:tc>
          <w:tcPr>
            <w:tcW w:w="1496" w:type="dxa"/>
            <w:shd w:val="clear" w:color="auto" w:fill="DBE5F1" w:themeFill="accent1" w:themeFillTint="33"/>
          </w:tcPr>
          <w:p w14:paraId="14B45556" w14:textId="77777777" w:rsidR="0040127D" w:rsidRPr="0040127D" w:rsidRDefault="0040127D" w:rsidP="0014703F">
            <w:pPr>
              <w:spacing w:after="0" w:line="264" w:lineRule="auto"/>
              <w:jc w:val="both"/>
              <w:rPr>
                <w:b/>
              </w:rPr>
            </w:pPr>
            <w:r w:rsidRPr="0040127D">
              <w:rPr>
                <w:b/>
              </w:rPr>
              <w:t>In eher geringem Umfang</w:t>
            </w:r>
          </w:p>
        </w:tc>
        <w:tc>
          <w:tcPr>
            <w:tcW w:w="1560" w:type="dxa"/>
            <w:shd w:val="clear" w:color="auto" w:fill="auto"/>
          </w:tcPr>
          <w:p w14:paraId="653A91DE" w14:textId="77777777" w:rsidR="0040127D" w:rsidRPr="003F2CEB" w:rsidRDefault="0040127D" w:rsidP="0014703F">
            <w:pPr>
              <w:spacing w:after="0" w:line="264" w:lineRule="auto"/>
              <w:jc w:val="both"/>
            </w:pPr>
            <w:r w:rsidRPr="0040127D">
              <w:rPr>
                <w:b/>
              </w:rPr>
              <w:t>Nicht</w:t>
            </w:r>
            <w:r w:rsidRPr="003F2CEB">
              <w:t xml:space="preserve"> </w:t>
            </w:r>
            <w:r w:rsidRPr="003F2CEB">
              <w:rPr>
                <w:b/>
              </w:rPr>
              <w:t>erreicht</w:t>
            </w:r>
          </w:p>
        </w:tc>
      </w:tr>
      <w:tr w:rsidR="0040127D" w:rsidRPr="003F2CEB" w14:paraId="0A709697" w14:textId="77777777" w:rsidTr="006619D2">
        <w:trPr>
          <w:trHeight w:val="798"/>
        </w:trPr>
        <w:tc>
          <w:tcPr>
            <w:tcW w:w="2046" w:type="dxa"/>
            <w:vMerge/>
            <w:shd w:val="clear" w:color="auto" w:fill="F2F2F2" w:themeFill="background1" w:themeFillShade="F2"/>
          </w:tcPr>
          <w:p w14:paraId="3B65C02F" w14:textId="77777777" w:rsidR="0040127D" w:rsidRPr="003F2CEB" w:rsidRDefault="0040127D" w:rsidP="0014703F">
            <w:pPr>
              <w:spacing w:after="0" w:line="264" w:lineRule="auto"/>
              <w:jc w:val="both"/>
            </w:pPr>
          </w:p>
        </w:tc>
        <w:tc>
          <w:tcPr>
            <w:tcW w:w="1526" w:type="dxa"/>
            <w:shd w:val="clear" w:color="auto" w:fill="auto"/>
            <w:vAlign w:val="center"/>
          </w:tcPr>
          <w:p w14:paraId="498AA8F6" w14:textId="654AFFD6" w:rsidR="0040127D" w:rsidRPr="0040127D" w:rsidRDefault="00EC037E" w:rsidP="00EC037E">
            <w:pPr>
              <w:spacing w:after="0" w:line="264" w:lineRule="auto"/>
              <w:jc w:val="center"/>
              <w:rPr>
                <w:b/>
                <w:sz w:val="24"/>
              </w:rPr>
            </w:pPr>
            <w:r>
              <w:rPr>
                <w:b/>
                <w:sz w:val="24"/>
              </w:rPr>
              <w:t>x</w:t>
            </w:r>
          </w:p>
        </w:tc>
        <w:tc>
          <w:tcPr>
            <w:tcW w:w="1554" w:type="dxa"/>
            <w:shd w:val="clear" w:color="auto" w:fill="auto"/>
            <w:vAlign w:val="center"/>
          </w:tcPr>
          <w:p w14:paraId="6780AFB2" w14:textId="77777777" w:rsidR="0040127D" w:rsidRPr="0040127D" w:rsidRDefault="0040127D" w:rsidP="0014703F">
            <w:pPr>
              <w:spacing w:after="0" w:line="264" w:lineRule="auto"/>
              <w:jc w:val="both"/>
              <w:rPr>
                <w:b/>
                <w:sz w:val="24"/>
              </w:rPr>
            </w:pPr>
          </w:p>
        </w:tc>
        <w:tc>
          <w:tcPr>
            <w:tcW w:w="1559" w:type="dxa"/>
            <w:shd w:val="clear" w:color="auto" w:fill="auto"/>
            <w:vAlign w:val="center"/>
          </w:tcPr>
          <w:p w14:paraId="4EE120B2" w14:textId="77777777" w:rsidR="0040127D" w:rsidRPr="0040127D" w:rsidRDefault="0040127D" w:rsidP="0014703F">
            <w:pPr>
              <w:spacing w:after="0" w:line="264" w:lineRule="auto"/>
              <w:jc w:val="both"/>
              <w:rPr>
                <w:b/>
                <w:sz w:val="24"/>
              </w:rPr>
            </w:pPr>
          </w:p>
        </w:tc>
        <w:tc>
          <w:tcPr>
            <w:tcW w:w="1496" w:type="dxa"/>
            <w:shd w:val="clear" w:color="auto" w:fill="auto"/>
            <w:vAlign w:val="center"/>
          </w:tcPr>
          <w:p w14:paraId="2DB02F1F" w14:textId="77777777" w:rsidR="0040127D" w:rsidRPr="0040127D" w:rsidRDefault="0040127D" w:rsidP="0014703F">
            <w:pPr>
              <w:spacing w:after="0" w:line="264" w:lineRule="auto"/>
              <w:jc w:val="both"/>
              <w:rPr>
                <w:b/>
                <w:sz w:val="24"/>
              </w:rPr>
            </w:pPr>
          </w:p>
        </w:tc>
        <w:tc>
          <w:tcPr>
            <w:tcW w:w="1560" w:type="dxa"/>
            <w:shd w:val="clear" w:color="auto" w:fill="auto"/>
            <w:vAlign w:val="center"/>
          </w:tcPr>
          <w:p w14:paraId="5B0C85A9" w14:textId="77777777" w:rsidR="0040127D" w:rsidRPr="0040127D" w:rsidRDefault="0040127D" w:rsidP="0014703F">
            <w:pPr>
              <w:spacing w:after="0" w:line="264" w:lineRule="auto"/>
              <w:jc w:val="both"/>
              <w:rPr>
                <w:b/>
                <w:sz w:val="24"/>
              </w:rPr>
            </w:pPr>
          </w:p>
        </w:tc>
      </w:tr>
    </w:tbl>
    <w:p w14:paraId="0F44F296" w14:textId="660FECCF" w:rsidR="0040127D" w:rsidRDefault="0040127D" w:rsidP="0014703F">
      <w:pPr>
        <w:jc w:val="both"/>
      </w:pPr>
    </w:p>
    <w:p w14:paraId="07ED74CE" w14:textId="7D8AB9E1" w:rsidR="00C258C3" w:rsidRPr="00EA6BDE" w:rsidRDefault="00C258C3" w:rsidP="0014703F">
      <w:pPr>
        <w:pStyle w:val="Listenabsatz"/>
        <w:numPr>
          <w:ilvl w:val="1"/>
          <w:numId w:val="2"/>
        </w:numPr>
        <w:jc w:val="both"/>
        <w:outlineLvl w:val="1"/>
        <w:rPr>
          <w:b/>
          <w:color w:val="244061" w:themeColor="accent1" w:themeShade="80"/>
          <w:sz w:val="24"/>
          <w:szCs w:val="24"/>
        </w:rPr>
      </w:pPr>
      <w:r w:rsidRPr="00EA6BDE">
        <w:rPr>
          <w:b/>
          <w:color w:val="244061" w:themeColor="accent1" w:themeShade="80"/>
          <w:sz w:val="24"/>
          <w:szCs w:val="24"/>
        </w:rPr>
        <w:t xml:space="preserve">Selbsteinschätzung zur Nachhaltigkeit </w:t>
      </w:r>
      <w:r w:rsidR="00701FEA">
        <w:rPr>
          <w:color w:val="244061" w:themeColor="accent1" w:themeShade="80"/>
          <w:sz w:val="24"/>
          <w:szCs w:val="24"/>
        </w:rPr>
        <w:t>(EG-Indikator: „Anzahl/</w:t>
      </w:r>
      <w:r w:rsidRPr="00EA6BDE">
        <w:rPr>
          <w:color w:val="244061" w:themeColor="accent1" w:themeShade="80"/>
          <w:sz w:val="24"/>
          <w:szCs w:val="24"/>
        </w:rPr>
        <w:t xml:space="preserve">Anteil der Projekte, die Voraussetzungen für die Nachhaltigkeit der Projektwirkungen plausibel darlegen können“; siehe auch Punkt </w:t>
      </w:r>
      <w:r w:rsidR="00AB7E1F" w:rsidRPr="00701FEA">
        <w:rPr>
          <w:color w:val="244061" w:themeColor="accent1" w:themeShade="80"/>
          <w:sz w:val="24"/>
          <w:szCs w:val="24"/>
        </w:rPr>
        <w:t>5</w:t>
      </w:r>
      <w:r w:rsidRPr="00EA6BDE">
        <w:rPr>
          <w:color w:val="244061" w:themeColor="accent1" w:themeShade="80"/>
          <w:sz w:val="24"/>
          <w:szCs w:val="24"/>
        </w:rPr>
        <w:t>.</w:t>
      </w:r>
      <w:r w:rsidR="00AB7E1F" w:rsidRPr="00701FEA">
        <w:rPr>
          <w:color w:val="244061" w:themeColor="accent1" w:themeShade="80"/>
          <w:sz w:val="24"/>
          <w:szCs w:val="24"/>
        </w:rPr>
        <w:t>1</w:t>
      </w:r>
      <w:r w:rsidRPr="00EA6BDE">
        <w:rPr>
          <w:color w:val="244061" w:themeColor="accent1" w:themeShade="80"/>
          <w:sz w:val="24"/>
          <w:szCs w:val="24"/>
        </w:rPr>
        <w:t>)</w:t>
      </w:r>
    </w:p>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4706"/>
        <w:gridCol w:w="1068"/>
        <w:gridCol w:w="1060"/>
        <w:gridCol w:w="1028"/>
        <w:gridCol w:w="1028"/>
      </w:tblGrid>
      <w:tr w:rsidR="0040127D" w:rsidRPr="003F2CEB" w14:paraId="33D541D4" w14:textId="77777777" w:rsidTr="006619D2">
        <w:trPr>
          <w:gridBefore w:val="2"/>
          <w:wBefore w:w="5699" w:type="dxa"/>
          <w:trHeight w:val="360"/>
        </w:trPr>
        <w:tc>
          <w:tcPr>
            <w:tcW w:w="1068" w:type="dxa"/>
            <w:shd w:val="clear" w:color="auto" w:fill="DBE5F1" w:themeFill="accent1" w:themeFillTint="33"/>
          </w:tcPr>
          <w:p w14:paraId="26DF519E" w14:textId="77777777" w:rsidR="0040127D" w:rsidRPr="003F2CEB" w:rsidRDefault="0040127D" w:rsidP="0014703F">
            <w:pPr>
              <w:spacing w:after="0" w:line="264" w:lineRule="auto"/>
              <w:jc w:val="both"/>
              <w:rPr>
                <w:b/>
              </w:rPr>
            </w:pPr>
            <w:r w:rsidRPr="003F2CEB">
              <w:rPr>
                <w:b/>
              </w:rPr>
              <w:t>Strukturell</w:t>
            </w:r>
          </w:p>
          <w:p w14:paraId="604AD092" w14:textId="4216ADC3" w:rsidR="0040127D" w:rsidRPr="003F2CEB" w:rsidRDefault="00B12D70" w:rsidP="0014703F">
            <w:pPr>
              <w:spacing w:after="0" w:line="264" w:lineRule="auto"/>
              <w:jc w:val="both"/>
              <w:rPr>
                <w:color w:val="C00000"/>
                <w:sz w:val="18"/>
                <w:szCs w:val="18"/>
              </w:rPr>
            </w:pPr>
            <w:r>
              <w:rPr>
                <w:sz w:val="18"/>
                <w:szCs w:val="18"/>
              </w:rPr>
              <w:t>(</w:t>
            </w:r>
            <w:r w:rsidR="006619D2" w:rsidRPr="00B12D70">
              <w:rPr>
                <w:sz w:val="18"/>
                <w:szCs w:val="18"/>
              </w:rPr>
              <w:t>wenn relevant</w:t>
            </w:r>
            <w:r>
              <w:rPr>
                <w:sz w:val="18"/>
                <w:szCs w:val="18"/>
              </w:rPr>
              <w:t>)</w:t>
            </w:r>
          </w:p>
        </w:tc>
        <w:tc>
          <w:tcPr>
            <w:tcW w:w="1060" w:type="dxa"/>
            <w:shd w:val="clear" w:color="auto" w:fill="B8CCE4" w:themeFill="accent1" w:themeFillTint="66"/>
          </w:tcPr>
          <w:p w14:paraId="31305764" w14:textId="77777777" w:rsidR="0040127D" w:rsidRPr="003F2CEB" w:rsidRDefault="0040127D" w:rsidP="0014703F">
            <w:pPr>
              <w:spacing w:after="0" w:line="240" w:lineRule="auto"/>
              <w:jc w:val="both"/>
              <w:rPr>
                <w:b/>
              </w:rPr>
            </w:pPr>
            <w:r w:rsidRPr="003F2CEB">
              <w:rPr>
                <w:b/>
              </w:rPr>
              <w:t>Ökonomisch</w:t>
            </w:r>
          </w:p>
          <w:p w14:paraId="269575D1" w14:textId="641E72FC" w:rsidR="0040127D" w:rsidRPr="003F2CEB" w:rsidRDefault="00B12D70" w:rsidP="0014703F">
            <w:pPr>
              <w:spacing w:after="0" w:line="240" w:lineRule="auto"/>
              <w:jc w:val="both"/>
              <w:rPr>
                <w:b/>
              </w:rPr>
            </w:pPr>
            <w:r w:rsidRPr="00B12D70">
              <w:rPr>
                <w:sz w:val="18"/>
                <w:szCs w:val="18"/>
              </w:rPr>
              <w:t>(</w:t>
            </w:r>
            <w:r w:rsidR="006619D2" w:rsidRPr="00B12D70">
              <w:rPr>
                <w:sz w:val="18"/>
                <w:szCs w:val="18"/>
              </w:rPr>
              <w:t>wenn relevant</w:t>
            </w:r>
            <w:r w:rsidRPr="00B12D70">
              <w:rPr>
                <w:sz w:val="18"/>
                <w:szCs w:val="18"/>
              </w:rPr>
              <w:t>)</w:t>
            </w:r>
          </w:p>
        </w:tc>
        <w:tc>
          <w:tcPr>
            <w:tcW w:w="1028" w:type="dxa"/>
            <w:shd w:val="clear" w:color="auto" w:fill="95B3D7" w:themeFill="accent1" w:themeFillTint="99"/>
          </w:tcPr>
          <w:p w14:paraId="4ED58846" w14:textId="77777777" w:rsidR="0040127D" w:rsidRPr="003F2CEB" w:rsidRDefault="0040127D" w:rsidP="0014703F">
            <w:pPr>
              <w:spacing w:after="0" w:line="240" w:lineRule="auto"/>
              <w:jc w:val="both"/>
              <w:rPr>
                <w:b/>
              </w:rPr>
            </w:pPr>
            <w:r w:rsidRPr="003F2CEB">
              <w:rPr>
                <w:b/>
              </w:rPr>
              <w:t>Sozial</w:t>
            </w:r>
          </w:p>
          <w:p w14:paraId="70D9CBDB" w14:textId="3CEAAF2D" w:rsidR="0040127D" w:rsidRPr="003F2CEB" w:rsidRDefault="00B12D70" w:rsidP="0014703F">
            <w:pPr>
              <w:spacing w:after="0" w:line="240" w:lineRule="auto"/>
              <w:jc w:val="both"/>
              <w:rPr>
                <w:b/>
              </w:rPr>
            </w:pPr>
            <w:r>
              <w:rPr>
                <w:sz w:val="18"/>
                <w:szCs w:val="18"/>
              </w:rPr>
              <w:t>(</w:t>
            </w:r>
            <w:r w:rsidR="006619D2" w:rsidRPr="00B12D70">
              <w:rPr>
                <w:sz w:val="18"/>
                <w:szCs w:val="18"/>
              </w:rPr>
              <w:t>wenn relevant</w:t>
            </w:r>
            <w:r>
              <w:rPr>
                <w:sz w:val="18"/>
                <w:szCs w:val="18"/>
              </w:rPr>
              <w:t>)</w:t>
            </w:r>
          </w:p>
        </w:tc>
        <w:tc>
          <w:tcPr>
            <w:tcW w:w="1028" w:type="dxa"/>
            <w:shd w:val="clear" w:color="auto" w:fill="4F81BD" w:themeFill="accent1"/>
          </w:tcPr>
          <w:p w14:paraId="6E6E7602" w14:textId="77777777" w:rsidR="0040127D" w:rsidRPr="003F2CEB" w:rsidRDefault="0040127D" w:rsidP="0014703F">
            <w:pPr>
              <w:spacing w:after="0" w:line="240" w:lineRule="auto"/>
              <w:jc w:val="both"/>
              <w:rPr>
                <w:b/>
              </w:rPr>
            </w:pPr>
            <w:r w:rsidRPr="003F2CEB">
              <w:rPr>
                <w:b/>
              </w:rPr>
              <w:t>Ökologisch</w:t>
            </w:r>
          </w:p>
          <w:p w14:paraId="1EB228D5" w14:textId="4F00BFC2" w:rsidR="0040127D" w:rsidRPr="003F2CEB" w:rsidRDefault="00B12D70" w:rsidP="0014703F">
            <w:pPr>
              <w:spacing w:after="0" w:line="240" w:lineRule="auto"/>
              <w:jc w:val="both"/>
              <w:rPr>
                <w:b/>
              </w:rPr>
            </w:pPr>
            <w:r>
              <w:rPr>
                <w:sz w:val="18"/>
                <w:szCs w:val="18"/>
              </w:rPr>
              <w:t>(</w:t>
            </w:r>
            <w:r w:rsidR="006619D2" w:rsidRPr="00B12D70">
              <w:rPr>
                <w:sz w:val="18"/>
                <w:szCs w:val="18"/>
              </w:rPr>
              <w:t>wenn relevant</w:t>
            </w:r>
            <w:r>
              <w:rPr>
                <w:sz w:val="18"/>
                <w:szCs w:val="18"/>
              </w:rPr>
              <w:t>)</w:t>
            </w:r>
          </w:p>
        </w:tc>
      </w:tr>
      <w:tr w:rsidR="0040127D" w:rsidRPr="003F2CEB" w14:paraId="6FF51EAF" w14:textId="77777777" w:rsidTr="006619D2">
        <w:tblPrEx>
          <w:tblCellMar>
            <w:left w:w="108" w:type="dxa"/>
            <w:right w:w="108" w:type="dxa"/>
          </w:tblCellMar>
          <w:tblLook w:val="04A0" w:firstRow="1" w:lastRow="0" w:firstColumn="1" w:lastColumn="0" w:noHBand="0" w:noVBand="1"/>
        </w:tblPrEx>
        <w:trPr>
          <w:trHeight w:val="334"/>
        </w:trPr>
        <w:tc>
          <w:tcPr>
            <w:tcW w:w="993" w:type="dxa"/>
            <w:shd w:val="clear" w:color="auto" w:fill="F2F2F2" w:themeFill="background1" w:themeFillShade="F2"/>
            <w:vAlign w:val="center"/>
          </w:tcPr>
          <w:p w14:paraId="174B42AD" w14:textId="77777777" w:rsidR="0040127D" w:rsidRPr="003F2CEB" w:rsidRDefault="0040127D" w:rsidP="0014703F">
            <w:pPr>
              <w:pStyle w:val="Listenabsatz"/>
              <w:keepNext/>
              <w:ind w:left="0"/>
              <w:jc w:val="both"/>
            </w:pPr>
            <w:r w:rsidRPr="003F2CEB">
              <w:t>Stufe 1</w:t>
            </w:r>
          </w:p>
        </w:tc>
        <w:tc>
          <w:tcPr>
            <w:tcW w:w="4706" w:type="dxa"/>
            <w:shd w:val="clear" w:color="auto" w:fill="auto"/>
          </w:tcPr>
          <w:p w14:paraId="5D8F04B7" w14:textId="77777777" w:rsidR="00B12D70" w:rsidRDefault="0040127D" w:rsidP="0014703F">
            <w:pPr>
              <w:pStyle w:val="Listenabsatz"/>
              <w:keepNext/>
              <w:spacing w:before="60" w:after="60"/>
              <w:ind w:left="0"/>
              <w:contextualSpacing w:val="0"/>
              <w:jc w:val="both"/>
            </w:pPr>
            <w:r w:rsidRPr="003F2CEB">
              <w:rPr>
                <w:b/>
              </w:rPr>
              <w:t>Hohe Nachhaltigkeit:</w:t>
            </w:r>
            <w:r w:rsidRPr="003F2CEB">
              <w:t xml:space="preserve"> </w:t>
            </w:r>
            <w:r>
              <w:t xml:space="preserve"> </w:t>
            </w:r>
          </w:p>
          <w:p w14:paraId="3D49A676" w14:textId="630523D8" w:rsidR="0040127D" w:rsidRPr="003F2CEB" w:rsidRDefault="0040127D" w:rsidP="0014703F">
            <w:pPr>
              <w:pStyle w:val="Listenabsatz"/>
              <w:keepNext/>
              <w:spacing w:before="60" w:after="60"/>
              <w:ind w:left="0"/>
              <w:contextualSpacing w:val="0"/>
              <w:jc w:val="both"/>
            </w:pPr>
            <w:r w:rsidRPr="003F2CEB">
              <w:t xml:space="preserve">Der laut Projektantrag vorgesehene Beitrag zur neben genannten Dimension von Nachhaltigkeit wurde in vollem Umfang erreicht oder sogar übertroffen </w:t>
            </w:r>
            <w:r>
              <w:rPr>
                <w:b/>
              </w:rPr>
              <w:t>[bitte ankreuzen]</w:t>
            </w:r>
            <w:r w:rsidR="00B12D70">
              <w:rPr>
                <w:b/>
              </w:rPr>
              <w:t>.</w:t>
            </w:r>
          </w:p>
        </w:tc>
        <w:tc>
          <w:tcPr>
            <w:tcW w:w="1068" w:type="dxa"/>
            <w:shd w:val="clear" w:color="auto" w:fill="auto"/>
            <w:vAlign w:val="center"/>
          </w:tcPr>
          <w:p w14:paraId="4D83DEDF" w14:textId="385B223B" w:rsidR="0040127D" w:rsidRPr="006619D2" w:rsidRDefault="001752FB" w:rsidP="0014703F">
            <w:pPr>
              <w:spacing w:after="0" w:line="240" w:lineRule="auto"/>
              <w:jc w:val="both"/>
              <w:rPr>
                <w:b/>
                <w:sz w:val="24"/>
              </w:rPr>
            </w:pPr>
            <w:r>
              <w:rPr>
                <w:b/>
                <w:sz w:val="24"/>
              </w:rPr>
              <w:t>x</w:t>
            </w:r>
          </w:p>
        </w:tc>
        <w:tc>
          <w:tcPr>
            <w:tcW w:w="1060" w:type="dxa"/>
            <w:shd w:val="clear" w:color="auto" w:fill="auto"/>
            <w:vAlign w:val="center"/>
          </w:tcPr>
          <w:p w14:paraId="570A0154" w14:textId="77777777" w:rsidR="0040127D" w:rsidRPr="006619D2" w:rsidRDefault="0040127D" w:rsidP="0014703F">
            <w:pPr>
              <w:spacing w:after="0" w:line="240" w:lineRule="auto"/>
              <w:jc w:val="both"/>
              <w:rPr>
                <w:b/>
                <w:sz w:val="24"/>
              </w:rPr>
            </w:pPr>
          </w:p>
        </w:tc>
        <w:tc>
          <w:tcPr>
            <w:tcW w:w="1028" w:type="dxa"/>
            <w:shd w:val="clear" w:color="auto" w:fill="auto"/>
            <w:vAlign w:val="center"/>
          </w:tcPr>
          <w:p w14:paraId="35E1D812" w14:textId="77777777" w:rsidR="0040127D" w:rsidRPr="006619D2" w:rsidRDefault="0040127D" w:rsidP="0014703F">
            <w:pPr>
              <w:spacing w:after="0" w:line="240" w:lineRule="auto"/>
              <w:jc w:val="both"/>
              <w:rPr>
                <w:b/>
                <w:sz w:val="24"/>
              </w:rPr>
            </w:pPr>
          </w:p>
        </w:tc>
        <w:tc>
          <w:tcPr>
            <w:tcW w:w="1028" w:type="dxa"/>
            <w:shd w:val="clear" w:color="auto" w:fill="auto"/>
            <w:vAlign w:val="center"/>
          </w:tcPr>
          <w:p w14:paraId="342AFB3D" w14:textId="77777777" w:rsidR="0040127D" w:rsidRPr="006619D2" w:rsidRDefault="0040127D" w:rsidP="0014703F">
            <w:pPr>
              <w:spacing w:after="0" w:line="240" w:lineRule="auto"/>
              <w:jc w:val="both"/>
              <w:rPr>
                <w:b/>
                <w:sz w:val="24"/>
              </w:rPr>
            </w:pPr>
          </w:p>
        </w:tc>
      </w:tr>
      <w:tr w:rsidR="0040127D" w:rsidRPr="003F2CEB" w14:paraId="79A41CFF" w14:textId="77777777" w:rsidTr="00B12D70">
        <w:tblPrEx>
          <w:tblCellMar>
            <w:left w:w="108" w:type="dxa"/>
            <w:right w:w="108" w:type="dxa"/>
          </w:tblCellMar>
          <w:tblLook w:val="04A0" w:firstRow="1" w:lastRow="0" w:firstColumn="1" w:lastColumn="0" w:noHBand="0" w:noVBand="1"/>
        </w:tblPrEx>
        <w:trPr>
          <w:trHeight w:val="1552"/>
        </w:trPr>
        <w:tc>
          <w:tcPr>
            <w:tcW w:w="993" w:type="dxa"/>
            <w:tcBorders>
              <w:bottom w:val="single" w:sz="4" w:space="0" w:color="auto"/>
            </w:tcBorders>
            <w:shd w:val="clear" w:color="auto" w:fill="D9D9D9" w:themeFill="background1" w:themeFillShade="D9"/>
            <w:vAlign w:val="center"/>
          </w:tcPr>
          <w:p w14:paraId="29A72360" w14:textId="77777777" w:rsidR="0040127D" w:rsidRPr="003F2CEB" w:rsidRDefault="0040127D" w:rsidP="0014703F">
            <w:pPr>
              <w:pStyle w:val="Listenabsatz"/>
              <w:ind w:left="0"/>
              <w:jc w:val="both"/>
            </w:pPr>
            <w:r w:rsidRPr="003F2CEB">
              <w:t>Stufe 2</w:t>
            </w:r>
          </w:p>
        </w:tc>
        <w:tc>
          <w:tcPr>
            <w:tcW w:w="4706" w:type="dxa"/>
            <w:tcBorders>
              <w:bottom w:val="single" w:sz="4" w:space="0" w:color="auto"/>
            </w:tcBorders>
            <w:shd w:val="clear" w:color="auto" w:fill="auto"/>
          </w:tcPr>
          <w:p w14:paraId="2D217D16" w14:textId="77777777" w:rsidR="00B12D70" w:rsidRDefault="0040127D" w:rsidP="0014703F">
            <w:pPr>
              <w:pStyle w:val="Listenabsatz"/>
              <w:spacing w:before="60" w:after="60"/>
              <w:ind w:left="0"/>
              <w:contextualSpacing w:val="0"/>
              <w:jc w:val="both"/>
            </w:pPr>
            <w:r w:rsidRPr="003F2CEB">
              <w:rPr>
                <w:b/>
              </w:rPr>
              <w:t>Mittlere Nachhaltigkeit:</w:t>
            </w:r>
            <w:r w:rsidRPr="003F2CEB">
              <w:t xml:space="preserve"> </w:t>
            </w:r>
            <w:r>
              <w:t xml:space="preserve"> </w:t>
            </w:r>
          </w:p>
          <w:p w14:paraId="3F150AE7" w14:textId="77777777" w:rsidR="0040127D" w:rsidRDefault="0040127D" w:rsidP="0014703F">
            <w:pPr>
              <w:pStyle w:val="Listenabsatz"/>
              <w:spacing w:before="60" w:after="60"/>
              <w:ind w:left="0"/>
              <w:contextualSpacing w:val="0"/>
              <w:jc w:val="both"/>
              <w:rPr>
                <w:b/>
              </w:rPr>
            </w:pPr>
            <w:r w:rsidRPr="003F2CEB">
              <w:t xml:space="preserve">Der laut Projektantrag vorgesehene Beitrag zur neben genannten Dimension von Nachhaltigkeit wurde teilweise erreicht </w:t>
            </w:r>
            <w:r>
              <w:rPr>
                <w:b/>
              </w:rPr>
              <w:t>[bitte ankreuzen]</w:t>
            </w:r>
            <w:r w:rsidR="00B12D70">
              <w:rPr>
                <w:b/>
              </w:rPr>
              <w:t>.</w:t>
            </w:r>
          </w:p>
          <w:p w14:paraId="0C04E0D6" w14:textId="19D297C4" w:rsidR="00720AA5" w:rsidRPr="003F2CEB" w:rsidRDefault="00720AA5" w:rsidP="0014703F">
            <w:pPr>
              <w:pStyle w:val="Listenabsatz"/>
              <w:spacing w:before="60" w:after="60"/>
              <w:ind w:left="0"/>
              <w:contextualSpacing w:val="0"/>
              <w:jc w:val="both"/>
            </w:pPr>
          </w:p>
        </w:tc>
        <w:tc>
          <w:tcPr>
            <w:tcW w:w="1068" w:type="dxa"/>
            <w:shd w:val="clear" w:color="auto" w:fill="auto"/>
            <w:vAlign w:val="center"/>
          </w:tcPr>
          <w:p w14:paraId="323225BE" w14:textId="2146E8BB" w:rsidR="0040127D" w:rsidRPr="006619D2" w:rsidRDefault="0040127D" w:rsidP="0014703F">
            <w:pPr>
              <w:spacing w:after="0" w:line="240" w:lineRule="auto"/>
              <w:jc w:val="both"/>
              <w:rPr>
                <w:b/>
                <w:sz w:val="24"/>
              </w:rPr>
            </w:pPr>
          </w:p>
        </w:tc>
        <w:tc>
          <w:tcPr>
            <w:tcW w:w="1060" w:type="dxa"/>
            <w:shd w:val="clear" w:color="auto" w:fill="auto"/>
            <w:vAlign w:val="center"/>
          </w:tcPr>
          <w:p w14:paraId="48DEC61C" w14:textId="5B120D49" w:rsidR="0040127D" w:rsidRPr="006619D2" w:rsidRDefault="0040127D" w:rsidP="0014703F">
            <w:pPr>
              <w:spacing w:after="0" w:line="240" w:lineRule="auto"/>
              <w:jc w:val="both"/>
              <w:rPr>
                <w:b/>
                <w:sz w:val="24"/>
              </w:rPr>
            </w:pPr>
          </w:p>
        </w:tc>
        <w:tc>
          <w:tcPr>
            <w:tcW w:w="1028" w:type="dxa"/>
            <w:shd w:val="clear" w:color="auto" w:fill="auto"/>
            <w:vAlign w:val="center"/>
          </w:tcPr>
          <w:p w14:paraId="25630314" w14:textId="4E401BA3" w:rsidR="0040127D" w:rsidRPr="006619D2" w:rsidRDefault="00C06DCC" w:rsidP="0014703F">
            <w:pPr>
              <w:spacing w:after="0" w:line="240" w:lineRule="auto"/>
              <w:jc w:val="both"/>
              <w:rPr>
                <w:b/>
                <w:sz w:val="24"/>
              </w:rPr>
            </w:pPr>
            <w:r>
              <w:rPr>
                <w:b/>
                <w:sz w:val="24"/>
              </w:rPr>
              <w:t>x</w:t>
            </w:r>
          </w:p>
        </w:tc>
        <w:tc>
          <w:tcPr>
            <w:tcW w:w="1028" w:type="dxa"/>
            <w:shd w:val="clear" w:color="auto" w:fill="auto"/>
            <w:vAlign w:val="center"/>
          </w:tcPr>
          <w:p w14:paraId="6279E71D" w14:textId="77777777" w:rsidR="0040127D" w:rsidRPr="006619D2" w:rsidRDefault="0040127D" w:rsidP="0014703F">
            <w:pPr>
              <w:spacing w:after="0" w:line="240" w:lineRule="auto"/>
              <w:jc w:val="both"/>
              <w:rPr>
                <w:b/>
                <w:sz w:val="24"/>
              </w:rPr>
            </w:pPr>
          </w:p>
        </w:tc>
      </w:tr>
      <w:tr w:rsidR="0040127D" w:rsidRPr="003F2CEB" w14:paraId="5A8F18A5" w14:textId="77777777" w:rsidTr="0040127D">
        <w:tblPrEx>
          <w:tblCellMar>
            <w:left w:w="108" w:type="dxa"/>
            <w:right w:w="108" w:type="dxa"/>
          </w:tblCellMar>
          <w:tblLook w:val="04A0" w:firstRow="1" w:lastRow="0" w:firstColumn="1" w:lastColumn="0" w:noHBand="0" w:noVBand="1"/>
        </w:tblPrEx>
        <w:trPr>
          <w:trHeight w:val="250"/>
        </w:trPr>
        <w:tc>
          <w:tcPr>
            <w:tcW w:w="993" w:type="dxa"/>
            <w:tcBorders>
              <w:bottom w:val="single" w:sz="4" w:space="0" w:color="auto"/>
            </w:tcBorders>
            <w:shd w:val="clear" w:color="auto" w:fill="BFBFBF"/>
            <w:vAlign w:val="center"/>
          </w:tcPr>
          <w:p w14:paraId="27F95E32" w14:textId="77777777" w:rsidR="0040127D" w:rsidRPr="003F2CEB" w:rsidRDefault="0040127D" w:rsidP="0014703F">
            <w:pPr>
              <w:pStyle w:val="Listenabsatz"/>
              <w:ind w:left="0"/>
              <w:jc w:val="both"/>
            </w:pPr>
            <w:r w:rsidRPr="003F2CEB">
              <w:t>Stufe 3</w:t>
            </w:r>
          </w:p>
        </w:tc>
        <w:tc>
          <w:tcPr>
            <w:tcW w:w="4706" w:type="dxa"/>
            <w:tcBorders>
              <w:bottom w:val="single" w:sz="4" w:space="0" w:color="auto"/>
            </w:tcBorders>
            <w:shd w:val="clear" w:color="auto" w:fill="auto"/>
          </w:tcPr>
          <w:p w14:paraId="07C7A08F" w14:textId="77777777" w:rsidR="00B12D70" w:rsidRDefault="0040127D" w:rsidP="0014703F">
            <w:pPr>
              <w:pStyle w:val="Listenabsatz"/>
              <w:spacing w:before="60" w:after="60"/>
              <w:ind w:left="0"/>
              <w:contextualSpacing w:val="0"/>
              <w:jc w:val="both"/>
            </w:pPr>
            <w:r w:rsidRPr="003F2CEB">
              <w:rPr>
                <w:b/>
              </w:rPr>
              <w:t>Geringe Nachhaltigkeit:</w:t>
            </w:r>
            <w:r w:rsidRPr="003F2CEB">
              <w:t xml:space="preserve"> </w:t>
            </w:r>
            <w:r>
              <w:t xml:space="preserve"> </w:t>
            </w:r>
          </w:p>
          <w:p w14:paraId="249F6BDF" w14:textId="070EC7A0" w:rsidR="0040127D" w:rsidRPr="003F2CEB" w:rsidRDefault="0040127D" w:rsidP="0014703F">
            <w:pPr>
              <w:pStyle w:val="Listenabsatz"/>
              <w:spacing w:before="60" w:after="60"/>
              <w:ind w:left="0"/>
              <w:contextualSpacing w:val="0"/>
              <w:jc w:val="both"/>
            </w:pPr>
            <w:r w:rsidRPr="003F2CEB">
              <w:t xml:space="preserve">Der laut Projektantrag vorgesehene Beitrag zur neben genannten Dimension von Nachhaltigkeit wurde nicht oder nur in Ansätzen erreicht </w:t>
            </w:r>
            <w:r>
              <w:rPr>
                <w:b/>
              </w:rPr>
              <w:t>[bitte ankreuzen]</w:t>
            </w:r>
            <w:r w:rsidR="00B12D70">
              <w:rPr>
                <w:b/>
              </w:rPr>
              <w:t>.</w:t>
            </w:r>
          </w:p>
        </w:tc>
        <w:tc>
          <w:tcPr>
            <w:tcW w:w="1068" w:type="dxa"/>
            <w:shd w:val="clear" w:color="auto" w:fill="auto"/>
            <w:vAlign w:val="center"/>
          </w:tcPr>
          <w:p w14:paraId="12FA1D56" w14:textId="77777777" w:rsidR="0040127D" w:rsidRPr="006619D2" w:rsidRDefault="0040127D" w:rsidP="0014703F">
            <w:pPr>
              <w:spacing w:after="0" w:line="240" w:lineRule="auto"/>
              <w:jc w:val="both"/>
              <w:rPr>
                <w:b/>
                <w:sz w:val="24"/>
              </w:rPr>
            </w:pPr>
          </w:p>
        </w:tc>
        <w:tc>
          <w:tcPr>
            <w:tcW w:w="1060" w:type="dxa"/>
            <w:shd w:val="clear" w:color="auto" w:fill="auto"/>
            <w:vAlign w:val="center"/>
          </w:tcPr>
          <w:p w14:paraId="20441F1F" w14:textId="77777777" w:rsidR="0040127D" w:rsidRPr="006619D2" w:rsidRDefault="0040127D" w:rsidP="0014703F">
            <w:pPr>
              <w:spacing w:after="0" w:line="240" w:lineRule="auto"/>
              <w:jc w:val="both"/>
              <w:rPr>
                <w:b/>
                <w:sz w:val="24"/>
              </w:rPr>
            </w:pPr>
          </w:p>
        </w:tc>
        <w:tc>
          <w:tcPr>
            <w:tcW w:w="1028" w:type="dxa"/>
            <w:shd w:val="clear" w:color="auto" w:fill="auto"/>
            <w:vAlign w:val="center"/>
          </w:tcPr>
          <w:p w14:paraId="706AA88C" w14:textId="77777777" w:rsidR="0040127D" w:rsidRPr="006619D2" w:rsidRDefault="0040127D" w:rsidP="0014703F">
            <w:pPr>
              <w:spacing w:after="0" w:line="240" w:lineRule="auto"/>
              <w:jc w:val="both"/>
              <w:rPr>
                <w:b/>
                <w:sz w:val="24"/>
              </w:rPr>
            </w:pPr>
          </w:p>
        </w:tc>
        <w:tc>
          <w:tcPr>
            <w:tcW w:w="1028" w:type="dxa"/>
            <w:shd w:val="clear" w:color="auto" w:fill="auto"/>
            <w:vAlign w:val="center"/>
          </w:tcPr>
          <w:p w14:paraId="46D0FD38" w14:textId="77777777" w:rsidR="0040127D" w:rsidRPr="006619D2" w:rsidRDefault="0040127D" w:rsidP="0014703F">
            <w:pPr>
              <w:spacing w:after="0" w:line="240" w:lineRule="auto"/>
              <w:jc w:val="both"/>
              <w:rPr>
                <w:b/>
                <w:sz w:val="24"/>
              </w:rPr>
            </w:pPr>
          </w:p>
        </w:tc>
      </w:tr>
    </w:tbl>
    <w:p w14:paraId="566656BC" w14:textId="1D41B8BB" w:rsidR="003A721A" w:rsidRPr="00343489" w:rsidRDefault="003A721A" w:rsidP="0014703F">
      <w:pPr>
        <w:tabs>
          <w:tab w:val="left" w:pos="567"/>
        </w:tabs>
        <w:spacing w:after="0" w:line="264" w:lineRule="auto"/>
        <w:jc w:val="both"/>
        <w:rPr>
          <w:color w:val="808080" w:themeColor="background1" w:themeShade="80"/>
          <w:szCs w:val="18"/>
        </w:rPr>
      </w:pPr>
    </w:p>
    <w:sectPr w:rsidR="003A721A" w:rsidRPr="00343489" w:rsidSect="00731B72">
      <w:pgSz w:w="11906" w:h="16838"/>
      <w:pgMar w:top="992" w:right="1077" w:bottom="1440"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6FAFFD" w14:textId="77777777" w:rsidR="00F5584A" w:rsidRDefault="00F5584A" w:rsidP="00DC3E8F">
      <w:pPr>
        <w:spacing w:after="0" w:line="240" w:lineRule="auto"/>
      </w:pPr>
      <w:r>
        <w:separator/>
      </w:r>
    </w:p>
  </w:endnote>
  <w:endnote w:type="continuationSeparator" w:id="0">
    <w:p w14:paraId="0111D33E" w14:textId="77777777" w:rsidR="00F5584A" w:rsidRDefault="00F5584A" w:rsidP="00DC3E8F">
      <w:pPr>
        <w:spacing w:after="0" w:line="240" w:lineRule="auto"/>
      </w:pPr>
      <w:r>
        <w:continuationSeparator/>
      </w:r>
    </w:p>
  </w:endnote>
  <w:endnote w:type="continuationNotice" w:id="1">
    <w:p w14:paraId="24722C6E" w14:textId="77777777" w:rsidR="00F5584A" w:rsidRDefault="00F5584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86816512"/>
      <w:docPartObj>
        <w:docPartGallery w:val="Page Numbers (Bottom of Page)"/>
        <w:docPartUnique/>
      </w:docPartObj>
    </w:sdtPr>
    <w:sdtEndPr/>
    <w:sdtContent>
      <w:p w14:paraId="6791CACD" w14:textId="5881A4C7" w:rsidR="00AC519B" w:rsidRDefault="00AC519B">
        <w:pPr>
          <w:pStyle w:val="Fuzeile"/>
          <w:jc w:val="right"/>
        </w:pPr>
        <w:r>
          <w:fldChar w:fldCharType="begin"/>
        </w:r>
        <w:r>
          <w:instrText>PAGE   \* MERGEFORMAT</w:instrText>
        </w:r>
        <w:r>
          <w:fldChar w:fldCharType="separate"/>
        </w:r>
        <w:r w:rsidR="00B3115E">
          <w:rPr>
            <w:noProof/>
          </w:rPr>
          <w:t>3</w:t>
        </w:r>
        <w:r>
          <w:fldChar w:fldCharType="end"/>
        </w:r>
      </w:p>
    </w:sdtContent>
  </w:sdt>
  <w:p w14:paraId="5F1E0FE2" w14:textId="77777777" w:rsidR="00AC519B" w:rsidRPr="00B05E06" w:rsidRDefault="00AC519B">
    <w:pPr>
      <w:pStyle w:val="Fuzeile"/>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45953554"/>
      <w:docPartObj>
        <w:docPartGallery w:val="Page Numbers (Bottom of Page)"/>
        <w:docPartUnique/>
      </w:docPartObj>
    </w:sdtPr>
    <w:sdtEndPr/>
    <w:sdtContent>
      <w:p w14:paraId="7AAF45FA" w14:textId="52D9F97C" w:rsidR="003E041E" w:rsidRDefault="003E041E">
        <w:pPr>
          <w:pStyle w:val="Fuzeile"/>
          <w:jc w:val="right"/>
        </w:pPr>
        <w:r>
          <w:fldChar w:fldCharType="begin"/>
        </w:r>
        <w:r>
          <w:instrText>PAGE   \* MERGEFORMAT</w:instrText>
        </w:r>
        <w:r>
          <w:fldChar w:fldCharType="separate"/>
        </w:r>
        <w:r w:rsidR="007A45C8">
          <w:rPr>
            <w:noProof/>
          </w:rPr>
          <w:t>2</w:t>
        </w:r>
        <w:r>
          <w:fldChar w:fldCharType="end"/>
        </w:r>
      </w:p>
    </w:sdtContent>
  </w:sdt>
  <w:p w14:paraId="3373C091" w14:textId="77777777" w:rsidR="003E041E" w:rsidRDefault="003E041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011354"/>
      <w:docPartObj>
        <w:docPartGallery w:val="Page Numbers (Bottom of Page)"/>
        <w:docPartUnique/>
      </w:docPartObj>
    </w:sdtPr>
    <w:sdtEndPr/>
    <w:sdtContent>
      <w:p w14:paraId="5C1B3FE1" w14:textId="6D33A5D7" w:rsidR="00C4171A" w:rsidRDefault="00C4171A">
        <w:pPr>
          <w:pStyle w:val="Fuzeile"/>
          <w:jc w:val="right"/>
        </w:pPr>
        <w:r>
          <w:fldChar w:fldCharType="begin"/>
        </w:r>
        <w:r>
          <w:instrText>PAGE   \* MERGEFORMAT</w:instrText>
        </w:r>
        <w:r>
          <w:fldChar w:fldCharType="separate"/>
        </w:r>
        <w:r w:rsidR="007A45C8">
          <w:rPr>
            <w:noProof/>
          </w:rPr>
          <w:t>6</w:t>
        </w:r>
        <w:r>
          <w:fldChar w:fldCharType="end"/>
        </w:r>
      </w:p>
    </w:sdtContent>
  </w:sdt>
  <w:p w14:paraId="1C6E9254" w14:textId="0B58D753" w:rsidR="00C4171A" w:rsidRPr="00B05E06" w:rsidRDefault="00C4171A">
    <w:pPr>
      <w:pStyle w:val="Fuzeile"/>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F65803" w14:textId="77777777" w:rsidR="00F5584A" w:rsidRDefault="00F5584A" w:rsidP="00DC3E8F">
      <w:pPr>
        <w:spacing w:after="0" w:line="240" w:lineRule="auto"/>
      </w:pPr>
      <w:r>
        <w:separator/>
      </w:r>
    </w:p>
  </w:footnote>
  <w:footnote w:type="continuationSeparator" w:id="0">
    <w:p w14:paraId="11CFA334" w14:textId="77777777" w:rsidR="00F5584A" w:rsidRDefault="00F5584A" w:rsidP="00DC3E8F">
      <w:pPr>
        <w:spacing w:after="0" w:line="240" w:lineRule="auto"/>
      </w:pPr>
      <w:r>
        <w:continuationSeparator/>
      </w:r>
    </w:p>
  </w:footnote>
  <w:footnote w:type="continuationNotice" w:id="1">
    <w:p w14:paraId="6208D886" w14:textId="77777777" w:rsidR="00F5584A" w:rsidRDefault="00F5584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A7536" w14:textId="6000D879" w:rsidR="00AC519B" w:rsidRPr="00503D26" w:rsidRDefault="00AC519B" w:rsidP="00BD3D87">
    <w:pPr>
      <w:pStyle w:val="Kopfzeile"/>
      <w:tabs>
        <w:tab w:val="clear" w:pos="4536"/>
        <w:tab w:val="clear" w:pos="9072"/>
        <w:tab w:val="left" w:pos="3544"/>
        <w:tab w:val="center" w:pos="9070"/>
      </w:tabs>
      <w:rPr>
        <w:color w:val="7F7F7F"/>
        <w:sz w:val="20"/>
        <w:szCs w:val="20"/>
      </w:rPr>
    </w:pPr>
    <w:r>
      <w:rPr>
        <w:color w:val="7F7F7F"/>
        <w:sz w:val="20"/>
        <w:szCs w:val="20"/>
      </w:rPr>
      <w:t>Engagement Global/</w:t>
    </w:r>
    <w:proofErr w:type="spellStart"/>
    <w:r>
      <w:rPr>
        <w:color w:val="7F7F7F"/>
        <w:sz w:val="20"/>
        <w:szCs w:val="20"/>
      </w:rPr>
      <w:t>bengo</w:t>
    </w:r>
    <w:proofErr w:type="spellEnd"/>
    <w:r>
      <w:rPr>
        <w:color w:val="7F7F7F"/>
        <w:sz w:val="20"/>
        <w:szCs w:val="20"/>
      </w:rPr>
      <w:t xml:space="preserve"> – Verwendungsnachweis</w:t>
    </w:r>
    <w:r w:rsidRPr="00503D26">
      <w:rPr>
        <w:color w:val="7F7F7F"/>
        <w:sz w:val="20"/>
        <w:szCs w:val="20"/>
      </w:rPr>
      <w:t xml:space="preserve">, Teil </w:t>
    </w:r>
    <w:r>
      <w:rPr>
        <w:color w:val="7F7F7F"/>
        <w:sz w:val="20"/>
        <w:szCs w:val="20"/>
      </w:rPr>
      <w:t xml:space="preserve">II; </w:t>
    </w:r>
    <w:r w:rsidRPr="00503D26">
      <w:rPr>
        <w:color w:val="7F7F7F"/>
        <w:sz w:val="20"/>
        <w:szCs w:val="20"/>
      </w:rPr>
      <w:t xml:space="preserve">Version </w:t>
    </w:r>
    <w:r w:rsidR="00E269F6">
      <w:rPr>
        <w:color w:val="7F7F7F"/>
        <w:sz w:val="20"/>
        <w:szCs w:val="20"/>
      </w:rPr>
      <w:t>März 2023</w:t>
    </w:r>
  </w:p>
  <w:p w14:paraId="746F432C" w14:textId="77777777" w:rsidR="00AC519B" w:rsidRPr="00BD3D87" w:rsidRDefault="00AC519B" w:rsidP="00BD3D8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4F2D8F" w14:textId="2EEB78D9" w:rsidR="00C4171A" w:rsidRPr="00503D26" w:rsidRDefault="00EE4BE6" w:rsidP="00BD3D87">
    <w:pPr>
      <w:pStyle w:val="Kopfzeile"/>
      <w:tabs>
        <w:tab w:val="clear" w:pos="4536"/>
        <w:tab w:val="clear" w:pos="9072"/>
        <w:tab w:val="left" w:pos="3544"/>
        <w:tab w:val="center" w:pos="9070"/>
      </w:tabs>
      <w:rPr>
        <w:color w:val="7F7F7F"/>
        <w:sz w:val="20"/>
        <w:szCs w:val="20"/>
      </w:rPr>
    </w:pPr>
    <w:r>
      <w:rPr>
        <w:color w:val="7F7F7F"/>
        <w:sz w:val="20"/>
        <w:szCs w:val="20"/>
      </w:rPr>
      <w:t xml:space="preserve">Engagement Global/ </w:t>
    </w:r>
    <w:proofErr w:type="spellStart"/>
    <w:r w:rsidR="00C4171A">
      <w:rPr>
        <w:color w:val="7F7F7F"/>
        <w:sz w:val="20"/>
        <w:szCs w:val="20"/>
      </w:rPr>
      <w:t>bengo</w:t>
    </w:r>
    <w:proofErr w:type="spellEnd"/>
    <w:r w:rsidR="00C4171A">
      <w:rPr>
        <w:color w:val="7F7F7F"/>
        <w:sz w:val="20"/>
        <w:szCs w:val="20"/>
      </w:rPr>
      <w:t xml:space="preserve"> – </w:t>
    </w:r>
    <w:r w:rsidR="00331FBA">
      <w:rPr>
        <w:color w:val="7F7F7F"/>
        <w:sz w:val="20"/>
        <w:szCs w:val="20"/>
      </w:rPr>
      <w:t>Verwendungsnachweis</w:t>
    </w:r>
    <w:r w:rsidR="00C4171A" w:rsidRPr="00503D26">
      <w:rPr>
        <w:color w:val="7F7F7F"/>
        <w:sz w:val="20"/>
        <w:szCs w:val="20"/>
      </w:rPr>
      <w:t xml:space="preserve">, Teil </w:t>
    </w:r>
    <w:r w:rsidR="00C4171A">
      <w:rPr>
        <w:color w:val="7F7F7F"/>
        <w:sz w:val="20"/>
        <w:szCs w:val="20"/>
      </w:rPr>
      <w:t>II</w:t>
    </w:r>
    <w:r w:rsidR="005E0C83">
      <w:rPr>
        <w:color w:val="7F7F7F"/>
        <w:sz w:val="20"/>
        <w:szCs w:val="20"/>
      </w:rPr>
      <w:t xml:space="preserve">; </w:t>
    </w:r>
    <w:r w:rsidR="00C4171A" w:rsidRPr="00503D26">
      <w:rPr>
        <w:color w:val="7F7F7F"/>
        <w:sz w:val="20"/>
        <w:szCs w:val="20"/>
      </w:rPr>
      <w:t xml:space="preserve">Version </w:t>
    </w:r>
    <w:r w:rsidR="00720AA5">
      <w:rPr>
        <w:color w:val="7F7F7F"/>
        <w:sz w:val="20"/>
        <w:szCs w:val="20"/>
      </w:rPr>
      <w:t>März 2023</w:t>
    </w:r>
  </w:p>
  <w:p w14:paraId="4DC63D67" w14:textId="79B1BA90" w:rsidR="00C4171A" w:rsidRPr="00BD3D87" w:rsidRDefault="00C4171A" w:rsidP="00BD3D8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01B16"/>
    <w:multiLevelType w:val="multilevel"/>
    <w:tmpl w:val="1B6AF44E"/>
    <w:lvl w:ilvl="0">
      <w:start w:val="1"/>
      <w:numFmt w:val="decimal"/>
      <w:lvlText w:val="%1."/>
      <w:lvlJc w:val="left"/>
      <w:pPr>
        <w:ind w:left="360" w:hanging="360"/>
      </w:pPr>
      <w:rPr>
        <w:rFonts w:hint="default"/>
        <w:sz w:val="24"/>
        <w:szCs w:val="22"/>
      </w:rPr>
    </w:lvl>
    <w:lvl w:ilvl="1">
      <w:start w:val="1"/>
      <w:numFmt w:val="decimal"/>
      <w:lvlText w:val="%1.%2."/>
      <w:lvlJc w:val="left"/>
      <w:pPr>
        <w:ind w:left="792" w:hanging="432"/>
      </w:pPr>
      <w:rPr>
        <w:b/>
        <w:color w:val="1F497D" w:themeColor="text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C51FC5"/>
    <w:multiLevelType w:val="hybridMultilevel"/>
    <w:tmpl w:val="61E04B0E"/>
    <w:lvl w:ilvl="0" w:tplc="FD1E29F0">
      <w:start w:val="1"/>
      <w:numFmt w:val="decimal"/>
      <w:lvlText w:val="%1."/>
      <w:lvlJc w:val="left"/>
      <w:pPr>
        <w:ind w:left="930" w:hanging="57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1F75F24"/>
    <w:multiLevelType w:val="hybridMultilevel"/>
    <w:tmpl w:val="B0F08110"/>
    <w:lvl w:ilvl="0" w:tplc="B3B22EE0">
      <w:start w:val="1"/>
      <w:numFmt w:val="lowerLetter"/>
      <w:lvlText w:val="%1."/>
      <w:lvlJc w:val="left"/>
      <w:pPr>
        <w:ind w:left="1416" w:hanging="708"/>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 w15:restartNumberingAfterBreak="0">
    <w:nsid w:val="16E32F4B"/>
    <w:multiLevelType w:val="multilevel"/>
    <w:tmpl w:val="3CD2CB96"/>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A4C79A1"/>
    <w:multiLevelType w:val="hybridMultilevel"/>
    <w:tmpl w:val="B6406CB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1ED80A86"/>
    <w:multiLevelType w:val="hybridMultilevel"/>
    <w:tmpl w:val="0582ACF8"/>
    <w:lvl w:ilvl="0" w:tplc="0407000F">
      <w:start w:val="3"/>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11E20FA"/>
    <w:multiLevelType w:val="multilevel"/>
    <w:tmpl w:val="3BA8EDDC"/>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69861BE"/>
    <w:multiLevelType w:val="hybridMultilevel"/>
    <w:tmpl w:val="FC0E6B1C"/>
    <w:lvl w:ilvl="0" w:tplc="8FD8F63C">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1247143"/>
    <w:multiLevelType w:val="hybridMultilevel"/>
    <w:tmpl w:val="40EAD220"/>
    <w:lvl w:ilvl="0" w:tplc="7FE01FD2">
      <w:start w:val="5"/>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8C633CD"/>
    <w:multiLevelType w:val="multilevel"/>
    <w:tmpl w:val="1D862030"/>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9E545D5"/>
    <w:multiLevelType w:val="multilevel"/>
    <w:tmpl w:val="23E09180"/>
    <w:lvl w:ilvl="0">
      <w:start w:val="1"/>
      <w:numFmt w:val="decimal"/>
      <w:lvlText w:val="%1."/>
      <w:lvlJc w:val="left"/>
      <w:pPr>
        <w:ind w:left="360" w:hanging="360"/>
      </w:pPr>
      <w:rPr>
        <w:rFonts w:hint="default"/>
        <w:b/>
        <w:color w:val="244061" w:themeColor="accent1" w:themeShade="80"/>
      </w:rPr>
    </w:lvl>
    <w:lvl w:ilvl="1">
      <w:start w:val="1"/>
      <w:numFmt w:val="decimal"/>
      <w:lvlText w:val="%1.%2."/>
      <w:lvlJc w:val="left"/>
      <w:pPr>
        <w:ind w:left="142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EC711B6"/>
    <w:multiLevelType w:val="hybridMultilevel"/>
    <w:tmpl w:val="60F2B4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00668D9"/>
    <w:multiLevelType w:val="hybridMultilevel"/>
    <w:tmpl w:val="67FA6946"/>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2FE398A"/>
    <w:multiLevelType w:val="hybridMultilevel"/>
    <w:tmpl w:val="27E25AA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489F38A2"/>
    <w:multiLevelType w:val="multilevel"/>
    <w:tmpl w:val="D8F6E534"/>
    <w:lvl w:ilvl="0">
      <w:start w:val="8"/>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5444094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51256C1"/>
    <w:multiLevelType w:val="hybridMultilevel"/>
    <w:tmpl w:val="FF482E9A"/>
    <w:lvl w:ilvl="0" w:tplc="04070019">
      <w:start w:val="2"/>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65E158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6AF2D00"/>
    <w:multiLevelType w:val="hybridMultilevel"/>
    <w:tmpl w:val="FFC0EC98"/>
    <w:lvl w:ilvl="0" w:tplc="04070019">
      <w:start w:val="2"/>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CBD0D1D"/>
    <w:multiLevelType w:val="hybridMultilevel"/>
    <w:tmpl w:val="F028C598"/>
    <w:lvl w:ilvl="0" w:tplc="1C7C0EBE">
      <w:start w:val="1"/>
      <w:numFmt w:val="lowerRoman"/>
      <w:lvlText w:val="%1."/>
      <w:lvlJc w:val="left"/>
      <w:pPr>
        <w:ind w:left="720" w:hanging="72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71E3701A"/>
    <w:multiLevelType w:val="multilevel"/>
    <w:tmpl w:val="E4AC25E6"/>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7B2806A4"/>
    <w:multiLevelType w:val="hybridMultilevel"/>
    <w:tmpl w:val="D702EF48"/>
    <w:lvl w:ilvl="0" w:tplc="CE44AAE6">
      <w:start w:val="4"/>
      <w:numFmt w:val="bullet"/>
      <w:lvlText w:val="-"/>
      <w:lvlJc w:val="left"/>
      <w:pPr>
        <w:ind w:left="266" w:hanging="360"/>
      </w:pPr>
      <w:rPr>
        <w:rFonts w:ascii="Calibri" w:eastAsia="Calibri" w:hAnsi="Calibri" w:cs="Calibri" w:hint="default"/>
      </w:rPr>
    </w:lvl>
    <w:lvl w:ilvl="1" w:tplc="08090003">
      <w:start w:val="1"/>
      <w:numFmt w:val="bullet"/>
      <w:lvlText w:val="o"/>
      <w:lvlJc w:val="left"/>
      <w:pPr>
        <w:ind w:left="986" w:hanging="360"/>
      </w:pPr>
      <w:rPr>
        <w:rFonts w:ascii="Courier New" w:hAnsi="Courier New" w:cs="Courier New" w:hint="default"/>
      </w:rPr>
    </w:lvl>
    <w:lvl w:ilvl="2" w:tplc="08090005">
      <w:start w:val="1"/>
      <w:numFmt w:val="bullet"/>
      <w:lvlText w:val=""/>
      <w:lvlJc w:val="left"/>
      <w:pPr>
        <w:ind w:left="1706" w:hanging="360"/>
      </w:pPr>
      <w:rPr>
        <w:rFonts w:ascii="Wingdings" w:hAnsi="Wingdings" w:hint="default"/>
      </w:rPr>
    </w:lvl>
    <w:lvl w:ilvl="3" w:tplc="08090001">
      <w:start w:val="1"/>
      <w:numFmt w:val="bullet"/>
      <w:lvlText w:val=""/>
      <w:lvlJc w:val="left"/>
      <w:pPr>
        <w:ind w:left="2426" w:hanging="360"/>
      </w:pPr>
      <w:rPr>
        <w:rFonts w:ascii="Symbol" w:hAnsi="Symbol" w:hint="default"/>
      </w:rPr>
    </w:lvl>
    <w:lvl w:ilvl="4" w:tplc="08090003">
      <w:start w:val="1"/>
      <w:numFmt w:val="bullet"/>
      <w:lvlText w:val="o"/>
      <w:lvlJc w:val="left"/>
      <w:pPr>
        <w:ind w:left="3146" w:hanging="360"/>
      </w:pPr>
      <w:rPr>
        <w:rFonts w:ascii="Courier New" w:hAnsi="Courier New" w:cs="Courier New" w:hint="default"/>
      </w:rPr>
    </w:lvl>
    <w:lvl w:ilvl="5" w:tplc="08090005">
      <w:start w:val="1"/>
      <w:numFmt w:val="bullet"/>
      <w:lvlText w:val=""/>
      <w:lvlJc w:val="left"/>
      <w:pPr>
        <w:ind w:left="3866" w:hanging="360"/>
      </w:pPr>
      <w:rPr>
        <w:rFonts w:ascii="Wingdings" w:hAnsi="Wingdings" w:hint="default"/>
      </w:rPr>
    </w:lvl>
    <w:lvl w:ilvl="6" w:tplc="08090001">
      <w:start w:val="1"/>
      <w:numFmt w:val="bullet"/>
      <w:lvlText w:val=""/>
      <w:lvlJc w:val="left"/>
      <w:pPr>
        <w:ind w:left="4586" w:hanging="360"/>
      </w:pPr>
      <w:rPr>
        <w:rFonts w:ascii="Symbol" w:hAnsi="Symbol" w:hint="default"/>
      </w:rPr>
    </w:lvl>
    <w:lvl w:ilvl="7" w:tplc="08090003">
      <w:start w:val="1"/>
      <w:numFmt w:val="bullet"/>
      <w:lvlText w:val="o"/>
      <w:lvlJc w:val="left"/>
      <w:pPr>
        <w:ind w:left="5306" w:hanging="360"/>
      </w:pPr>
      <w:rPr>
        <w:rFonts w:ascii="Courier New" w:hAnsi="Courier New" w:cs="Courier New" w:hint="default"/>
      </w:rPr>
    </w:lvl>
    <w:lvl w:ilvl="8" w:tplc="08090005">
      <w:start w:val="1"/>
      <w:numFmt w:val="bullet"/>
      <w:lvlText w:val=""/>
      <w:lvlJc w:val="left"/>
      <w:pPr>
        <w:ind w:left="6026" w:hanging="360"/>
      </w:pPr>
      <w:rPr>
        <w:rFonts w:ascii="Wingdings" w:hAnsi="Wingdings" w:hint="default"/>
      </w:rPr>
    </w:lvl>
  </w:abstractNum>
  <w:num w:numId="1" w16cid:durableId="1525436022">
    <w:abstractNumId w:val="10"/>
  </w:num>
  <w:num w:numId="2" w16cid:durableId="1872107820">
    <w:abstractNumId w:val="0"/>
  </w:num>
  <w:num w:numId="3" w16cid:durableId="973759293">
    <w:abstractNumId w:val="5"/>
  </w:num>
  <w:num w:numId="4" w16cid:durableId="1428038105">
    <w:abstractNumId w:val="3"/>
  </w:num>
  <w:num w:numId="5" w16cid:durableId="1059675192">
    <w:abstractNumId w:val="18"/>
  </w:num>
  <w:num w:numId="6" w16cid:durableId="1942643065">
    <w:abstractNumId w:val="16"/>
  </w:num>
  <w:num w:numId="7" w16cid:durableId="1431044770">
    <w:abstractNumId w:val="9"/>
  </w:num>
  <w:num w:numId="8" w16cid:durableId="995260633">
    <w:abstractNumId w:val="6"/>
  </w:num>
  <w:num w:numId="9" w16cid:durableId="1698042781">
    <w:abstractNumId w:val="17"/>
  </w:num>
  <w:num w:numId="10" w16cid:durableId="571236192">
    <w:abstractNumId w:val="15"/>
  </w:num>
  <w:num w:numId="11" w16cid:durableId="1901019884">
    <w:abstractNumId w:val="19"/>
  </w:num>
  <w:num w:numId="12" w16cid:durableId="1405107952">
    <w:abstractNumId w:val="14"/>
  </w:num>
  <w:num w:numId="13" w16cid:durableId="1581869923">
    <w:abstractNumId w:val="20"/>
  </w:num>
  <w:num w:numId="14" w16cid:durableId="1788114529">
    <w:abstractNumId w:val="13"/>
  </w:num>
  <w:num w:numId="15" w16cid:durableId="1893543167">
    <w:abstractNumId w:val="1"/>
  </w:num>
  <w:num w:numId="16" w16cid:durableId="717557861">
    <w:abstractNumId w:val="4"/>
  </w:num>
  <w:num w:numId="17" w16cid:durableId="1162506329">
    <w:abstractNumId w:val="2"/>
  </w:num>
  <w:num w:numId="18" w16cid:durableId="667906687">
    <w:abstractNumId w:val="21"/>
  </w:num>
  <w:num w:numId="19" w16cid:durableId="511602343">
    <w:abstractNumId w:val="11"/>
  </w:num>
  <w:num w:numId="20" w16cid:durableId="242495145">
    <w:abstractNumId w:val="7"/>
  </w:num>
  <w:num w:numId="21" w16cid:durableId="197015476">
    <w:abstractNumId w:val="12"/>
  </w:num>
  <w:num w:numId="22" w16cid:durableId="1208419712">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583"/>
    <w:rsid w:val="0000107D"/>
    <w:rsid w:val="00004AD8"/>
    <w:rsid w:val="0000551D"/>
    <w:rsid w:val="00006D1C"/>
    <w:rsid w:val="00007D33"/>
    <w:rsid w:val="0001023B"/>
    <w:rsid w:val="00012884"/>
    <w:rsid w:val="00013595"/>
    <w:rsid w:val="00013A73"/>
    <w:rsid w:val="000147B8"/>
    <w:rsid w:val="000155E7"/>
    <w:rsid w:val="00017405"/>
    <w:rsid w:val="00022187"/>
    <w:rsid w:val="000239E8"/>
    <w:rsid w:val="00034414"/>
    <w:rsid w:val="00036D9E"/>
    <w:rsid w:val="0004014C"/>
    <w:rsid w:val="00040645"/>
    <w:rsid w:val="000417CA"/>
    <w:rsid w:val="00042239"/>
    <w:rsid w:val="0004278A"/>
    <w:rsid w:val="00042D55"/>
    <w:rsid w:val="00044607"/>
    <w:rsid w:val="00044E1E"/>
    <w:rsid w:val="00046220"/>
    <w:rsid w:val="000528F6"/>
    <w:rsid w:val="000543EA"/>
    <w:rsid w:val="00055303"/>
    <w:rsid w:val="000554F3"/>
    <w:rsid w:val="00055ED2"/>
    <w:rsid w:val="000575A8"/>
    <w:rsid w:val="000630ED"/>
    <w:rsid w:val="00067D4A"/>
    <w:rsid w:val="0007327B"/>
    <w:rsid w:val="00076A27"/>
    <w:rsid w:val="00077203"/>
    <w:rsid w:val="00083667"/>
    <w:rsid w:val="00083FF7"/>
    <w:rsid w:val="00086DF6"/>
    <w:rsid w:val="000907D4"/>
    <w:rsid w:val="000914E2"/>
    <w:rsid w:val="00092271"/>
    <w:rsid w:val="00094C95"/>
    <w:rsid w:val="000A1857"/>
    <w:rsid w:val="000A1D46"/>
    <w:rsid w:val="000A4EB4"/>
    <w:rsid w:val="000B0CD7"/>
    <w:rsid w:val="000B14A8"/>
    <w:rsid w:val="000B274D"/>
    <w:rsid w:val="000B5C29"/>
    <w:rsid w:val="000B79B5"/>
    <w:rsid w:val="000C3F85"/>
    <w:rsid w:val="000C42D8"/>
    <w:rsid w:val="000C532C"/>
    <w:rsid w:val="000C7355"/>
    <w:rsid w:val="000C7622"/>
    <w:rsid w:val="000D26A2"/>
    <w:rsid w:val="000D287A"/>
    <w:rsid w:val="000D6792"/>
    <w:rsid w:val="000E0E27"/>
    <w:rsid w:val="000E4208"/>
    <w:rsid w:val="000E425C"/>
    <w:rsid w:val="000E6404"/>
    <w:rsid w:val="000F02D4"/>
    <w:rsid w:val="000F1DF0"/>
    <w:rsid w:val="000F3AE2"/>
    <w:rsid w:val="000F4514"/>
    <w:rsid w:val="000F49D8"/>
    <w:rsid w:val="000F697E"/>
    <w:rsid w:val="0010005B"/>
    <w:rsid w:val="00101FAD"/>
    <w:rsid w:val="00101FE8"/>
    <w:rsid w:val="00102268"/>
    <w:rsid w:val="00112048"/>
    <w:rsid w:val="001122A1"/>
    <w:rsid w:val="00113843"/>
    <w:rsid w:val="00116866"/>
    <w:rsid w:val="001168BD"/>
    <w:rsid w:val="00120B91"/>
    <w:rsid w:val="00120E47"/>
    <w:rsid w:val="001213E0"/>
    <w:rsid w:val="00122F7D"/>
    <w:rsid w:val="001246F5"/>
    <w:rsid w:val="00124996"/>
    <w:rsid w:val="0013011A"/>
    <w:rsid w:val="0013043D"/>
    <w:rsid w:val="00131960"/>
    <w:rsid w:val="00131A33"/>
    <w:rsid w:val="00133764"/>
    <w:rsid w:val="001346C5"/>
    <w:rsid w:val="00137545"/>
    <w:rsid w:val="00141B12"/>
    <w:rsid w:val="00142197"/>
    <w:rsid w:val="00144983"/>
    <w:rsid w:val="0014703F"/>
    <w:rsid w:val="001518E6"/>
    <w:rsid w:val="00153139"/>
    <w:rsid w:val="0015384B"/>
    <w:rsid w:val="001549B2"/>
    <w:rsid w:val="00156203"/>
    <w:rsid w:val="00157459"/>
    <w:rsid w:val="00157994"/>
    <w:rsid w:val="001610C4"/>
    <w:rsid w:val="00161142"/>
    <w:rsid w:val="00163B6A"/>
    <w:rsid w:val="00164543"/>
    <w:rsid w:val="00170AAA"/>
    <w:rsid w:val="00174637"/>
    <w:rsid w:val="001752FB"/>
    <w:rsid w:val="00181873"/>
    <w:rsid w:val="001824EC"/>
    <w:rsid w:val="00182F06"/>
    <w:rsid w:val="00183017"/>
    <w:rsid w:val="001842F4"/>
    <w:rsid w:val="00184429"/>
    <w:rsid w:val="00184F0B"/>
    <w:rsid w:val="00185312"/>
    <w:rsid w:val="001863D7"/>
    <w:rsid w:val="00186571"/>
    <w:rsid w:val="00187422"/>
    <w:rsid w:val="00191B56"/>
    <w:rsid w:val="001920F3"/>
    <w:rsid w:val="00193096"/>
    <w:rsid w:val="00193896"/>
    <w:rsid w:val="00193FAE"/>
    <w:rsid w:val="001A020A"/>
    <w:rsid w:val="001A3637"/>
    <w:rsid w:val="001A4A83"/>
    <w:rsid w:val="001A4E7B"/>
    <w:rsid w:val="001A5677"/>
    <w:rsid w:val="001A6A23"/>
    <w:rsid w:val="001B0248"/>
    <w:rsid w:val="001B04B4"/>
    <w:rsid w:val="001B0B1C"/>
    <w:rsid w:val="001B0CEB"/>
    <w:rsid w:val="001B112B"/>
    <w:rsid w:val="001B4601"/>
    <w:rsid w:val="001B5ECA"/>
    <w:rsid w:val="001B6F1A"/>
    <w:rsid w:val="001B6F28"/>
    <w:rsid w:val="001B76CA"/>
    <w:rsid w:val="001C1CAF"/>
    <w:rsid w:val="001C27FB"/>
    <w:rsid w:val="001C47D7"/>
    <w:rsid w:val="001C6194"/>
    <w:rsid w:val="001C7058"/>
    <w:rsid w:val="001C7499"/>
    <w:rsid w:val="001C7D1C"/>
    <w:rsid w:val="001C7DB9"/>
    <w:rsid w:val="001D1153"/>
    <w:rsid w:val="001D3753"/>
    <w:rsid w:val="001D3865"/>
    <w:rsid w:val="001D399D"/>
    <w:rsid w:val="001D4C88"/>
    <w:rsid w:val="001D76A7"/>
    <w:rsid w:val="001E1891"/>
    <w:rsid w:val="001E259A"/>
    <w:rsid w:val="001E3126"/>
    <w:rsid w:val="001E448F"/>
    <w:rsid w:val="001E5D1B"/>
    <w:rsid w:val="001E5D7F"/>
    <w:rsid w:val="001E639C"/>
    <w:rsid w:val="001F6A66"/>
    <w:rsid w:val="00201238"/>
    <w:rsid w:val="00201583"/>
    <w:rsid w:val="002036B5"/>
    <w:rsid w:val="00203EE5"/>
    <w:rsid w:val="002048C2"/>
    <w:rsid w:val="00205AE4"/>
    <w:rsid w:val="00205BB8"/>
    <w:rsid w:val="002072A4"/>
    <w:rsid w:val="0021355D"/>
    <w:rsid w:val="00213958"/>
    <w:rsid w:val="00214B26"/>
    <w:rsid w:val="00217E29"/>
    <w:rsid w:val="002231DC"/>
    <w:rsid w:val="00223685"/>
    <w:rsid w:val="0022435E"/>
    <w:rsid w:val="00224C1E"/>
    <w:rsid w:val="0022538E"/>
    <w:rsid w:val="00225518"/>
    <w:rsid w:val="0022597F"/>
    <w:rsid w:val="00227608"/>
    <w:rsid w:val="00231FFF"/>
    <w:rsid w:val="002356A5"/>
    <w:rsid w:val="002360CE"/>
    <w:rsid w:val="00236490"/>
    <w:rsid w:val="00242409"/>
    <w:rsid w:val="002460F3"/>
    <w:rsid w:val="00247FA8"/>
    <w:rsid w:val="002503C5"/>
    <w:rsid w:val="002505F1"/>
    <w:rsid w:val="00250E81"/>
    <w:rsid w:val="00252A77"/>
    <w:rsid w:val="0025326B"/>
    <w:rsid w:val="00255B20"/>
    <w:rsid w:val="00257199"/>
    <w:rsid w:val="00260868"/>
    <w:rsid w:val="002621A8"/>
    <w:rsid w:val="002626DB"/>
    <w:rsid w:val="002639B1"/>
    <w:rsid w:val="00263A2D"/>
    <w:rsid w:val="0026404E"/>
    <w:rsid w:val="00267BE4"/>
    <w:rsid w:val="00267DA3"/>
    <w:rsid w:val="00267EFF"/>
    <w:rsid w:val="00270497"/>
    <w:rsid w:val="002730B3"/>
    <w:rsid w:val="00275FA9"/>
    <w:rsid w:val="00276E24"/>
    <w:rsid w:val="00277056"/>
    <w:rsid w:val="00280E4D"/>
    <w:rsid w:val="00284893"/>
    <w:rsid w:val="00285244"/>
    <w:rsid w:val="0028553D"/>
    <w:rsid w:val="00285CAD"/>
    <w:rsid w:val="00290234"/>
    <w:rsid w:val="00292163"/>
    <w:rsid w:val="00293791"/>
    <w:rsid w:val="00294092"/>
    <w:rsid w:val="00295834"/>
    <w:rsid w:val="0029688C"/>
    <w:rsid w:val="002A07FB"/>
    <w:rsid w:val="002A0AE6"/>
    <w:rsid w:val="002A3D95"/>
    <w:rsid w:val="002A475E"/>
    <w:rsid w:val="002A4A3C"/>
    <w:rsid w:val="002A547E"/>
    <w:rsid w:val="002A7673"/>
    <w:rsid w:val="002A7861"/>
    <w:rsid w:val="002B3220"/>
    <w:rsid w:val="002B4431"/>
    <w:rsid w:val="002B4C46"/>
    <w:rsid w:val="002B4DD5"/>
    <w:rsid w:val="002B6CAB"/>
    <w:rsid w:val="002B7053"/>
    <w:rsid w:val="002C1AF7"/>
    <w:rsid w:val="002C240C"/>
    <w:rsid w:val="002C4729"/>
    <w:rsid w:val="002C5634"/>
    <w:rsid w:val="002C718C"/>
    <w:rsid w:val="002C7769"/>
    <w:rsid w:val="002D02C3"/>
    <w:rsid w:val="002D0EA2"/>
    <w:rsid w:val="002D1BAD"/>
    <w:rsid w:val="002D1C82"/>
    <w:rsid w:val="002D3FA0"/>
    <w:rsid w:val="002D4898"/>
    <w:rsid w:val="002D4A80"/>
    <w:rsid w:val="002D4FDF"/>
    <w:rsid w:val="002D6B53"/>
    <w:rsid w:val="002E0199"/>
    <w:rsid w:val="002E02E1"/>
    <w:rsid w:val="002E0A0D"/>
    <w:rsid w:val="002E10BD"/>
    <w:rsid w:val="002E1FC4"/>
    <w:rsid w:val="002E47AA"/>
    <w:rsid w:val="002E4A08"/>
    <w:rsid w:val="002E4CC6"/>
    <w:rsid w:val="002E57E5"/>
    <w:rsid w:val="002E5E49"/>
    <w:rsid w:val="002E6947"/>
    <w:rsid w:val="002F1ED7"/>
    <w:rsid w:val="002F41DE"/>
    <w:rsid w:val="002F7058"/>
    <w:rsid w:val="002F7BFF"/>
    <w:rsid w:val="003006A1"/>
    <w:rsid w:val="00300A72"/>
    <w:rsid w:val="0030266A"/>
    <w:rsid w:val="003029BB"/>
    <w:rsid w:val="00307A59"/>
    <w:rsid w:val="00312FBD"/>
    <w:rsid w:val="00314A33"/>
    <w:rsid w:val="003161A0"/>
    <w:rsid w:val="0032025E"/>
    <w:rsid w:val="003204AF"/>
    <w:rsid w:val="003206ED"/>
    <w:rsid w:val="00320CA0"/>
    <w:rsid w:val="00320D0B"/>
    <w:rsid w:val="003241EA"/>
    <w:rsid w:val="0032564C"/>
    <w:rsid w:val="003309E1"/>
    <w:rsid w:val="00331FBA"/>
    <w:rsid w:val="0033383E"/>
    <w:rsid w:val="00334076"/>
    <w:rsid w:val="00334385"/>
    <w:rsid w:val="003401FA"/>
    <w:rsid w:val="00343489"/>
    <w:rsid w:val="0034553F"/>
    <w:rsid w:val="003461F7"/>
    <w:rsid w:val="00347DCB"/>
    <w:rsid w:val="00352C03"/>
    <w:rsid w:val="0035376B"/>
    <w:rsid w:val="003570C9"/>
    <w:rsid w:val="00366166"/>
    <w:rsid w:val="00370DBC"/>
    <w:rsid w:val="0037459D"/>
    <w:rsid w:val="00375419"/>
    <w:rsid w:val="003778F3"/>
    <w:rsid w:val="00380C1D"/>
    <w:rsid w:val="00381618"/>
    <w:rsid w:val="00381EE3"/>
    <w:rsid w:val="003827B0"/>
    <w:rsid w:val="00383AC9"/>
    <w:rsid w:val="00384A6B"/>
    <w:rsid w:val="00384A79"/>
    <w:rsid w:val="003856E6"/>
    <w:rsid w:val="00391B26"/>
    <w:rsid w:val="00392F97"/>
    <w:rsid w:val="003945D8"/>
    <w:rsid w:val="003968EF"/>
    <w:rsid w:val="00397D51"/>
    <w:rsid w:val="003A1A6B"/>
    <w:rsid w:val="003A2527"/>
    <w:rsid w:val="003A3F0F"/>
    <w:rsid w:val="003A4BAC"/>
    <w:rsid w:val="003A721A"/>
    <w:rsid w:val="003B0065"/>
    <w:rsid w:val="003B132F"/>
    <w:rsid w:val="003B4597"/>
    <w:rsid w:val="003C0B62"/>
    <w:rsid w:val="003C2FFC"/>
    <w:rsid w:val="003C36DD"/>
    <w:rsid w:val="003D2E7B"/>
    <w:rsid w:val="003D7327"/>
    <w:rsid w:val="003E041E"/>
    <w:rsid w:val="003E43F5"/>
    <w:rsid w:val="003E4485"/>
    <w:rsid w:val="003E461C"/>
    <w:rsid w:val="003E5CBF"/>
    <w:rsid w:val="003E6C8D"/>
    <w:rsid w:val="003E6D33"/>
    <w:rsid w:val="003F0681"/>
    <w:rsid w:val="003F0EC1"/>
    <w:rsid w:val="003F1455"/>
    <w:rsid w:val="003F194B"/>
    <w:rsid w:val="003F2035"/>
    <w:rsid w:val="003F606F"/>
    <w:rsid w:val="003F6501"/>
    <w:rsid w:val="003F6AA1"/>
    <w:rsid w:val="003F799D"/>
    <w:rsid w:val="0040127D"/>
    <w:rsid w:val="00401693"/>
    <w:rsid w:val="0040224C"/>
    <w:rsid w:val="00404021"/>
    <w:rsid w:val="00404A2C"/>
    <w:rsid w:val="00404F1E"/>
    <w:rsid w:val="0040620C"/>
    <w:rsid w:val="00407364"/>
    <w:rsid w:val="00410DAF"/>
    <w:rsid w:val="00411111"/>
    <w:rsid w:val="00411BC5"/>
    <w:rsid w:val="004164E0"/>
    <w:rsid w:val="00416D4C"/>
    <w:rsid w:val="00420FF5"/>
    <w:rsid w:val="00421334"/>
    <w:rsid w:val="00421D68"/>
    <w:rsid w:val="00423B2F"/>
    <w:rsid w:val="0042703B"/>
    <w:rsid w:val="00427D97"/>
    <w:rsid w:val="004320EB"/>
    <w:rsid w:val="00432536"/>
    <w:rsid w:val="0043264D"/>
    <w:rsid w:val="004350EA"/>
    <w:rsid w:val="00437D8E"/>
    <w:rsid w:val="00441B10"/>
    <w:rsid w:val="00445DF1"/>
    <w:rsid w:val="00447AC0"/>
    <w:rsid w:val="00451DE4"/>
    <w:rsid w:val="00452410"/>
    <w:rsid w:val="0045488A"/>
    <w:rsid w:val="00455013"/>
    <w:rsid w:val="004568EF"/>
    <w:rsid w:val="0046029D"/>
    <w:rsid w:val="004632D6"/>
    <w:rsid w:val="00465875"/>
    <w:rsid w:val="00466A30"/>
    <w:rsid w:val="00466F58"/>
    <w:rsid w:val="00467104"/>
    <w:rsid w:val="004702F8"/>
    <w:rsid w:val="00470384"/>
    <w:rsid w:val="00472D36"/>
    <w:rsid w:val="00473282"/>
    <w:rsid w:val="004744D8"/>
    <w:rsid w:val="004752FA"/>
    <w:rsid w:val="0047543B"/>
    <w:rsid w:val="004761E4"/>
    <w:rsid w:val="004812E2"/>
    <w:rsid w:val="00481508"/>
    <w:rsid w:val="0048465E"/>
    <w:rsid w:val="00487CAE"/>
    <w:rsid w:val="0049182E"/>
    <w:rsid w:val="00495A80"/>
    <w:rsid w:val="004A2DF9"/>
    <w:rsid w:val="004A3056"/>
    <w:rsid w:val="004A4001"/>
    <w:rsid w:val="004A4EB1"/>
    <w:rsid w:val="004A5079"/>
    <w:rsid w:val="004A6A8F"/>
    <w:rsid w:val="004A764B"/>
    <w:rsid w:val="004A7F03"/>
    <w:rsid w:val="004A7F30"/>
    <w:rsid w:val="004B1657"/>
    <w:rsid w:val="004B1FCD"/>
    <w:rsid w:val="004B682B"/>
    <w:rsid w:val="004C033C"/>
    <w:rsid w:val="004C06D6"/>
    <w:rsid w:val="004C202B"/>
    <w:rsid w:val="004C3472"/>
    <w:rsid w:val="004C356D"/>
    <w:rsid w:val="004D12EE"/>
    <w:rsid w:val="004D173D"/>
    <w:rsid w:val="004D3EC7"/>
    <w:rsid w:val="004D5DCD"/>
    <w:rsid w:val="004D67B9"/>
    <w:rsid w:val="004E562E"/>
    <w:rsid w:val="004E58E3"/>
    <w:rsid w:val="004F048C"/>
    <w:rsid w:val="004F3F00"/>
    <w:rsid w:val="004F4147"/>
    <w:rsid w:val="004F5B07"/>
    <w:rsid w:val="004F6ED8"/>
    <w:rsid w:val="004F74A2"/>
    <w:rsid w:val="004F7CF0"/>
    <w:rsid w:val="0050002F"/>
    <w:rsid w:val="00503A61"/>
    <w:rsid w:val="005069A5"/>
    <w:rsid w:val="00507FED"/>
    <w:rsid w:val="00511DBC"/>
    <w:rsid w:val="00513063"/>
    <w:rsid w:val="0051308D"/>
    <w:rsid w:val="00513D6F"/>
    <w:rsid w:val="00517971"/>
    <w:rsid w:val="00520AC1"/>
    <w:rsid w:val="005227C3"/>
    <w:rsid w:val="005232A4"/>
    <w:rsid w:val="00524EFE"/>
    <w:rsid w:val="00531444"/>
    <w:rsid w:val="0053152A"/>
    <w:rsid w:val="00534529"/>
    <w:rsid w:val="00535EE1"/>
    <w:rsid w:val="005361A2"/>
    <w:rsid w:val="005405F7"/>
    <w:rsid w:val="005407B7"/>
    <w:rsid w:val="00542CF9"/>
    <w:rsid w:val="00543513"/>
    <w:rsid w:val="00547E8B"/>
    <w:rsid w:val="00550074"/>
    <w:rsid w:val="00550B86"/>
    <w:rsid w:val="00550CA1"/>
    <w:rsid w:val="005518E1"/>
    <w:rsid w:val="005523D6"/>
    <w:rsid w:val="00552CDC"/>
    <w:rsid w:val="00557DEF"/>
    <w:rsid w:val="00560272"/>
    <w:rsid w:val="00567242"/>
    <w:rsid w:val="005706D7"/>
    <w:rsid w:val="0057148B"/>
    <w:rsid w:val="005721FD"/>
    <w:rsid w:val="00573F21"/>
    <w:rsid w:val="00577F24"/>
    <w:rsid w:val="00581B7E"/>
    <w:rsid w:val="00584438"/>
    <w:rsid w:val="005872FA"/>
    <w:rsid w:val="00593BF9"/>
    <w:rsid w:val="00595CB5"/>
    <w:rsid w:val="00596AB6"/>
    <w:rsid w:val="005A03A7"/>
    <w:rsid w:val="005A3DA5"/>
    <w:rsid w:val="005A5B80"/>
    <w:rsid w:val="005B0ABD"/>
    <w:rsid w:val="005B361F"/>
    <w:rsid w:val="005B44B0"/>
    <w:rsid w:val="005B5853"/>
    <w:rsid w:val="005C0ACC"/>
    <w:rsid w:val="005C0D73"/>
    <w:rsid w:val="005C20C7"/>
    <w:rsid w:val="005C3A27"/>
    <w:rsid w:val="005C54AF"/>
    <w:rsid w:val="005C598E"/>
    <w:rsid w:val="005C6ABE"/>
    <w:rsid w:val="005C7CF3"/>
    <w:rsid w:val="005C7D5A"/>
    <w:rsid w:val="005D1544"/>
    <w:rsid w:val="005D318D"/>
    <w:rsid w:val="005D4DC9"/>
    <w:rsid w:val="005D56CA"/>
    <w:rsid w:val="005D56FE"/>
    <w:rsid w:val="005D6D9D"/>
    <w:rsid w:val="005D7BC5"/>
    <w:rsid w:val="005D7F73"/>
    <w:rsid w:val="005E0477"/>
    <w:rsid w:val="005E0C83"/>
    <w:rsid w:val="005E1137"/>
    <w:rsid w:val="005E3AB1"/>
    <w:rsid w:val="005E3B08"/>
    <w:rsid w:val="005E41CD"/>
    <w:rsid w:val="005E4865"/>
    <w:rsid w:val="005E732F"/>
    <w:rsid w:val="005E7871"/>
    <w:rsid w:val="005F09B1"/>
    <w:rsid w:val="005F1354"/>
    <w:rsid w:val="005F76BB"/>
    <w:rsid w:val="0060293D"/>
    <w:rsid w:val="00603EE6"/>
    <w:rsid w:val="006049EC"/>
    <w:rsid w:val="0060741B"/>
    <w:rsid w:val="00607D4A"/>
    <w:rsid w:val="00612463"/>
    <w:rsid w:val="0061376E"/>
    <w:rsid w:val="0061409D"/>
    <w:rsid w:val="0061568D"/>
    <w:rsid w:val="00621AC3"/>
    <w:rsid w:val="0062394D"/>
    <w:rsid w:val="006301AD"/>
    <w:rsid w:val="0063153E"/>
    <w:rsid w:val="0063323F"/>
    <w:rsid w:val="0063430C"/>
    <w:rsid w:val="006366C5"/>
    <w:rsid w:val="00636A60"/>
    <w:rsid w:val="00640E58"/>
    <w:rsid w:val="00645F58"/>
    <w:rsid w:val="00650A78"/>
    <w:rsid w:val="006560BB"/>
    <w:rsid w:val="006565A6"/>
    <w:rsid w:val="006619D2"/>
    <w:rsid w:val="00661F19"/>
    <w:rsid w:val="00662BC7"/>
    <w:rsid w:val="00663BE5"/>
    <w:rsid w:val="006656E8"/>
    <w:rsid w:val="00665BF7"/>
    <w:rsid w:val="00667005"/>
    <w:rsid w:val="006677B4"/>
    <w:rsid w:val="00667951"/>
    <w:rsid w:val="00667DD7"/>
    <w:rsid w:val="00671D87"/>
    <w:rsid w:val="00672A53"/>
    <w:rsid w:val="00673EBE"/>
    <w:rsid w:val="00673F5E"/>
    <w:rsid w:val="006746F1"/>
    <w:rsid w:val="00674E2E"/>
    <w:rsid w:val="0067536D"/>
    <w:rsid w:val="00676A77"/>
    <w:rsid w:val="00677ABE"/>
    <w:rsid w:val="00677D30"/>
    <w:rsid w:val="00680717"/>
    <w:rsid w:val="00681AD3"/>
    <w:rsid w:val="006826DD"/>
    <w:rsid w:val="006847AE"/>
    <w:rsid w:val="006874BB"/>
    <w:rsid w:val="0069489F"/>
    <w:rsid w:val="00694C4F"/>
    <w:rsid w:val="0069555D"/>
    <w:rsid w:val="006958AA"/>
    <w:rsid w:val="00697363"/>
    <w:rsid w:val="006A0084"/>
    <w:rsid w:val="006A08AE"/>
    <w:rsid w:val="006A2866"/>
    <w:rsid w:val="006A313B"/>
    <w:rsid w:val="006A3AC4"/>
    <w:rsid w:val="006B0F56"/>
    <w:rsid w:val="006B264E"/>
    <w:rsid w:val="006B31F8"/>
    <w:rsid w:val="006B5FE6"/>
    <w:rsid w:val="006B6438"/>
    <w:rsid w:val="006B7906"/>
    <w:rsid w:val="006B7BDD"/>
    <w:rsid w:val="006C1285"/>
    <w:rsid w:val="006C3485"/>
    <w:rsid w:val="006C4A3B"/>
    <w:rsid w:val="006C4BC4"/>
    <w:rsid w:val="006C578A"/>
    <w:rsid w:val="006C6C96"/>
    <w:rsid w:val="006D3E96"/>
    <w:rsid w:val="006D4DEC"/>
    <w:rsid w:val="006D524A"/>
    <w:rsid w:val="006D7426"/>
    <w:rsid w:val="006E2388"/>
    <w:rsid w:val="006E44C9"/>
    <w:rsid w:val="006E4A92"/>
    <w:rsid w:val="006E57E4"/>
    <w:rsid w:val="006E5985"/>
    <w:rsid w:val="006F3493"/>
    <w:rsid w:val="006F4223"/>
    <w:rsid w:val="006F445F"/>
    <w:rsid w:val="006F54E8"/>
    <w:rsid w:val="00701FEA"/>
    <w:rsid w:val="007025CC"/>
    <w:rsid w:val="007035C7"/>
    <w:rsid w:val="00703E9F"/>
    <w:rsid w:val="00704A41"/>
    <w:rsid w:val="007057FD"/>
    <w:rsid w:val="007103CF"/>
    <w:rsid w:val="00711260"/>
    <w:rsid w:val="007140F2"/>
    <w:rsid w:val="007142EA"/>
    <w:rsid w:val="007206F7"/>
    <w:rsid w:val="00720AA5"/>
    <w:rsid w:val="00722E46"/>
    <w:rsid w:val="00723640"/>
    <w:rsid w:val="00724AB9"/>
    <w:rsid w:val="0072529A"/>
    <w:rsid w:val="00726505"/>
    <w:rsid w:val="00731B72"/>
    <w:rsid w:val="00737C4D"/>
    <w:rsid w:val="007447D7"/>
    <w:rsid w:val="00751A98"/>
    <w:rsid w:val="0075388E"/>
    <w:rsid w:val="007545A0"/>
    <w:rsid w:val="00754E63"/>
    <w:rsid w:val="00756247"/>
    <w:rsid w:val="00762E1F"/>
    <w:rsid w:val="007639FC"/>
    <w:rsid w:val="00765337"/>
    <w:rsid w:val="00767707"/>
    <w:rsid w:val="007677F9"/>
    <w:rsid w:val="00770DEA"/>
    <w:rsid w:val="00771C14"/>
    <w:rsid w:val="007743CA"/>
    <w:rsid w:val="00776A7D"/>
    <w:rsid w:val="00780D62"/>
    <w:rsid w:val="007817B7"/>
    <w:rsid w:val="00783324"/>
    <w:rsid w:val="00783FED"/>
    <w:rsid w:val="00784204"/>
    <w:rsid w:val="00786949"/>
    <w:rsid w:val="00786D0F"/>
    <w:rsid w:val="00787760"/>
    <w:rsid w:val="00790245"/>
    <w:rsid w:val="00790EF2"/>
    <w:rsid w:val="00794168"/>
    <w:rsid w:val="00794204"/>
    <w:rsid w:val="00794407"/>
    <w:rsid w:val="0079668F"/>
    <w:rsid w:val="0079730B"/>
    <w:rsid w:val="007976A2"/>
    <w:rsid w:val="007A2DFC"/>
    <w:rsid w:val="007A2E9A"/>
    <w:rsid w:val="007A37CE"/>
    <w:rsid w:val="007A45C8"/>
    <w:rsid w:val="007A45E3"/>
    <w:rsid w:val="007A5533"/>
    <w:rsid w:val="007A5B1B"/>
    <w:rsid w:val="007B075A"/>
    <w:rsid w:val="007B0A04"/>
    <w:rsid w:val="007B1CD3"/>
    <w:rsid w:val="007B2E68"/>
    <w:rsid w:val="007B6E62"/>
    <w:rsid w:val="007B7458"/>
    <w:rsid w:val="007C308D"/>
    <w:rsid w:val="007C74A0"/>
    <w:rsid w:val="007D2E38"/>
    <w:rsid w:val="007D350D"/>
    <w:rsid w:val="007D53B4"/>
    <w:rsid w:val="007D5A03"/>
    <w:rsid w:val="007E0863"/>
    <w:rsid w:val="007E26C4"/>
    <w:rsid w:val="007E41E9"/>
    <w:rsid w:val="007E459B"/>
    <w:rsid w:val="007F1209"/>
    <w:rsid w:val="007F341C"/>
    <w:rsid w:val="007F60E4"/>
    <w:rsid w:val="007F6A26"/>
    <w:rsid w:val="008000EA"/>
    <w:rsid w:val="00800480"/>
    <w:rsid w:val="00802458"/>
    <w:rsid w:val="00805CB6"/>
    <w:rsid w:val="00805EFC"/>
    <w:rsid w:val="0080654A"/>
    <w:rsid w:val="00810734"/>
    <w:rsid w:val="00813843"/>
    <w:rsid w:val="00815B28"/>
    <w:rsid w:val="0081619B"/>
    <w:rsid w:val="00816253"/>
    <w:rsid w:val="00816671"/>
    <w:rsid w:val="00816C59"/>
    <w:rsid w:val="0081782A"/>
    <w:rsid w:val="0082083E"/>
    <w:rsid w:val="008237CC"/>
    <w:rsid w:val="008239B5"/>
    <w:rsid w:val="00823C35"/>
    <w:rsid w:val="00824CA9"/>
    <w:rsid w:val="00825202"/>
    <w:rsid w:val="0082520A"/>
    <w:rsid w:val="00826C1D"/>
    <w:rsid w:val="0083149C"/>
    <w:rsid w:val="00833E1C"/>
    <w:rsid w:val="008340D6"/>
    <w:rsid w:val="00835506"/>
    <w:rsid w:val="0083552B"/>
    <w:rsid w:val="00837551"/>
    <w:rsid w:val="00837AB6"/>
    <w:rsid w:val="00841515"/>
    <w:rsid w:val="0084190D"/>
    <w:rsid w:val="008458F7"/>
    <w:rsid w:val="00846A8A"/>
    <w:rsid w:val="00850176"/>
    <w:rsid w:val="008508AA"/>
    <w:rsid w:val="00852741"/>
    <w:rsid w:val="00855A19"/>
    <w:rsid w:val="00856384"/>
    <w:rsid w:val="00857F3C"/>
    <w:rsid w:val="008612AE"/>
    <w:rsid w:val="00862807"/>
    <w:rsid w:val="0086676D"/>
    <w:rsid w:val="0086798D"/>
    <w:rsid w:val="00870E9F"/>
    <w:rsid w:val="00872676"/>
    <w:rsid w:val="008729AE"/>
    <w:rsid w:val="00876689"/>
    <w:rsid w:val="00877037"/>
    <w:rsid w:val="008828B1"/>
    <w:rsid w:val="00882A61"/>
    <w:rsid w:val="00882BE6"/>
    <w:rsid w:val="00884B1A"/>
    <w:rsid w:val="008860EA"/>
    <w:rsid w:val="00886B7C"/>
    <w:rsid w:val="00886D7A"/>
    <w:rsid w:val="00892F78"/>
    <w:rsid w:val="00893C43"/>
    <w:rsid w:val="00894E6A"/>
    <w:rsid w:val="00897959"/>
    <w:rsid w:val="008A482D"/>
    <w:rsid w:val="008A4955"/>
    <w:rsid w:val="008A634F"/>
    <w:rsid w:val="008B3360"/>
    <w:rsid w:val="008B4551"/>
    <w:rsid w:val="008B574F"/>
    <w:rsid w:val="008B5DA1"/>
    <w:rsid w:val="008B7259"/>
    <w:rsid w:val="008B7326"/>
    <w:rsid w:val="008C0FBC"/>
    <w:rsid w:val="008C1936"/>
    <w:rsid w:val="008C2A21"/>
    <w:rsid w:val="008C2C9E"/>
    <w:rsid w:val="008C54BD"/>
    <w:rsid w:val="008C6033"/>
    <w:rsid w:val="008C7326"/>
    <w:rsid w:val="008C7E95"/>
    <w:rsid w:val="008D3D2A"/>
    <w:rsid w:val="008D4AC3"/>
    <w:rsid w:val="008D76B3"/>
    <w:rsid w:val="008D7C90"/>
    <w:rsid w:val="008E018C"/>
    <w:rsid w:val="008E1837"/>
    <w:rsid w:val="008E41AF"/>
    <w:rsid w:val="008E4C22"/>
    <w:rsid w:val="008E56CA"/>
    <w:rsid w:val="008E62F4"/>
    <w:rsid w:val="008E66BD"/>
    <w:rsid w:val="008E7D3E"/>
    <w:rsid w:val="008F03C7"/>
    <w:rsid w:val="008F1BF2"/>
    <w:rsid w:val="008F2920"/>
    <w:rsid w:val="008F4447"/>
    <w:rsid w:val="008F4878"/>
    <w:rsid w:val="008F6C30"/>
    <w:rsid w:val="008F7C9E"/>
    <w:rsid w:val="009006BA"/>
    <w:rsid w:val="0090173E"/>
    <w:rsid w:val="00903299"/>
    <w:rsid w:val="00903C92"/>
    <w:rsid w:val="00906B96"/>
    <w:rsid w:val="009132B0"/>
    <w:rsid w:val="00914BC9"/>
    <w:rsid w:val="00914EA4"/>
    <w:rsid w:val="00916047"/>
    <w:rsid w:val="009177CA"/>
    <w:rsid w:val="00921090"/>
    <w:rsid w:val="009228E6"/>
    <w:rsid w:val="00926FCC"/>
    <w:rsid w:val="009275EE"/>
    <w:rsid w:val="00931442"/>
    <w:rsid w:val="0093264F"/>
    <w:rsid w:val="009346CF"/>
    <w:rsid w:val="00936CDD"/>
    <w:rsid w:val="00940D9E"/>
    <w:rsid w:val="00941365"/>
    <w:rsid w:val="0094164F"/>
    <w:rsid w:val="00942FE1"/>
    <w:rsid w:val="009433D0"/>
    <w:rsid w:val="00945950"/>
    <w:rsid w:val="009475DC"/>
    <w:rsid w:val="00947E65"/>
    <w:rsid w:val="009504A7"/>
    <w:rsid w:val="009526E1"/>
    <w:rsid w:val="009557F5"/>
    <w:rsid w:val="009566AB"/>
    <w:rsid w:val="009604CA"/>
    <w:rsid w:val="00961255"/>
    <w:rsid w:val="00961A7B"/>
    <w:rsid w:val="00961DD5"/>
    <w:rsid w:val="00962720"/>
    <w:rsid w:val="00963792"/>
    <w:rsid w:val="00964959"/>
    <w:rsid w:val="0096672B"/>
    <w:rsid w:val="00967210"/>
    <w:rsid w:val="00971BCD"/>
    <w:rsid w:val="00972995"/>
    <w:rsid w:val="00973AC5"/>
    <w:rsid w:val="009741C9"/>
    <w:rsid w:val="0097669C"/>
    <w:rsid w:val="00976D8A"/>
    <w:rsid w:val="00982BC0"/>
    <w:rsid w:val="009834DA"/>
    <w:rsid w:val="009868EB"/>
    <w:rsid w:val="00990493"/>
    <w:rsid w:val="00992E16"/>
    <w:rsid w:val="00993BC6"/>
    <w:rsid w:val="00995901"/>
    <w:rsid w:val="009A13E3"/>
    <w:rsid w:val="009A1A40"/>
    <w:rsid w:val="009A1EE9"/>
    <w:rsid w:val="009A2A06"/>
    <w:rsid w:val="009A6EF2"/>
    <w:rsid w:val="009B0EA4"/>
    <w:rsid w:val="009B355F"/>
    <w:rsid w:val="009B5AA2"/>
    <w:rsid w:val="009B625F"/>
    <w:rsid w:val="009B630B"/>
    <w:rsid w:val="009B76F5"/>
    <w:rsid w:val="009B7859"/>
    <w:rsid w:val="009B7BFF"/>
    <w:rsid w:val="009C465A"/>
    <w:rsid w:val="009C5E2E"/>
    <w:rsid w:val="009C6B97"/>
    <w:rsid w:val="009D172A"/>
    <w:rsid w:val="009D2D00"/>
    <w:rsid w:val="009D3399"/>
    <w:rsid w:val="009D382A"/>
    <w:rsid w:val="009D4589"/>
    <w:rsid w:val="009D517A"/>
    <w:rsid w:val="009D569B"/>
    <w:rsid w:val="009D706C"/>
    <w:rsid w:val="009E3CE9"/>
    <w:rsid w:val="009E47E2"/>
    <w:rsid w:val="009E4DE2"/>
    <w:rsid w:val="009E61F4"/>
    <w:rsid w:val="009F49E0"/>
    <w:rsid w:val="009F5F76"/>
    <w:rsid w:val="00A00773"/>
    <w:rsid w:val="00A007E6"/>
    <w:rsid w:val="00A01A8E"/>
    <w:rsid w:val="00A04331"/>
    <w:rsid w:val="00A051AC"/>
    <w:rsid w:val="00A10A27"/>
    <w:rsid w:val="00A10EAC"/>
    <w:rsid w:val="00A11834"/>
    <w:rsid w:val="00A13A23"/>
    <w:rsid w:val="00A144DD"/>
    <w:rsid w:val="00A15708"/>
    <w:rsid w:val="00A16049"/>
    <w:rsid w:val="00A17F73"/>
    <w:rsid w:val="00A202CC"/>
    <w:rsid w:val="00A2119D"/>
    <w:rsid w:val="00A21E38"/>
    <w:rsid w:val="00A23C2F"/>
    <w:rsid w:val="00A24669"/>
    <w:rsid w:val="00A24706"/>
    <w:rsid w:val="00A27796"/>
    <w:rsid w:val="00A30E81"/>
    <w:rsid w:val="00A31C7B"/>
    <w:rsid w:val="00A404B7"/>
    <w:rsid w:val="00A41865"/>
    <w:rsid w:val="00A4374C"/>
    <w:rsid w:val="00A45B6B"/>
    <w:rsid w:val="00A53235"/>
    <w:rsid w:val="00A545F6"/>
    <w:rsid w:val="00A54A9F"/>
    <w:rsid w:val="00A5689A"/>
    <w:rsid w:val="00A57615"/>
    <w:rsid w:val="00A61005"/>
    <w:rsid w:val="00A627F5"/>
    <w:rsid w:val="00A62920"/>
    <w:rsid w:val="00A67B1B"/>
    <w:rsid w:val="00A7254D"/>
    <w:rsid w:val="00A735CD"/>
    <w:rsid w:val="00A75D58"/>
    <w:rsid w:val="00A7668D"/>
    <w:rsid w:val="00A802B1"/>
    <w:rsid w:val="00A84380"/>
    <w:rsid w:val="00A84E61"/>
    <w:rsid w:val="00A85DCC"/>
    <w:rsid w:val="00A867FC"/>
    <w:rsid w:val="00A90391"/>
    <w:rsid w:val="00A9077A"/>
    <w:rsid w:val="00A91387"/>
    <w:rsid w:val="00A91737"/>
    <w:rsid w:val="00A918B5"/>
    <w:rsid w:val="00A924EF"/>
    <w:rsid w:val="00A92CEB"/>
    <w:rsid w:val="00A92FE2"/>
    <w:rsid w:val="00A92FFA"/>
    <w:rsid w:val="00A97EDB"/>
    <w:rsid w:val="00AA0C48"/>
    <w:rsid w:val="00AA3FC0"/>
    <w:rsid w:val="00AA44F7"/>
    <w:rsid w:val="00AA48DC"/>
    <w:rsid w:val="00AA4ADE"/>
    <w:rsid w:val="00AA525E"/>
    <w:rsid w:val="00AA6E00"/>
    <w:rsid w:val="00AA70C3"/>
    <w:rsid w:val="00AB0438"/>
    <w:rsid w:val="00AB2DA7"/>
    <w:rsid w:val="00AB3C8B"/>
    <w:rsid w:val="00AB48C7"/>
    <w:rsid w:val="00AB7320"/>
    <w:rsid w:val="00AB7E1F"/>
    <w:rsid w:val="00AC1E87"/>
    <w:rsid w:val="00AC2133"/>
    <w:rsid w:val="00AC3FE5"/>
    <w:rsid w:val="00AC444C"/>
    <w:rsid w:val="00AC519B"/>
    <w:rsid w:val="00AC630E"/>
    <w:rsid w:val="00AC63A1"/>
    <w:rsid w:val="00AC677D"/>
    <w:rsid w:val="00AD210B"/>
    <w:rsid w:val="00AD279D"/>
    <w:rsid w:val="00AD4B4D"/>
    <w:rsid w:val="00AE3E9D"/>
    <w:rsid w:val="00AE45CC"/>
    <w:rsid w:val="00AE5268"/>
    <w:rsid w:val="00AF15DD"/>
    <w:rsid w:val="00AF3672"/>
    <w:rsid w:val="00AF3749"/>
    <w:rsid w:val="00AF386C"/>
    <w:rsid w:val="00AF3CAF"/>
    <w:rsid w:val="00AF4739"/>
    <w:rsid w:val="00AF698E"/>
    <w:rsid w:val="00AF76FC"/>
    <w:rsid w:val="00B00F40"/>
    <w:rsid w:val="00B01BED"/>
    <w:rsid w:val="00B034C1"/>
    <w:rsid w:val="00B04372"/>
    <w:rsid w:val="00B057ED"/>
    <w:rsid w:val="00B059CB"/>
    <w:rsid w:val="00B05E06"/>
    <w:rsid w:val="00B05FB1"/>
    <w:rsid w:val="00B06876"/>
    <w:rsid w:val="00B1003D"/>
    <w:rsid w:val="00B112F3"/>
    <w:rsid w:val="00B12D08"/>
    <w:rsid w:val="00B12D70"/>
    <w:rsid w:val="00B145D3"/>
    <w:rsid w:val="00B15649"/>
    <w:rsid w:val="00B16EBD"/>
    <w:rsid w:val="00B17DCF"/>
    <w:rsid w:val="00B2021B"/>
    <w:rsid w:val="00B22277"/>
    <w:rsid w:val="00B30048"/>
    <w:rsid w:val="00B3115E"/>
    <w:rsid w:val="00B3200C"/>
    <w:rsid w:val="00B335A6"/>
    <w:rsid w:val="00B336BD"/>
    <w:rsid w:val="00B35AA3"/>
    <w:rsid w:val="00B40C59"/>
    <w:rsid w:val="00B41AA7"/>
    <w:rsid w:val="00B435C4"/>
    <w:rsid w:val="00B44030"/>
    <w:rsid w:val="00B45122"/>
    <w:rsid w:val="00B45187"/>
    <w:rsid w:val="00B476F6"/>
    <w:rsid w:val="00B51DD5"/>
    <w:rsid w:val="00B5272F"/>
    <w:rsid w:val="00B54E60"/>
    <w:rsid w:val="00B560EF"/>
    <w:rsid w:val="00B569DD"/>
    <w:rsid w:val="00B61215"/>
    <w:rsid w:val="00B63836"/>
    <w:rsid w:val="00B63870"/>
    <w:rsid w:val="00B64CB5"/>
    <w:rsid w:val="00B6663B"/>
    <w:rsid w:val="00B72DDD"/>
    <w:rsid w:val="00B73B93"/>
    <w:rsid w:val="00B75FAE"/>
    <w:rsid w:val="00B801BF"/>
    <w:rsid w:val="00B82A7C"/>
    <w:rsid w:val="00B84453"/>
    <w:rsid w:val="00B85815"/>
    <w:rsid w:val="00B85E7E"/>
    <w:rsid w:val="00B87507"/>
    <w:rsid w:val="00B9001B"/>
    <w:rsid w:val="00B90080"/>
    <w:rsid w:val="00B92520"/>
    <w:rsid w:val="00B92F7F"/>
    <w:rsid w:val="00B942AB"/>
    <w:rsid w:val="00B9733E"/>
    <w:rsid w:val="00B974E8"/>
    <w:rsid w:val="00BA1852"/>
    <w:rsid w:val="00BB250B"/>
    <w:rsid w:val="00BB29E9"/>
    <w:rsid w:val="00BB36C4"/>
    <w:rsid w:val="00BB5089"/>
    <w:rsid w:val="00BC00D6"/>
    <w:rsid w:val="00BC1EC2"/>
    <w:rsid w:val="00BC2219"/>
    <w:rsid w:val="00BC25D0"/>
    <w:rsid w:val="00BC7B13"/>
    <w:rsid w:val="00BD36D8"/>
    <w:rsid w:val="00BD3D87"/>
    <w:rsid w:val="00BD42EB"/>
    <w:rsid w:val="00BD5730"/>
    <w:rsid w:val="00BD701C"/>
    <w:rsid w:val="00BE142C"/>
    <w:rsid w:val="00BE152D"/>
    <w:rsid w:val="00BE2330"/>
    <w:rsid w:val="00BE2AC9"/>
    <w:rsid w:val="00BE55F3"/>
    <w:rsid w:val="00BE7713"/>
    <w:rsid w:val="00BE79E3"/>
    <w:rsid w:val="00BF0483"/>
    <w:rsid w:val="00BF0A75"/>
    <w:rsid w:val="00BF5983"/>
    <w:rsid w:val="00C00797"/>
    <w:rsid w:val="00C0271C"/>
    <w:rsid w:val="00C0375D"/>
    <w:rsid w:val="00C04E84"/>
    <w:rsid w:val="00C06675"/>
    <w:rsid w:val="00C06DCC"/>
    <w:rsid w:val="00C07B44"/>
    <w:rsid w:val="00C10366"/>
    <w:rsid w:val="00C10E23"/>
    <w:rsid w:val="00C12532"/>
    <w:rsid w:val="00C13270"/>
    <w:rsid w:val="00C132F6"/>
    <w:rsid w:val="00C158E3"/>
    <w:rsid w:val="00C162D8"/>
    <w:rsid w:val="00C171DE"/>
    <w:rsid w:val="00C17B54"/>
    <w:rsid w:val="00C17E4B"/>
    <w:rsid w:val="00C213BA"/>
    <w:rsid w:val="00C21D6F"/>
    <w:rsid w:val="00C234E1"/>
    <w:rsid w:val="00C23860"/>
    <w:rsid w:val="00C23DCE"/>
    <w:rsid w:val="00C250B3"/>
    <w:rsid w:val="00C25620"/>
    <w:rsid w:val="00C258C3"/>
    <w:rsid w:val="00C30F24"/>
    <w:rsid w:val="00C32024"/>
    <w:rsid w:val="00C32596"/>
    <w:rsid w:val="00C336FB"/>
    <w:rsid w:val="00C40EC0"/>
    <w:rsid w:val="00C4171A"/>
    <w:rsid w:val="00C4321C"/>
    <w:rsid w:val="00C43231"/>
    <w:rsid w:val="00C468DC"/>
    <w:rsid w:val="00C47D07"/>
    <w:rsid w:val="00C50EA3"/>
    <w:rsid w:val="00C511F4"/>
    <w:rsid w:val="00C516AE"/>
    <w:rsid w:val="00C53103"/>
    <w:rsid w:val="00C5556A"/>
    <w:rsid w:val="00C559CE"/>
    <w:rsid w:val="00C6075A"/>
    <w:rsid w:val="00C630B3"/>
    <w:rsid w:val="00C648B9"/>
    <w:rsid w:val="00C6629D"/>
    <w:rsid w:val="00C724FC"/>
    <w:rsid w:val="00C73241"/>
    <w:rsid w:val="00C733CF"/>
    <w:rsid w:val="00C73BF5"/>
    <w:rsid w:val="00C7565B"/>
    <w:rsid w:val="00C80D7A"/>
    <w:rsid w:val="00C81793"/>
    <w:rsid w:val="00C82897"/>
    <w:rsid w:val="00C86A94"/>
    <w:rsid w:val="00C87938"/>
    <w:rsid w:val="00C9145A"/>
    <w:rsid w:val="00C919A1"/>
    <w:rsid w:val="00C92215"/>
    <w:rsid w:val="00C93CAE"/>
    <w:rsid w:val="00C96850"/>
    <w:rsid w:val="00CA4529"/>
    <w:rsid w:val="00CA52F8"/>
    <w:rsid w:val="00CB078C"/>
    <w:rsid w:val="00CB0C3E"/>
    <w:rsid w:val="00CB12F0"/>
    <w:rsid w:val="00CB469E"/>
    <w:rsid w:val="00CB4AEC"/>
    <w:rsid w:val="00CB4BA7"/>
    <w:rsid w:val="00CB67CE"/>
    <w:rsid w:val="00CB6989"/>
    <w:rsid w:val="00CB747D"/>
    <w:rsid w:val="00CC06D9"/>
    <w:rsid w:val="00CC1A03"/>
    <w:rsid w:val="00CC1AD2"/>
    <w:rsid w:val="00CC2E47"/>
    <w:rsid w:val="00CC5741"/>
    <w:rsid w:val="00CD17E6"/>
    <w:rsid w:val="00CD2E0C"/>
    <w:rsid w:val="00CD5DF5"/>
    <w:rsid w:val="00CD5E27"/>
    <w:rsid w:val="00CD759F"/>
    <w:rsid w:val="00CE0B16"/>
    <w:rsid w:val="00CE1AFB"/>
    <w:rsid w:val="00CE2CE9"/>
    <w:rsid w:val="00CE479B"/>
    <w:rsid w:val="00CE516A"/>
    <w:rsid w:val="00CE661D"/>
    <w:rsid w:val="00CE6D35"/>
    <w:rsid w:val="00CE71C2"/>
    <w:rsid w:val="00CF1832"/>
    <w:rsid w:val="00CF27DE"/>
    <w:rsid w:val="00CF29CF"/>
    <w:rsid w:val="00CF2CD0"/>
    <w:rsid w:val="00CF3B13"/>
    <w:rsid w:val="00CF5F77"/>
    <w:rsid w:val="00D032E1"/>
    <w:rsid w:val="00D066B0"/>
    <w:rsid w:val="00D11279"/>
    <w:rsid w:val="00D14DEC"/>
    <w:rsid w:val="00D15080"/>
    <w:rsid w:val="00D15AE8"/>
    <w:rsid w:val="00D1600A"/>
    <w:rsid w:val="00D1666B"/>
    <w:rsid w:val="00D16D82"/>
    <w:rsid w:val="00D175AF"/>
    <w:rsid w:val="00D200FC"/>
    <w:rsid w:val="00D213D0"/>
    <w:rsid w:val="00D2149D"/>
    <w:rsid w:val="00D22C69"/>
    <w:rsid w:val="00D239A9"/>
    <w:rsid w:val="00D2713F"/>
    <w:rsid w:val="00D300D1"/>
    <w:rsid w:val="00D37D1C"/>
    <w:rsid w:val="00D37DD1"/>
    <w:rsid w:val="00D42A9B"/>
    <w:rsid w:val="00D44E9A"/>
    <w:rsid w:val="00D47000"/>
    <w:rsid w:val="00D50892"/>
    <w:rsid w:val="00D53F67"/>
    <w:rsid w:val="00D547D8"/>
    <w:rsid w:val="00D54BA7"/>
    <w:rsid w:val="00D55772"/>
    <w:rsid w:val="00D572C1"/>
    <w:rsid w:val="00D600EC"/>
    <w:rsid w:val="00D61400"/>
    <w:rsid w:val="00D641FA"/>
    <w:rsid w:val="00D70019"/>
    <w:rsid w:val="00D70078"/>
    <w:rsid w:val="00D712FB"/>
    <w:rsid w:val="00D71FFF"/>
    <w:rsid w:val="00D75080"/>
    <w:rsid w:val="00D814D3"/>
    <w:rsid w:val="00D8261E"/>
    <w:rsid w:val="00D83671"/>
    <w:rsid w:val="00D8398C"/>
    <w:rsid w:val="00D865F8"/>
    <w:rsid w:val="00D907EF"/>
    <w:rsid w:val="00D9165F"/>
    <w:rsid w:val="00D93BFB"/>
    <w:rsid w:val="00D97511"/>
    <w:rsid w:val="00DA0F9D"/>
    <w:rsid w:val="00DA1C19"/>
    <w:rsid w:val="00DA1E4D"/>
    <w:rsid w:val="00DA3C0A"/>
    <w:rsid w:val="00DA447B"/>
    <w:rsid w:val="00DA58AE"/>
    <w:rsid w:val="00DB06B5"/>
    <w:rsid w:val="00DB12F9"/>
    <w:rsid w:val="00DB1E3D"/>
    <w:rsid w:val="00DB5898"/>
    <w:rsid w:val="00DB5FB1"/>
    <w:rsid w:val="00DB61ED"/>
    <w:rsid w:val="00DC3080"/>
    <w:rsid w:val="00DC360F"/>
    <w:rsid w:val="00DC3E8F"/>
    <w:rsid w:val="00DC64AC"/>
    <w:rsid w:val="00DC7236"/>
    <w:rsid w:val="00DD16FE"/>
    <w:rsid w:val="00DD562B"/>
    <w:rsid w:val="00DD7179"/>
    <w:rsid w:val="00DD7DD2"/>
    <w:rsid w:val="00DE1087"/>
    <w:rsid w:val="00DE1947"/>
    <w:rsid w:val="00DE20D5"/>
    <w:rsid w:val="00DE460B"/>
    <w:rsid w:val="00DE4D9E"/>
    <w:rsid w:val="00DF01C2"/>
    <w:rsid w:val="00DF31E6"/>
    <w:rsid w:val="00E01992"/>
    <w:rsid w:val="00E037BE"/>
    <w:rsid w:val="00E03844"/>
    <w:rsid w:val="00E04263"/>
    <w:rsid w:val="00E0493A"/>
    <w:rsid w:val="00E062E2"/>
    <w:rsid w:val="00E06481"/>
    <w:rsid w:val="00E072C8"/>
    <w:rsid w:val="00E07E9A"/>
    <w:rsid w:val="00E10FD4"/>
    <w:rsid w:val="00E1347B"/>
    <w:rsid w:val="00E21BF2"/>
    <w:rsid w:val="00E22FDC"/>
    <w:rsid w:val="00E25AAA"/>
    <w:rsid w:val="00E25E6E"/>
    <w:rsid w:val="00E269F6"/>
    <w:rsid w:val="00E300AA"/>
    <w:rsid w:val="00E302F0"/>
    <w:rsid w:val="00E3063E"/>
    <w:rsid w:val="00E308CB"/>
    <w:rsid w:val="00E321FE"/>
    <w:rsid w:val="00E325BD"/>
    <w:rsid w:val="00E343C8"/>
    <w:rsid w:val="00E35D5A"/>
    <w:rsid w:val="00E42976"/>
    <w:rsid w:val="00E443EC"/>
    <w:rsid w:val="00E452D5"/>
    <w:rsid w:val="00E45508"/>
    <w:rsid w:val="00E45748"/>
    <w:rsid w:val="00E45D68"/>
    <w:rsid w:val="00E47F72"/>
    <w:rsid w:val="00E51A84"/>
    <w:rsid w:val="00E51AE8"/>
    <w:rsid w:val="00E535A7"/>
    <w:rsid w:val="00E55F0F"/>
    <w:rsid w:val="00E577A9"/>
    <w:rsid w:val="00E61B20"/>
    <w:rsid w:val="00E61EC8"/>
    <w:rsid w:val="00E62B88"/>
    <w:rsid w:val="00E62D59"/>
    <w:rsid w:val="00E6473C"/>
    <w:rsid w:val="00E6645E"/>
    <w:rsid w:val="00E66664"/>
    <w:rsid w:val="00E66E43"/>
    <w:rsid w:val="00E67C16"/>
    <w:rsid w:val="00E70093"/>
    <w:rsid w:val="00E700AC"/>
    <w:rsid w:val="00E70232"/>
    <w:rsid w:val="00E74F84"/>
    <w:rsid w:val="00E75DFF"/>
    <w:rsid w:val="00E75EFC"/>
    <w:rsid w:val="00E77BC1"/>
    <w:rsid w:val="00E77FFB"/>
    <w:rsid w:val="00E8525B"/>
    <w:rsid w:val="00E924FE"/>
    <w:rsid w:val="00E9554A"/>
    <w:rsid w:val="00E9631B"/>
    <w:rsid w:val="00EA1273"/>
    <w:rsid w:val="00EA2413"/>
    <w:rsid w:val="00EA52E2"/>
    <w:rsid w:val="00EA57F5"/>
    <w:rsid w:val="00EA6BDE"/>
    <w:rsid w:val="00EB09A8"/>
    <w:rsid w:val="00EB203B"/>
    <w:rsid w:val="00EB37B3"/>
    <w:rsid w:val="00EB3F87"/>
    <w:rsid w:val="00EC037E"/>
    <w:rsid w:val="00EC44BE"/>
    <w:rsid w:val="00EC5EB3"/>
    <w:rsid w:val="00EC6DE3"/>
    <w:rsid w:val="00ED00A1"/>
    <w:rsid w:val="00ED0DA5"/>
    <w:rsid w:val="00ED18D0"/>
    <w:rsid w:val="00ED42E7"/>
    <w:rsid w:val="00EE0096"/>
    <w:rsid w:val="00EE1A1F"/>
    <w:rsid w:val="00EE3488"/>
    <w:rsid w:val="00EE3731"/>
    <w:rsid w:val="00EE388E"/>
    <w:rsid w:val="00EE3C7B"/>
    <w:rsid w:val="00EE4AF1"/>
    <w:rsid w:val="00EE4BE6"/>
    <w:rsid w:val="00EE5547"/>
    <w:rsid w:val="00EE67CE"/>
    <w:rsid w:val="00EE7240"/>
    <w:rsid w:val="00EE7EE0"/>
    <w:rsid w:val="00EF0661"/>
    <w:rsid w:val="00EF0912"/>
    <w:rsid w:val="00EF2763"/>
    <w:rsid w:val="00EF6E60"/>
    <w:rsid w:val="00F02A2B"/>
    <w:rsid w:val="00F02BE3"/>
    <w:rsid w:val="00F02CBF"/>
    <w:rsid w:val="00F02E9E"/>
    <w:rsid w:val="00F03447"/>
    <w:rsid w:val="00F04499"/>
    <w:rsid w:val="00F05A54"/>
    <w:rsid w:val="00F07CA0"/>
    <w:rsid w:val="00F10351"/>
    <w:rsid w:val="00F117F4"/>
    <w:rsid w:val="00F117FD"/>
    <w:rsid w:val="00F132F4"/>
    <w:rsid w:val="00F13347"/>
    <w:rsid w:val="00F136DC"/>
    <w:rsid w:val="00F13E5F"/>
    <w:rsid w:val="00F15DDA"/>
    <w:rsid w:val="00F22E0E"/>
    <w:rsid w:val="00F24687"/>
    <w:rsid w:val="00F2643E"/>
    <w:rsid w:val="00F2702F"/>
    <w:rsid w:val="00F3001F"/>
    <w:rsid w:val="00F31012"/>
    <w:rsid w:val="00F314D2"/>
    <w:rsid w:val="00F4145C"/>
    <w:rsid w:val="00F45A3E"/>
    <w:rsid w:val="00F530E2"/>
    <w:rsid w:val="00F537CA"/>
    <w:rsid w:val="00F53AD5"/>
    <w:rsid w:val="00F5584A"/>
    <w:rsid w:val="00F56FDD"/>
    <w:rsid w:val="00F57823"/>
    <w:rsid w:val="00F57994"/>
    <w:rsid w:val="00F603F8"/>
    <w:rsid w:val="00F604EC"/>
    <w:rsid w:val="00F63A78"/>
    <w:rsid w:val="00F64815"/>
    <w:rsid w:val="00F717B5"/>
    <w:rsid w:val="00F72EAB"/>
    <w:rsid w:val="00F76F68"/>
    <w:rsid w:val="00F77C84"/>
    <w:rsid w:val="00F802F7"/>
    <w:rsid w:val="00F84687"/>
    <w:rsid w:val="00F84BB7"/>
    <w:rsid w:val="00F85C16"/>
    <w:rsid w:val="00F87283"/>
    <w:rsid w:val="00F87E03"/>
    <w:rsid w:val="00F90B56"/>
    <w:rsid w:val="00F92BD6"/>
    <w:rsid w:val="00F92FCE"/>
    <w:rsid w:val="00F94692"/>
    <w:rsid w:val="00F94A0B"/>
    <w:rsid w:val="00F95131"/>
    <w:rsid w:val="00F95315"/>
    <w:rsid w:val="00FA0547"/>
    <w:rsid w:val="00FA061A"/>
    <w:rsid w:val="00FB00D0"/>
    <w:rsid w:val="00FB3233"/>
    <w:rsid w:val="00FB4352"/>
    <w:rsid w:val="00FB7CC2"/>
    <w:rsid w:val="00FC0959"/>
    <w:rsid w:val="00FC14F3"/>
    <w:rsid w:val="00FC2ED8"/>
    <w:rsid w:val="00FC3870"/>
    <w:rsid w:val="00FD2F8A"/>
    <w:rsid w:val="00FD6B8F"/>
    <w:rsid w:val="00FE0CB5"/>
    <w:rsid w:val="00FE1B61"/>
    <w:rsid w:val="00FE25A7"/>
    <w:rsid w:val="00FE3ABD"/>
    <w:rsid w:val="00FE47A0"/>
    <w:rsid w:val="00FE48EE"/>
    <w:rsid w:val="00FE5968"/>
    <w:rsid w:val="00FF04DA"/>
    <w:rsid w:val="00FF4B39"/>
    <w:rsid w:val="00FF51C4"/>
    <w:rsid w:val="00FF7751"/>
    <w:rsid w:val="00FF7A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CAB58B"/>
  <w15:docId w15:val="{F8983C65-9833-4687-90C4-43217BF28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E1837"/>
  </w:style>
  <w:style w:type="paragraph" w:styleId="berschrift1">
    <w:name w:val="heading 1"/>
    <w:basedOn w:val="Standard"/>
    <w:next w:val="Standard"/>
    <w:link w:val="berschrift1Zchn"/>
    <w:uiPriority w:val="9"/>
    <w:qFormat/>
    <w:rsid w:val="00E037B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6E598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semiHidden/>
    <w:unhideWhenUsed/>
    <w:qFormat/>
    <w:rsid w:val="00B2021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8E7D3E"/>
    <w:rPr>
      <w:color w:val="0000FF"/>
      <w:u w:val="single"/>
    </w:rPr>
  </w:style>
  <w:style w:type="paragraph" w:styleId="StandardWeb">
    <w:name w:val="Normal (Web)"/>
    <w:basedOn w:val="Standard"/>
    <w:uiPriority w:val="99"/>
    <w:unhideWhenUsed/>
    <w:rsid w:val="008E7D3E"/>
    <w:pPr>
      <w:spacing w:before="100" w:beforeAutospacing="1" w:after="100" w:afterAutospacing="1" w:line="240" w:lineRule="auto"/>
    </w:pPr>
    <w:rPr>
      <w:rFonts w:ascii="Times New Roman" w:hAnsi="Times New Roman" w:cs="Times New Roman"/>
      <w:sz w:val="24"/>
      <w:szCs w:val="24"/>
      <w:lang w:eastAsia="de-DE"/>
    </w:rPr>
  </w:style>
  <w:style w:type="character" w:styleId="Hervorhebung">
    <w:name w:val="Emphasis"/>
    <w:basedOn w:val="Absatz-Standardschriftart"/>
    <w:uiPriority w:val="20"/>
    <w:qFormat/>
    <w:rsid w:val="008E7D3E"/>
    <w:rPr>
      <w:i/>
      <w:iCs/>
    </w:rPr>
  </w:style>
  <w:style w:type="paragraph" w:styleId="Sprechblasentext">
    <w:name w:val="Balloon Text"/>
    <w:basedOn w:val="Standard"/>
    <w:link w:val="SprechblasentextZchn"/>
    <w:uiPriority w:val="99"/>
    <w:semiHidden/>
    <w:unhideWhenUsed/>
    <w:rsid w:val="003E448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E4485"/>
    <w:rPr>
      <w:rFonts w:ascii="Segoe UI" w:hAnsi="Segoe UI" w:cs="Segoe UI"/>
      <w:sz w:val="18"/>
      <w:szCs w:val="18"/>
    </w:rPr>
  </w:style>
  <w:style w:type="character" w:styleId="Kommentarzeichen">
    <w:name w:val="annotation reference"/>
    <w:basedOn w:val="Absatz-Standardschriftart"/>
    <w:uiPriority w:val="99"/>
    <w:semiHidden/>
    <w:unhideWhenUsed/>
    <w:rsid w:val="00334076"/>
    <w:rPr>
      <w:sz w:val="16"/>
      <w:szCs w:val="16"/>
    </w:rPr>
  </w:style>
  <w:style w:type="paragraph" w:styleId="Kommentartext">
    <w:name w:val="annotation text"/>
    <w:basedOn w:val="Standard"/>
    <w:link w:val="KommentartextZchn"/>
    <w:uiPriority w:val="99"/>
    <w:unhideWhenUsed/>
    <w:rsid w:val="00334076"/>
    <w:pPr>
      <w:spacing w:line="240" w:lineRule="auto"/>
    </w:pPr>
    <w:rPr>
      <w:sz w:val="20"/>
      <w:szCs w:val="20"/>
    </w:rPr>
  </w:style>
  <w:style w:type="character" w:customStyle="1" w:styleId="KommentartextZchn">
    <w:name w:val="Kommentartext Zchn"/>
    <w:basedOn w:val="Absatz-Standardschriftart"/>
    <w:link w:val="Kommentartext"/>
    <w:uiPriority w:val="99"/>
    <w:rsid w:val="00334076"/>
    <w:rPr>
      <w:sz w:val="20"/>
      <w:szCs w:val="20"/>
    </w:rPr>
  </w:style>
  <w:style w:type="paragraph" w:styleId="Kommentarthema">
    <w:name w:val="annotation subject"/>
    <w:basedOn w:val="Kommentartext"/>
    <w:next w:val="Kommentartext"/>
    <w:link w:val="KommentarthemaZchn"/>
    <w:uiPriority w:val="99"/>
    <w:semiHidden/>
    <w:unhideWhenUsed/>
    <w:rsid w:val="00334076"/>
    <w:rPr>
      <w:b/>
      <w:bCs/>
    </w:rPr>
  </w:style>
  <w:style w:type="character" w:customStyle="1" w:styleId="KommentarthemaZchn">
    <w:name w:val="Kommentarthema Zchn"/>
    <w:basedOn w:val="KommentartextZchn"/>
    <w:link w:val="Kommentarthema"/>
    <w:uiPriority w:val="99"/>
    <w:semiHidden/>
    <w:rsid w:val="00334076"/>
    <w:rPr>
      <w:b/>
      <w:bCs/>
      <w:sz w:val="20"/>
      <w:szCs w:val="20"/>
    </w:rPr>
  </w:style>
  <w:style w:type="paragraph" w:customStyle="1" w:styleId="Default">
    <w:name w:val="Default"/>
    <w:rsid w:val="00F56FDD"/>
    <w:pPr>
      <w:autoSpaceDE w:val="0"/>
      <w:autoSpaceDN w:val="0"/>
      <w:adjustRightInd w:val="0"/>
      <w:spacing w:after="0" w:line="240" w:lineRule="auto"/>
    </w:pPr>
    <w:rPr>
      <w:rFonts w:ascii="Calibri" w:hAnsi="Calibri" w:cs="Calibri"/>
      <w:color w:val="000000"/>
      <w:sz w:val="24"/>
      <w:szCs w:val="24"/>
    </w:rPr>
  </w:style>
  <w:style w:type="paragraph" w:styleId="berarbeitung">
    <w:name w:val="Revision"/>
    <w:hidden/>
    <w:uiPriority w:val="99"/>
    <w:semiHidden/>
    <w:rsid w:val="002E0A0D"/>
    <w:pPr>
      <w:spacing w:after="0" w:line="240" w:lineRule="auto"/>
    </w:pPr>
  </w:style>
  <w:style w:type="paragraph" w:styleId="Listenabsatz">
    <w:name w:val="List Paragraph"/>
    <w:aliases w:val="U 5"/>
    <w:basedOn w:val="Standard"/>
    <w:link w:val="ListenabsatzZchn"/>
    <w:uiPriority w:val="34"/>
    <w:qFormat/>
    <w:rsid w:val="00384A79"/>
    <w:pPr>
      <w:ind w:left="720"/>
      <w:contextualSpacing/>
    </w:pPr>
  </w:style>
  <w:style w:type="paragraph" w:styleId="Kopfzeile">
    <w:name w:val="header"/>
    <w:basedOn w:val="Standard"/>
    <w:link w:val="KopfzeileZchn"/>
    <w:uiPriority w:val="99"/>
    <w:unhideWhenUsed/>
    <w:rsid w:val="00DC3E8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C3E8F"/>
  </w:style>
  <w:style w:type="paragraph" w:styleId="Fuzeile">
    <w:name w:val="footer"/>
    <w:basedOn w:val="Standard"/>
    <w:link w:val="FuzeileZchn"/>
    <w:uiPriority w:val="99"/>
    <w:unhideWhenUsed/>
    <w:rsid w:val="00DC3E8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C3E8F"/>
  </w:style>
  <w:style w:type="paragraph" w:styleId="Funotentext">
    <w:name w:val="footnote text"/>
    <w:basedOn w:val="Standard"/>
    <w:link w:val="FunotentextZchn"/>
    <w:uiPriority w:val="99"/>
    <w:semiHidden/>
    <w:unhideWhenUsed/>
    <w:rsid w:val="00BE142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E142C"/>
    <w:rPr>
      <w:sz w:val="20"/>
      <w:szCs w:val="20"/>
    </w:rPr>
  </w:style>
  <w:style w:type="character" w:styleId="Funotenzeichen">
    <w:name w:val="footnote reference"/>
    <w:basedOn w:val="Absatz-Standardschriftart"/>
    <w:uiPriority w:val="99"/>
    <w:semiHidden/>
    <w:unhideWhenUsed/>
    <w:rsid w:val="00BE142C"/>
    <w:rPr>
      <w:vertAlign w:val="superscript"/>
    </w:rPr>
  </w:style>
  <w:style w:type="character" w:customStyle="1" w:styleId="normaltextrun">
    <w:name w:val="normaltextrun"/>
    <w:basedOn w:val="Absatz-Standardschriftart"/>
    <w:rsid w:val="0067536D"/>
  </w:style>
  <w:style w:type="paragraph" w:customStyle="1" w:styleId="paragraph">
    <w:name w:val="paragraph"/>
    <w:basedOn w:val="Standard"/>
    <w:rsid w:val="0067536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eop">
    <w:name w:val="eop"/>
    <w:basedOn w:val="Absatz-Standardschriftart"/>
    <w:rsid w:val="0067536D"/>
  </w:style>
  <w:style w:type="character" w:customStyle="1" w:styleId="berschrift1Zchn">
    <w:name w:val="Überschrift 1 Zchn"/>
    <w:basedOn w:val="Absatz-Standardschriftart"/>
    <w:link w:val="berschrift1"/>
    <w:uiPriority w:val="9"/>
    <w:rsid w:val="00E037BE"/>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E037BE"/>
    <w:pPr>
      <w:spacing w:line="259" w:lineRule="auto"/>
      <w:outlineLvl w:val="9"/>
    </w:pPr>
    <w:rPr>
      <w:lang w:eastAsia="de-DE"/>
    </w:rPr>
  </w:style>
  <w:style w:type="paragraph" w:styleId="Verzeichnis1">
    <w:name w:val="toc 1"/>
    <w:basedOn w:val="Standard"/>
    <w:next w:val="Standard"/>
    <w:autoRedefine/>
    <w:uiPriority w:val="39"/>
    <w:unhideWhenUsed/>
    <w:rsid w:val="0062394D"/>
    <w:pPr>
      <w:tabs>
        <w:tab w:val="left" w:pos="426"/>
        <w:tab w:val="right" w:leader="dot" w:pos="9736"/>
      </w:tabs>
      <w:spacing w:after="100"/>
    </w:pPr>
  </w:style>
  <w:style w:type="character" w:customStyle="1" w:styleId="berschrift2Zchn">
    <w:name w:val="Überschrift 2 Zchn"/>
    <w:basedOn w:val="Absatz-Standardschriftart"/>
    <w:link w:val="berschrift2"/>
    <w:uiPriority w:val="9"/>
    <w:rsid w:val="006E5985"/>
    <w:rPr>
      <w:rFonts w:asciiTheme="majorHAnsi" w:eastAsiaTheme="majorEastAsia" w:hAnsiTheme="majorHAnsi" w:cstheme="majorBidi"/>
      <w:color w:val="365F91" w:themeColor="accent1" w:themeShade="BF"/>
      <w:sz w:val="26"/>
      <w:szCs w:val="26"/>
    </w:rPr>
  </w:style>
  <w:style w:type="table" w:customStyle="1" w:styleId="TableGrid">
    <w:name w:val="TableGrid"/>
    <w:rsid w:val="00976D8A"/>
    <w:pPr>
      <w:spacing w:after="0" w:line="240" w:lineRule="auto"/>
    </w:pPr>
    <w:rPr>
      <w:rFonts w:eastAsiaTheme="minorEastAsia"/>
      <w:lang w:eastAsia="de-DE"/>
    </w:rPr>
    <w:tblPr>
      <w:tblCellMar>
        <w:top w:w="0" w:type="dxa"/>
        <w:left w:w="0" w:type="dxa"/>
        <w:bottom w:w="0" w:type="dxa"/>
        <w:right w:w="0" w:type="dxa"/>
      </w:tblCellMar>
    </w:tblPr>
  </w:style>
  <w:style w:type="table" w:styleId="Tabellenraster">
    <w:name w:val="Table Grid"/>
    <w:basedOn w:val="NormaleTabelle"/>
    <w:rsid w:val="007F1209"/>
    <w:pPr>
      <w:spacing w:after="0" w:line="240" w:lineRule="auto"/>
    </w:pPr>
    <w:rPr>
      <w:rFonts w:ascii="Calibri" w:eastAsia="Calibri" w:hAnsi="Calibri"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B2021B"/>
    <w:rPr>
      <w:rFonts w:asciiTheme="majorHAnsi" w:eastAsiaTheme="majorEastAsia" w:hAnsiTheme="majorHAnsi" w:cstheme="majorBidi"/>
      <w:color w:val="243F60" w:themeColor="accent1" w:themeShade="7F"/>
      <w:sz w:val="24"/>
      <w:szCs w:val="24"/>
    </w:rPr>
  </w:style>
  <w:style w:type="character" w:customStyle="1" w:styleId="ListenabsatzZchn">
    <w:name w:val="Listenabsatz Zchn"/>
    <w:aliases w:val="U 5 Zchn"/>
    <w:link w:val="Listenabsatz"/>
    <w:uiPriority w:val="34"/>
    <w:locked/>
    <w:rsid w:val="00BD3D87"/>
  </w:style>
  <w:style w:type="paragraph" w:styleId="KeinLeerraum">
    <w:name w:val="No Spacing"/>
    <w:uiPriority w:val="1"/>
    <w:qFormat/>
    <w:rsid w:val="00BD3D87"/>
    <w:pPr>
      <w:spacing w:after="0" w:line="240" w:lineRule="auto"/>
    </w:pPr>
    <w:rPr>
      <w:rFonts w:ascii="Calibri" w:eastAsia="Calibri" w:hAnsi="Calibri" w:cs="Times New Roman"/>
    </w:rPr>
  </w:style>
  <w:style w:type="character" w:styleId="BesuchterLink">
    <w:name w:val="FollowedHyperlink"/>
    <w:basedOn w:val="Absatz-Standardschriftart"/>
    <w:uiPriority w:val="99"/>
    <w:semiHidden/>
    <w:unhideWhenUsed/>
    <w:rsid w:val="007A45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78878">
      <w:bodyDiv w:val="1"/>
      <w:marLeft w:val="0"/>
      <w:marRight w:val="0"/>
      <w:marTop w:val="0"/>
      <w:marBottom w:val="0"/>
      <w:divBdr>
        <w:top w:val="none" w:sz="0" w:space="0" w:color="auto"/>
        <w:left w:val="none" w:sz="0" w:space="0" w:color="auto"/>
        <w:bottom w:val="none" w:sz="0" w:space="0" w:color="auto"/>
        <w:right w:val="none" w:sz="0" w:space="0" w:color="auto"/>
      </w:divBdr>
    </w:div>
    <w:div w:id="142741155">
      <w:bodyDiv w:val="1"/>
      <w:marLeft w:val="0"/>
      <w:marRight w:val="0"/>
      <w:marTop w:val="0"/>
      <w:marBottom w:val="0"/>
      <w:divBdr>
        <w:top w:val="none" w:sz="0" w:space="0" w:color="auto"/>
        <w:left w:val="none" w:sz="0" w:space="0" w:color="auto"/>
        <w:bottom w:val="none" w:sz="0" w:space="0" w:color="auto"/>
        <w:right w:val="none" w:sz="0" w:space="0" w:color="auto"/>
      </w:divBdr>
      <w:divsChild>
        <w:div w:id="247349093">
          <w:marLeft w:val="562"/>
          <w:marRight w:val="0"/>
          <w:marTop w:val="0"/>
          <w:marBottom w:val="0"/>
          <w:divBdr>
            <w:top w:val="none" w:sz="0" w:space="0" w:color="auto"/>
            <w:left w:val="none" w:sz="0" w:space="0" w:color="auto"/>
            <w:bottom w:val="none" w:sz="0" w:space="0" w:color="auto"/>
            <w:right w:val="none" w:sz="0" w:space="0" w:color="auto"/>
          </w:divBdr>
        </w:div>
        <w:div w:id="1647054329">
          <w:marLeft w:val="562"/>
          <w:marRight w:val="0"/>
          <w:marTop w:val="0"/>
          <w:marBottom w:val="0"/>
          <w:divBdr>
            <w:top w:val="none" w:sz="0" w:space="0" w:color="auto"/>
            <w:left w:val="none" w:sz="0" w:space="0" w:color="auto"/>
            <w:bottom w:val="none" w:sz="0" w:space="0" w:color="auto"/>
            <w:right w:val="none" w:sz="0" w:space="0" w:color="auto"/>
          </w:divBdr>
        </w:div>
      </w:divsChild>
    </w:div>
    <w:div w:id="207685534">
      <w:bodyDiv w:val="1"/>
      <w:marLeft w:val="0"/>
      <w:marRight w:val="0"/>
      <w:marTop w:val="0"/>
      <w:marBottom w:val="0"/>
      <w:divBdr>
        <w:top w:val="none" w:sz="0" w:space="0" w:color="auto"/>
        <w:left w:val="none" w:sz="0" w:space="0" w:color="auto"/>
        <w:bottom w:val="none" w:sz="0" w:space="0" w:color="auto"/>
        <w:right w:val="none" w:sz="0" w:space="0" w:color="auto"/>
      </w:divBdr>
      <w:divsChild>
        <w:div w:id="192693106">
          <w:marLeft w:val="0"/>
          <w:marRight w:val="0"/>
          <w:marTop w:val="0"/>
          <w:marBottom w:val="0"/>
          <w:divBdr>
            <w:top w:val="none" w:sz="0" w:space="0" w:color="auto"/>
            <w:left w:val="none" w:sz="0" w:space="0" w:color="auto"/>
            <w:bottom w:val="none" w:sz="0" w:space="0" w:color="auto"/>
            <w:right w:val="none" w:sz="0" w:space="0" w:color="auto"/>
          </w:divBdr>
        </w:div>
        <w:div w:id="294678500">
          <w:marLeft w:val="0"/>
          <w:marRight w:val="0"/>
          <w:marTop w:val="0"/>
          <w:marBottom w:val="0"/>
          <w:divBdr>
            <w:top w:val="none" w:sz="0" w:space="0" w:color="auto"/>
            <w:left w:val="none" w:sz="0" w:space="0" w:color="auto"/>
            <w:bottom w:val="none" w:sz="0" w:space="0" w:color="auto"/>
            <w:right w:val="none" w:sz="0" w:space="0" w:color="auto"/>
          </w:divBdr>
        </w:div>
        <w:div w:id="300817975">
          <w:marLeft w:val="0"/>
          <w:marRight w:val="0"/>
          <w:marTop w:val="0"/>
          <w:marBottom w:val="0"/>
          <w:divBdr>
            <w:top w:val="none" w:sz="0" w:space="0" w:color="auto"/>
            <w:left w:val="none" w:sz="0" w:space="0" w:color="auto"/>
            <w:bottom w:val="none" w:sz="0" w:space="0" w:color="auto"/>
            <w:right w:val="none" w:sz="0" w:space="0" w:color="auto"/>
          </w:divBdr>
        </w:div>
        <w:div w:id="315885267">
          <w:marLeft w:val="0"/>
          <w:marRight w:val="0"/>
          <w:marTop w:val="0"/>
          <w:marBottom w:val="0"/>
          <w:divBdr>
            <w:top w:val="none" w:sz="0" w:space="0" w:color="auto"/>
            <w:left w:val="none" w:sz="0" w:space="0" w:color="auto"/>
            <w:bottom w:val="none" w:sz="0" w:space="0" w:color="auto"/>
            <w:right w:val="none" w:sz="0" w:space="0" w:color="auto"/>
          </w:divBdr>
        </w:div>
        <w:div w:id="346447396">
          <w:marLeft w:val="0"/>
          <w:marRight w:val="0"/>
          <w:marTop w:val="0"/>
          <w:marBottom w:val="0"/>
          <w:divBdr>
            <w:top w:val="none" w:sz="0" w:space="0" w:color="auto"/>
            <w:left w:val="none" w:sz="0" w:space="0" w:color="auto"/>
            <w:bottom w:val="none" w:sz="0" w:space="0" w:color="auto"/>
            <w:right w:val="none" w:sz="0" w:space="0" w:color="auto"/>
          </w:divBdr>
        </w:div>
        <w:div w:id="389497223">
          <w:marLeft w:val="0"/>
          <w:marRight w:val="0"/>
          <w:marTop w:val="0"/>
          <w:marBottom w:val="0"/>
          <w:divBdr>
            <w:top w:val="none" w:sz="0" w:space="0" w:color="auto"/>
            <w:left w:val="none" w:sz="0" w:space="0" w:color="auto"/>
            <w:bottom w:val="none" w:sz="0" w:space="0" w:color="auto"/>
            <w:right w:val="none" w:sz="0" w:space="0" w:color="auto"/>
          </w:divBdr>
        </w:div>
        <w:div w:id="486214679">
          <w:marLeft w:val="0"/>
          <w:marRight w:val="0"/>
          <w:marTop w:val="0"/>
          <w:marBottom w:val="0"/>
          <w:divBdr>
            <w:top w:val="none" w:sz="0" w:space="0" w:color="auto"/>
            <w:left w:val="none" w:sz="0" w:space="0" w:color="auto"/>
            <w:bottom w:val="none" w:sz="0" w:space="0" w:color="auto"/>
            <w:right w:val="none" w:sz="0" w:space="0" w:color="auto"/>
          </w:divBdr>
        </w:div>
        <w:div w:id="520827681">
          <w:marLeft w:val="0"/>
          <w:marRight w:val="0"/>
          <w:marTop w:val="0"/>
          <w:marBottom w:val="0"/>
          <w:divBdr>
            <w:top w:val="none" w:sz="0" w:space="0" w:color="auto"/>
            <w:left w:val="none" w:sz="0" w:space="0" w:color="auto"/>
            <w:bottom w:val="none" w:sz="0" w:space="0" w:color="auto"/>
            <w:right w:val="none" w:sz="0" w:space="0" w:color="auto"/>
          </w:divBdr>
        </w:div>
        <w:div w:id="621690266">
          <w:marLeft w:val="0"/>
          <w:marRight w:val="0"/>
          <w:marTop w:val="0"/>
          <w:marBottom w:val="0"/>
          <w:divBdr>
            <w:top w:val="none" w:sz="0" w:space="0" w:color="auto"/>
            <w:left w:val="none" w:sz="0" w:space="0" w:color="auto"/>
            <w:bottom w:val="none" w:sz="0" w:space="0" w:color="auto"/>
            <w:right w:val="none" w:sz="0" w:space="0" w:color="auto"/>
          </w:divBdr>
        </w:div>
        <w:div w:id="754324892">
          <w:marLeft w:val="0"/>
          <w:marRight w:val="0"/>
          <w:marTop w:val="0"/>
          <w:marBottom w:val="0"/>
          <w:divBdr>
            <w:top w:val="none" w:sz="0" w:space="0" w:color="auto"/>
            <w:left w:val="none" w:sz="0" w:space="0" w:color="auto"/>
            <w:bottom w:val="none" w:sz="0" w:space="0" w:color="auto"/>
            <w:right w:val="none" w:sz="0" w:space="0" w:color="auto"/>
          </w:divBdr>
        </w:div>
        <w:div w:id="861750720">
          <w:marLeft w:val="0"/>
          <w:marRight w:val="0"/>
          <w:marTop w:val="0"/>
          <w:marBottom w:val="0"/>
          <w:divBdr>
            <w:top w:val="none" w:sz="0" w:space="0" w:color="auto"/>
            <w:left w:val="none" w:sz="0" w:space="0" w:color="auto"/>
            <w:bottom w:val="none" w:sz="0" w:space="0" w:color="auto"/>
            <w:right w:val="none" w:sz="0" w:space="0" w:color="auto"/>
          </w:divBdr>
        </w:div>
        <w:div w:id="864948890">
          <w:marLeft w:val="0"/>
          <w:marRight w:val="0"/>
          <w:marTop w:val="0"/>
          <w:marBottom w:val="0"/>
          <w:divBdr>
            <w:top w:val="none" w:sz="0" w:space="0" w:color="auto"/>
            <w:left w:val="none" w:sz="0" w:space="0" w:color="auto"/>
            <w:bottom w:val="none" w:sz="0" w:space="0" w:color="auto"/>
            <w:right w:val="none" w:sz="0" w:space="0" w:color="auto"/>
          </w:divBdr>
        </w:div>
        <w:div w:id="868638328">
          <w:marLeft w:val="0"/>
          <w:marRight w:val="0"/>
          <w:marTop w:val="0"/>
          <w:marBottom w:val="0"/>
          <w:divBdr>
            <w:top w:val="none" w:sz="0" w:space="0" w:color="auto"/>
            <w:left w:val="none" w:sz="0" w:space="0" w:color="auto"/>
            <w:bottom w:val="none" w:sz="0" w:space="0" w:color="auto"/>
            <w:right w:val="none" w:sz="0" w:space="0" w:color="auto"/>
          </w:divBdr>
        </w:div>
        <w:div w:id="989676749">
          <w:marLeft w:val="0"/>
          <w:marRight w:val="0"/>
          <w:marTop w:val="0"/>
          <w:marBottom w:val="0"/>
          <w:divBdr>
            <w:top w:val="none" w:sz="0" w:space="0" w:color="auto"/>
            <w:left w:val="none" w:sz="0" w:space="0" w:color="auto"/>
            <w:bottom w:val="none" w:sz="0" w:space="0" w:color="auto"/>
            <w:right w:val="none" w:sz="0" w:space="0" w:color="auto"/>
          </w:divBdr>
        </w:div>
        <w:div w:id="1037121698">
          <w:marLeft w:val="0"/>
          <w:marRight w:val="0"/>
          <w:marTop w:val="0"/>
          <w:marBottom w:val="0"/>
          <w:divBdr>
            <w:top w:val="none" w:sz="0" w:space="0" w:color="auto"/>
            <w:left w:val="none" w:sz="0" w:space="0" w:color="auto"/>
            <w:bottom w:val="none" w:sz="0" w:space="0" w:color="auto"/>
            <w:right w:val="none" w:sz="0" w:space="0" w:color="auto"/>
          </w:divBdr>
        </w:div>
        <w:div w:id="1094283986">
          <w:marLeft w:val="0"/>
          <w:marRight w:val="0"/>
          <w:marTop w:val="0"/>
          <w:marBottom w:val="0"/>
          <w:divBdr>
            <w:top w:val="none" w:sz="0" w:space="0" w:color="auto"/>
            <w:left w:val="none" w:sz="0" w:space="0" w:color="auto"/>
            <w:bottom w:val="none" w:sz="0" w:space="0" w:color="auto"/>
            <w:right w:val="none" w:sz="0" w:space="0" w:color="auto"/>
          </w:divBdr>
        </w:div>
        <w:div w:id="1140002469">
          <w:marLeft w:val="0"/>
          <w:marRight w:val="0"/>
          <w:marTop w:val="0"/>
          <w:marBottom w:val="0"/>
          <w:divBdr>
            <w:top w:val="none" w:sz="0" w:space="0" w:color="auto"/>
            <w:left w:val="none" w:sz="0" w:space="0" w:color="auto"/>
            <w:bottom w:val="none" w:sz="0" w:space="0" w:color="auto"/>
            <w:right w:val="none" w:sz="0" w:space="0" w:color="auto"/>
          </w:divBdr>
        </w:div>
        <w:div w:id="1158228245">
          <w:marLeft w:val="0"/>
          <w:marRight w:val="0"/>
          <w:marTop w:val="0"/>
          <w:marBottom w:val="0"/>
          <w:divBdr>
            <w:top w:val="none" w:sz="0" w:space="0" w:color="auto"/>
            <w:left w:val="none" w:sz="0" w:space="0" w:color="auto"/>
            <w:bottom w:val="none" w:sz="0" w:space="0" w:color="auto"/>
            <w:right w:val="none" w:sz="0" w:space="0" w:color="auto"/>
          </w:divBdr>
        </w:div>
        <w:div w:id="1359769749">
          <w:marLeft w:val="0"/>
          <w:marRight w:val="0"/>
          <w:marTop w:val="0"/>
          <w:marBottom w:val="0"/>
          <w:divBdr>
            <w:top w:val="none" w:sz="0" w:space="0" w:color="auto"/>
            <w:left w:val="none" w:sz="0" w:space="0" w:color="auto"/>
            <w:bottom w:val="none" w:sz="0" w:space="0" w:color="auto"/>
            <w:right w:val="none" w:sz="0" w:space="0" w:color="auto"/>
          </w:divBdr>
        </w:div>
        <w:div w:id="1399936011">
          <w:marLeft w:val="0"/>
          <w:marRight w:val="0"/>
          <w:marTop w:val="0"/>
          <w:marBottom w:val="0"/>
          <w:divBdr>
            <w:top w:val="none" w:sz="0" w:space="0" w:color="auto"/>
            <w:left w:val="none" w:sz="0" w:space="0" w:color="auto"/>
            <w:bottom w:val="none" w:sz="0" w:space="0" w:color="auto"/>
            <w:right w:val="none" w:sz="0" w:space="0" w:color="auto"/>
          </w:divBdr>
        </w:div>
        <w:div w:id="1484736919">
          <w:marLeft w:val="0"/>
          <w:marRight w:val="0"/>
          <w:marTop w:val="0"/>
          <w:marBottom w:val="0"/>
          <w:divBdr>
            <w:top w:val="none" w:sz="0" w:space="0" w:color="auto"/>
            <w:left w:val="none" w:sz="0" w:space="0" w:color="auto"/>
            <w:bottom w:val="none" w:sz="0" w:space="0" w:color="auto"/>
            <w:right w:val="none" w:sz="0" w:space="0" w:color="auto"/>
          </w:divBdr>
        </w:div>
        <w:div w:id="1698506907">
          <w:marLeft w:val="0"/>
          <w:marRight w:val="0"/>
          <w:marTop w:val="0"/>
          <w:marBottom w:val="0"/>
          <w:divBdr>
            <w:top w:val="none" w:sz="0" w:space="0" w:color="auto"/>
            <w:left w:val="none" w:sz="0" w:space="0" w:color="auto"/>
            <w:bottom w:val="none" w:sz="0" w:space="0" w:color="auto"/>
            <w:right w:val="none" w:sz="0" w:space="0" w:color="auto"/>
          </w:divBdr>
        </w:div>
        <w:div w:id="1735813262">
          <w:marLeft w:val="0"/>
          <w:marRight w:val="0"/>
          <w:marTop w:val="0"/>
          <w:marBottom w:val="0"/>
          <w:divBdr>
            <w:top w:val="none" w:sz="0" w:space="0" w:color="auto"/>
            <w:left w:val="none" w:sz="0" w:space="0" w:color="auto"/>
            <w:bottom w:val="none" w:sz="0" w:space="0" w:color="auto"/>
            <w:right w:val="none" w:sz="0" w:space="0" w:color="auto"/>
          </w:divBdr>
        </w:div>
        <w:div w:id="1772431877">
          <w:marLeft w:val="0"/>
          <w:marRight w:val="0"/>
          <w:marTop w:val="0"/>
          <w:marBottom w:val="0"/>
          <w:divBdr>
            <w:top w:val="none" w:sz="0" w:space="0" w:color="auto"/>
            <w:left w:val="none" w:sz="0" w:space="0" w:color="auto"/>
            <w:bottom w:val="none" w:sz="0" w:space="0" w:color="auto"/>
            <w:right w:val="none" w:sz="0" w:space="0" w:color="auto"/>
          </w:divBdr>
        </w:div>
        <w:div w:id="1974168154">
          <w:marLeft w:val="0"/>
          <w:marRight w:val="0"/>
          <w:marTop w:val="0"/>
          <w:marBottom w:val="0"/>
          <w:divBdr>
            <w:top w:val="none" w:sz="0" w:space="0" w:color="auto"/>
            <w:left w:val="none" w:sz="0" w:space="0" w:color="auto"/>
            <w:bottom w:val="none" w:sz="0" w:space="0" w:color="auto"/>
            <w:right w:val="none" w:sz="0" w:space="0" w:color="auto"/>
          </w:divBdr>
        </w:div>
        <w:div w:id="2128771431">
          <w:marLeft w:val="0"/>
          <w:marRight w:val="0"/>
          <w:marTop w:val="0"/>
          <w:marBottom w:val="0"/>
          <w:divBdr>
            <w:top w:val="none" w:sz="0" w:space="0" w:color="auto"/>
            <w:left w:val="none" w:sz="0" w:space="0" w:color="auto"/>
            <w:bottom w:val="none" w:sz="0" w:space="0" w:color="auto"/>
            <w:right w:val="none" w:sz="0" w:space="0" w:color="auto"/>
          </w:divBdr>
        </w:div>
      </w:divsChild>
    </w:div>
    <w:div w:id="261766039">
      <w:bodyDiv w:val="1"/>
      <w:marLeft w:val="0"/>
      <w:marRight w:val="0"/>
      <w:marTop w:val="0"/>
      <w:marBottom w:val="0"/>
      <w:divBdr>
        <w:top w:val="none" w:sz="0" w:space="0" w:color="auto"/>
        <w:left w:val="none" w:sz="0" w:space="0" w:color="auto"/>
        <w:bottom w:val="none" w:sz="0" w:space="0" w:color="auto"/>
        <w:right w:val="none" w:sz="0" w:space="0" w:color="auto"/>
      </w:divBdr>
    </w:div>
    <w:div w:id="262686089">
      <w:bodyDiv w:val="1"/>
      <w:marLeft w:val="0"/>
      <w:marRight w:val="0"/>
      <w:marTop w:val="0"/>
      <w:marBottom w:val="0"/>
      <w:divBdr>
        <w:top w:val="none" w:sz="0" w:space="0" w:color="auto"/>
        <w:left w:val="none" w:sz="0" w:space="0" w:color="auto"/>
        <w:bottom w:val="none" w:sz="0" w:space="0" w:color="auto"/>
        <w:right w:val="none" w:sz="0" w:space="0" w:color="auto"/>
      </w:divBdr>
    </w:div>
    <w:div w:id="284895125">
      <w:bodyDiv w:val="1"/>
      <w:marLeft w:val="0"/>
      <w:marRight w:val="0"/>
      <w:marTop w:val="0"/>
      <w:marBottom w:val="0"/>
      <w:divBdr>
        <w:top w:val="none" w:sz="0" w:space="0" w:color="auto"/>
        <w:left w:val="none" w:sz="0" w:space="0" w:color="auto"/>
        <w:bottom w:val="none" w:sz="0" w:space="0" w:color="auto"/>
        <w:right w:val="none" w:sz="0" w:space="0" w:color="auto"/>
      </w:divBdr>
    </w:div>
    <w:div w:id="418252947">
      <w:bodyDiv w:val="1"/>
      <w:marLeft w:val="0"/>
      <w:marRight w:val="0"/>
      <w:marTop w:val="0"/>
      <w:marBottom w:val="0"/>
      <w:divBdr>
        <w:top w:val="none" w:sz="0" w:space="0" w:color="auto"/>
        <w:left w:val="none" w:sz="0" w:space="0" w:color="auto"/>
        <w:bottom w:val="none" w:sz="0" w:space="0" w:color="auto"/>
        <w:right w:val="none" w:sz="0" w:space="0" w:color="auto"/>
      </w:divBdr>
    </w:div>
    <w:div w:id="560755248">
      <w:bodyDiv w:val="1"/>
      <w:marLeft w:val="0"/>
      <w:marRight w:val="0"/>
      <w:marTop w:val="0"/>
      <w:marBottom w:val="0"/>
      <w:divBdr>
        <w:top w:val="none" w:sz="0" w:space="0" w:color="auto"/>
        <w:left w:val="none" w:sz="0" w:space="0" w:color="auto"/>
        <w:bottom w:val="none" w:sz="0" w:space="0" w:color="auto"/>
        <w:right w:val="none" w:sz="0" w:space="0" w:color="auto"/>
      </w:divBdr>
      <w:divsChild>
        <w:div w:id="138352758">
          <w:marLeft w:val="0"/>
          <w:marRight w:val="0"/>
          <w:marTop w:val="0"/>
          <w:marBottom w:val="0"/>
          <w:divBdr>
            <w:top w:val="none" w:sz="0" w:space="0" w:color="auto"/>
            <w:left w:val="none" w:sz="0" w:space="0" w:color="auto"/>
            <w:bottom w:val="none" w:sz="0" w:space="0" w:color="auto"/>
            <w:right w:val="none" w:sz="0" w:space="0" w:color="auto"/>
          </w:divBdr>
        </w:div>
        <w:div w:id="179899171">
          <w:marLeft w:val="0"/>
          <w:marRight w:val="0"/>
          <w:marTop w:val="0"/>
          <w:marBottom w:val="0"/>
          <w:divBdr>
            <w:top w:val="none" w:sz="0" w:space="0" w:color="auto"/>
            <w:left w:val="none" w:sz="0" w:space="0" w:color="auto"/>
            <w:bottom w:val="none" w:sz="0" w:space="0" w:color="auto"/>
            <w:right w:val="none" w:sz="0" w:space="0" w:color="auto"/>
          </w:divBdr>
        </w:div>
        <w:div w:id="181893525">
          <w:marLeft w:val="0"/>
          <w:marRight w:val="0"/>
          <w:marTop w:val="0"/>
          <w:marBottom w:val="0"/>
          <w:divBdr>
            <w:top w:val="none" w:sz="0" w:space="0" w:color="auto"/>
            <w:left w:val="none" w:sz="0" w:space="0" w:color="auto"/>
            <w:bottom w:val="none" w:sz="0" w:space="0" w:color="auto"/>
            <w:right w:val="none" w:sz="0" w:space="0" w:color="auto"/>
          </w:divBdr>
        </w:div>
        <w:div w:id="409422703">
          <w:marLeft w:val="0"/>
          <w:marRight w:val="0"/>
          <w:marTop w:val="0"/>
          <w:marBottom w:val="0"/>
          <w:divBdr>
            <w:top w:val="none" w:sz="0" w:space="0" w:color="auto"/>
            <w:left w:val="none" w:sz="0" w:space="0" w:color="auto"/>
            <w:bottom w:val="none" w:sz="0" w:space="0" w:color="auto"/>
            <w:right w:val="none" w:sz="0" w:space="0" w:color="auto"/>
          </w:divBdr>
        </w:div>
        <w:div w:id="420181579">
          <w:marLeft w:val="0"/>
          <w:marRight w:val="0"/>
          <w:marTop w:val="0"/>
          <w:marBottom w:val="0"/>
          <w:divBdr>
            <w:top w:val="none" w:sz="0" w:space="0" w:color="auto"/>
            <w:left w:val="none" w:sz="0" w:space="0" w:color="auto"/>
            <w:bottom w:val="none" w:sz="0" w:space="0" w:color="auto"/>
            <w:right w:val="none" w:sz="0" w:space="0" w:color="auto"/>
          </w:divBdr>
        </w:div>
        <w:div w:id="683291502">
          <w:marLeft w:val="0"/>
          <w:marRight w:val="0"/>
          <w:marTop w:val="0"/>
          <w:marBottom w:val="0"/>
          <w:divBdr>
            <w:top w:val="none" w:sz="0" w:space="0" w:color="auto"/>
            <w:left w:val="none" w:sz="0" w:space="0" w:color="auto"/>
            <w:bottom w:val="none" w:sz="0" w:space="0" w:color="auto"/>
            <w:right w:val="none" w:sz="0" w:space="0" w:color="auto"/>
          </w:divBdr>
        </w:div>
        <w:div w:id="752703323">
          <w:marLeft w:val="0"/>
          <w:marRight w:val="0"/>
          <w:marTop w:val="0"/>
          <w:marBottom w:val="0"/>
          <w:divBdr>
            <w:top w:val="none" w:sz="0" w:space="0" w:color="auto"/>
            <w:left w:val="none" w:sz="0" w:space="0" w:color="auto"/>
            <w:bottom w:val="none" w:sz="0" w:space="0" w:color="auto"/>
            <w:right w:val="none" w:sz="0" w:space="0" w:color="auto"/>
          </w:divBdr>
        </w:div>
        <w:div w:id="753863488">
          <w:marLeft w:val="0"/>
          <w:marRight w:val="0"/>
          <w:marTop w:val="0"/>
          <w:marBottom w:val="0"/>
          <w:divBdr>
            <w:top w:val="none" w:sz="0" w:space="0" w:color="auto"/>
            <w:left w:val="none" w:sz="0" w:space="0" w:color="auto"/>
            <w:bottom w:val="none" w:sz="0" w:space="0" w:color="auto"/>
            <w:right w:val="none" w:sz="0" w:space="0" w:color="auto"/>
          </w:divBdr>
        </w:div>
        <w:div w:id="780882516">
          <w:marLeft w:val="0"/>
          <w:marRight w:val="0"/>
          <w:marTop w:val="0"/>
          <w:marBottom w:val="0"/>
          <w:divBdr>
            <w:top w:val="none" w:sz="0" w:space="0" w:color="auto"/>
            <w:left w:val="none" w:sz="0" w:space="0" w:color="auto"/>
            <w:bottom w:val="none" w:sz="0" w:space="0" w:color="auto"/>
            <w:right w:val="none" w:sz="0" w:space="0" w:color="auto"/>
          </w:divBdr>
        </w:div>
        <w:div w:id="827550879">
          <w:marLeft w:val="0"/>
          <w:marRight w:val="0"/>
          <w:marTop w:val="0"/>
          <w:marBottom w:val="0"/>
          <w:divBdr>
            <w:top w:val="none" w:sz="0" w:space="0" w:color="auto"/>
            <w:left w:val="none" w:sz="0" w:space="0" w:color="auto"/>
            <w:bottom w:val="none" w:sz="0" w:space="0" w:color="auto"/>
            <w:right w:val="none" w:sz="0" w:space="0" w:color="auto"/>
          </w:divBdr>
        </w:div>
        <w:div w:id="871115913">
          <w:marLeft w:val="0"/>
          <w:marRight w:val="0"/>
          <w:marTop w:val="0"/>
          <w:marBottom w:val="0"/>
          <w:divBdr>
            <w:top w:val="none" w:sz="0" w:space="0" w:color="auto"/>
            <w:left w:val="none" w:sz="0" w:space="0" w:color="auto"/>
            <w:bottom w:val="none" w:sz="0" w:space="0" w:color="auto"/>
            <w:right w:val="none" w:sz="0" w:space="0" w:color="auto"/>
          </w:divBdr>
        </w:div>
        <w:div w:id="890311049">
          <w:marLeft w:val="0"/>
          <w:marRight w:val="0"/>
          <w:marTop w:val="0"/>
          <w:marBottom w:val="0"/>
          <w:divBdr>
            <w:top w:val="none" w:sz="0" w:space="0" w:color="auto"/>
            <w:left w:val="none" w:sz="0" w:space="0" w:color="auto"/>
            <w:bottom w:val="none" w:sz="0" w:space="0" w:color="auto"/>
            <w:right w:val="none" w:sz="0" w:space="0" w:color="auto"/>
          </w:divBdr>
        </w:div>
        <w:div w:id="926764552">
          <w:marLeft w:val="0"/>
          <w:marRight w:val="0"/>
          <w:marTop w:val="0"/>
          <w:marBottom w:val="0"/>
          <w:divBdr>
            <w:top w:val="none" w:sz="0" w:space="0" w:color="auto"/>
            <w:left w:val="none" w:sz="0" w:space="0" w:color="auto"/>
            <w:bottom w:val="none" w:sz="0" w:space="0" w:color="auto"/>
            <w:right w:val="none" w:sz="0" w:space="0" w:color="auto"/>
          </w:divBdr>
        </w:div>
        <w:div w:id="934748274">
          <w:marLeft w:val="0"/>
          <w:marRight w:val="0"/>
          <w:marTop w:val="0"/>
          <w:marBottom w:val="0"/>
          <w:divBdr>
            <w:top w:val="none" w:sz="0" w:space="0" w:color="auto"/>
            <w:left w:val="none" w:sz="0" w:space="0" w:color="auto"/>
            <w:bottom w:val="none" w:sz="0" w:space="0" w:color="auto"/>
            <w:right w:val="none" w:sz="0" w:space="0" w:color="auto"/>
          </w:divBdr>
        </w:div>
        <w:div w:id="976380450">
          <w:marLeft w:val="0"/>
          <w:marRight w:val="0"/>
          <w:marTop w:val="0"/>
          <w:marBottom w:val="0"/>
          <w:divBdr>
            <w:top w:val="none" w:sz="0" w:space="0" w:color="auto"/>
            <w:left w:val="none" w:sz="0" w:space="0" w:color="auto"/>
            <w:bottom w:val="none" w:sz="0" w:space="0" w:color="auto"/>
            <w:right w:val="none" w:sz="0" w:space="0" w:color="auto"/>
          </w:divBdr>
        </w:div>
        <w:div w:id="1061442424">
          <w:marLeft w:val="0"/>
          <w:marRight w:val="0"/>
          <w:marTop w:val="0"/>
          <w:marBottom w:val="0"/>
          <w:divBdr>
            <w:top w:val="none" w:sz="0" w:space="0" w:color="auto"/>
            <w:left w:val="none" w:sz="0" w:space="0" w:color="auto"/>
            <w:bottom w:val="none" w:sz="0" w:space="0" w:color="auto"/>
            <w:right w:val="none" w:sz="0" w:space="0" w:color="auto"/>
          </w:divBdr>
        </w:div>
        <w:div w:id="1078134247">
          <w:marLeft w:val="0"/>
          <w:marRight w:val="0"/>
          <w:marTop w:val="0"/>
          <w:marBottom w:val="0"/>
          <w:divBdr>
            <w:top w:val="none" w:sz="0" w:space="0" w:color="auto"/>
            <w:left w:val="none" w:sz="0" w:space="0" w:color="auto"/>
            <w:bottom w:val="none" w:sz="0" w:space="0" w:color="auto"/>
            <w:right w:val="none" w:sz="0" w:space="0" w:color="auto"/>
          </w:divBdr>
        </w:div>
        <w:div w:id="1262106151">
          <w:marLeft w:val="0"/>
          <w:marRight w:val="0"/>
          <w:marTop w:val="0"/>
          <w:marBottom w:val="0"/>
          <w:divBdr>
            <w:top w:val="none" w:sz="0" w:space="0" w:color="auto"/>
            <w:left w:val="none" w:sz="0" w:space="0" w:color="auto"/>
            <w:bottom w:val="none" w:sz="0" w:space="0" w:color="auto"/>
            <w:right w:val="none" w:sz="0" w:space="0" w:color="auto"/>
          </w:divBdr>
        </w:div>
        <w:div w:id="1283923986">
          <w:marLeft w:val="0"/>
          <w:marRight w:val="0"/>
          <w:marTop w:val="0"/>
          <w:marBottom w:val="0"/>
          <w:divBdr>
            <w:top w:val="none" w:sz="0" w:space="0" w:color="auto"/>
            <w:left w:val="none" w:sz="0" w:space="0" w:color="auto"/>
            <w:bottom w:val="none" w:sz="0" w:space="0" w:color="auto"/>
            <w:right w:val="none" w:sz="0" w:space="0" w:color="auto"/>
          </w:divBdr>
        </w:div>
        <w:div w:id="1455059830">
          <w:marLeft w:val="0"/>
          <w:marRight w:val="0"/>
          <w:marTop w:val="0"/>
          <w:marBottom w:val="0"/>
          <w:divBdr>
            <w:top w:val="none" w:sz="0" w:space="0" w:color="auto"/>
            <w:left w:val="none" w:sz="0" w:space="0" w:color="auto"/>
            <w:bottom w:val="none" w:sz="0" w:space="0" w:color="auto"/>
            <w:right w:val="none" w:sz="0" w:space="0" w:color="auto"/>
          </w:divBdr>
        </w:div>
        <w:div w:id="1530995957">
          <w:marLeft w:val="0"/>
          <w:marRight w:val="0"/>
          <w:marTop w:val="0"/>
          <w:marBottom w:val="0"/>
          <w:divBdr>
            <w:top w:val="none" w:sz="0" w:space="0" w:color="auto"/>
            <w:left w:val="none" w:sz="0" w:space="0" w:color="auto"/>
            <w:bottom w:val="none" w:sz="0" w:space="0" w:color="auto"/>
            <w:right w:val="none" w:sz="0" w:space="0" w:color="auto"/>
          </w:divBdr>
        </w:div>
        <w:div w:id="1566455958">
          <w:marLeft w:val="0"/>
          <w:marRight w:val="0"/>
          <w:marTop w:val="0"/>
          <w:marBottom w:val="0"/>
          <w:divBdr>
            <w:top w:val="none" w:sz="0" w:space="0" w:color="auto"/>
            <w:left w:val="none" w:sz="0" w:space="0" w:color="auto"/>
            <w:bottom w:val="none" w:sz="0" w:space="0" w:color="auto"/>
            <w:right w:val="none" w:sz="0" w:space="0" w:color="auto"/>
          </w:divBdr>
        </w:div>
        <w:div w:id="1665352590">
          <w:marLeft w:val="0"/>
          <w:marRight w:val="0"/>
          <w:marTop w:val="0"/>
          <w:marBottom w:val="0"/>
          <w:divBdr>
            <w:top w:val="none" w:sz="0" w:space="0" w:color="auto"/>
            <w:left w:val="none" w:sz="0" w:space="0" w:color="auto"/>
            <w:bottom w:val="none" w:sz="0" w:space="0" w:color="auto"/>
            <w:right w:val="none" w:sz="0" w:space="0" w:color="auto"/>
          </w:divBdr>
        </w:div>
        <w:div w:id="1668092533">
          <w:marLeft w:val="0"/>
          <w:marRight w:val="0"/>
          <w:marTop w:val="0"/>
          <w:marBottom w:val="0"/>
          <w:divBdr>
            <w:top w:val="none" w:sz="0" w:space="0" w:color="auto"/>
            <w:left w:val="none" w:sz="0" w:space="0" w:color="auto"/>
            <w:bottom w:val="none" w:sz="0" w:space="0" w:color="auto"/>
            <w:right w:val="none" w:sz="0" w:space="0" w:color="auto"/>
          </w:divBdr>
        </w:div>
        <w:div w:id="1696348145">
          <w:marLeft w:val="0"/>
          <w:marRight w:val="0"/>
          <w:marTop w:val="0"/>
          <w:marBottom w:val="0"/>
          <w:divBdr>
            <w:top w:val="none" w:sz="0" w:space="0" w:color="auto"/>
            <w:left w:val="none" w:sz="0" w:space="0" w:color="auto"/>
            <w:bottom w:val="none" w:sz="0" w:space="0" w:color="auto"/>
            <w:right w:val="none" w:sz="0" w:space="0" w:color="auto"/>
          </w:divBdr>
        </w:div>
        <w:div w:id="1701470880">
          <w:marLeft w:val="0"/>
          <w:marRight w:val="0"/>
          <w:marTop w:val="0"/>
          <w:marBottom w:val="0"/>
          <w:divBdr>
            <w:top w:val="none" w:sz="0" w:space="0" w:color="auto"/>
            <w:left w:val="none" w:sz="0" w:space="0" w:color="auto"/>
            <w:bottom w:val="none" w:sz="0" w:space="0" w:color="auto"/>
            <w:right w:val="none" w:sz="0" w:space="0" w:color="auto"/>
          </w:divBdr>
        </w:div>
        <w:div w:id="1712925680">
          <w:marLeft w:val="0"/>
          <w:marRight w:val="0"/>
          <w:marTop w:val="0"/>
          <w:marBottom w:val="0"/>
          <w:divBdr>
            <w:top w:val="none" w:sz="0" w:space="0" w:color="auto"/>
            <w:left w:val="none" w:sz="0" w:space="0" w:color="auto"/>
            <w:bottom w:val="none" w:sz="0" w:space="0" w:color="auto"/>
            <w:right w:val="none" w:sz="0" w:space="0" w:color="auto"/>
          </w:divBdr>
        </w:div>
        <w:div w:id="1936204541">
          <w:marLeft w:val="0"/>
          <w:marRight w:val="0"/>
          <w:marTop w:val="0"/>
          <w:marBottom w:val="0"/>
          <w:divBdr>
            <w:top w:val="none" w:sz="0" w:space="0" w:color="auto"/>
            <w:left w:val="none" w:sz="0" w:space="0" w:color="auto"/>
            <w:bottom w:val="none" w:sz="0" w:space="0" w:color="auto"/>
            <w:right w:val="none" w:sz="0" w:space="0" w:color="auto"/>
          </w:divBdr>
        </w:div>
        <w:div w:id="1990357585">
          <w:marLeft w:val="0"/>
          <w:marRight w:val="0"/>
          <w:marTop w:val="0"/>
          <w:marBottom w:val="0"/>
          <w:divBdr>
            <w:top w:val="none" w:sz="0" w:space="0" w:color="auto"/>
            <w:left w:val="none" w:sz="0" w:space="0" w:color="auto"/>
            <w:bottom w:val="none" w:sz="0" w:space="0" w:color="auto"/>
            <w:right w:val="none" w:sz="0" w:space="0" w:color="auto"/>
          </w:divBdr>
        </w:div>
        <w:div w:id="2056200059">
          <w:marLeft w:val="0"/>
          <w:marRight w:val="0"/>
          <w:marTop w:val="0"/>
          <w:marBottom w:val="0"/>
          <w:divBdr>
            <w:top w:val="none" w:sz="0" w:space="0" w:color="auto"/>
            <w:left w:val="none" w:sz="0" w:space="0" w:color="auto"/>
            <w:bottom w:val="none" w:sz="0" w:space="0" w:color="auto"/>
            <w:right w:val="none" w:sz="0" w:space="0" w:color="auto"/>
          </w:divBdr>
        </w:div>
      </w:divsChild>
    </w:div>
    <w:div w:id="584149505">
      <w:bodyDiv w:val="1"/>
      <w:marLeft w:val="0"/>
      <w:marRight w:val="0"/>
      <w:marTop w:val="0"/>
      <w:marBottom w:val="0"/>
      <w:divBdr>
        <w:top w:val="none" w:sz="0" w:space="0" w:color="auto"/>
        <w:left w:val="none" w:sz="0" w:space="0" w:color="auto"/>
        <w:bottom w:val="none" w:sz="0" w:space="0" w:color="auto"/>
        <w:right w:val="none" w:sz="0" w:space="0" w:color="auto"/>
      </w:divBdr>
      <w:divsChild>
        <w:div w:id="104737600">
          <w:marLeft w:val="0"/>
          <w:marRight w:val="0"/>
          <w:marTop w:val="0"/>
          <w:marBottom w:val="0"/>
          <w:divBdr>
            <w:top w:val="none" w:sz="0" w:space="0" w:color="auto"/>
            <w:left w:val="none" w:sz="0" w:space="0" w:color="auto"/>
            <w:bottom w:val="none" w:sz="0" w:space="0" w:color="auto"/>
            <w:right w:val="none" w:sz="0" w:space="0" w:color="auto"/>
          </w:divBdr>
        </w:div>
        <w:div w:id="153378105">
          <w:marLeft w:val="0"/>
          <w:marRight w:val="0"/>
          <w:marTop w:val="0"/>
          <w:marBottom w:val="0"/>
          <w:divBdr>
            <w:top w:val="none" w:sz="0" w:space="0" w:color="auto"/>
            <w:left w:val="none" w:sz="0" w:space="0" w:color="auto"/>
            <w:bottom w:val="none" w:sz="0" w:space="0" w:color="auto"/>
            <w:right w:val="none" w:sz="0" w:space="0" w:color="auto"/>
          </w:divBdr>
        </w:div>
        <w:div w:id="224724708">
          <w:marLeft w:val="0"/>
          <w:marRight w:val="0"/>
          <w:marTop w:val="0"/>
          <w:marBottom w:val="0"/>
          <w:divBdr>
            <w:top w:val="none" w:sz="0" w:space="0" w:color="auto"/>
            <w:left w:val="none" w:sz="0" w:space="0" w:color="auto"/>
            <w:bottom w:val="none" w:sz="0" w:space="0" w:color="auto"/>
            <w:right w:val="none" w:sz="0" w:space="0" w:color="auto"/>
          </w:divBdr>
        </w:div>
        <w:div w:id="420565583">
          <w:marLeft w:val="0"/>
          <w:marRight w:val="0"/>
          <w:marTop w:val="0"/>
          <w:marBottom w:val="0"/>
          <w:divBdr>
            <w:top w:val="none" w:sz="0" w:space="0" w:color="auto"/>
            <w:left w:val="none" w:sz="0" w:space="0" w:color="auto"/>
            <w:bottom w:val="none" w:sz="0" w:space="0" w:color="auto"/>
            <w:right w:val="none" w:sz="0" w:space="0" w:color="auto"/>
          </w:divBdr>
        </w:div>
        <w:div w:id="437064591">
          <w:marLeft w:val="0"/>
          <w:marRight w:val="0"/>
          <w:marTop w:val="0"/>
          <w:marBottom w:val="0"/>
          <w:divBdr>
            <w:top w:val="none" w:sz="0" w:space="0" w:color="auto"/>
            <w:left w:val="none" w:sz="0" w:space="0" w:color="auto"/>
            <w:bottom w:val="none" w:sz="0" w:space="0" w:color="auto"/>
            <w:right w:val="none" w:sz="0" w:space="0" w:color="auto"/>
          </w:divBdr>
        </w:div>
        <w:div w:id="583951812">
          <w:marLeft w:val="0"/>
          <w:marRight w:val="0"/>
          <w:marTop w:val="0"/>
          <w:marBottom w:val="0"/>
          <w:divBdr>
            <w:top w:val="none" w:sz="0" w:space="0" w:color="auto"/>
            <w:left w:val="none" w:sz="0" w:space="0" w:color="auto"/>
            <w:bottom w:val="none" w:sz="0" w:space="0" w:color="auto"/>
            <w:right w:val="none" w:sz="0" w:space="0" w:color="auto"/>
          </w:divBdr>
        </w:div>
        <w:div w:id="646785802">
          <w:marLeft w:val="0"/>
          <w:marRight w:val="0"/>
          <w:marTop w:val="0"/>
          <w:marBottom w:val="0"/>
          <w:divBdr>
            <w:top w:val="none" w:sz="0" w:space="0" w:color="auto"/>
            <w:left w:val="none" w:sz="0" w:space="0" w:color="auto"/>
            <w:bottom w:val="none" w:sz="0" w:space="0" w:color="auto"/>
            <w:right w:val="none" w:sz="0" w:space="0" w:color="auto"/>
          </w:divBdr>
        </w:div>
        <w:div w:id="680619366">
          <w:marLeft w:val="0"/>
          <w:marRight w:val="0"/>
          <w:marTop w:val="0"/>
          <w:marBottom w:val="0"/>
          <w:divBdr>
            <w:top w:val="none" w:sz="0" w:space="0" w:color="auto"/>
            <w:left w:val="none" w:sz="0" w:space="0" w:color="auto"/>
            <w:bottom w:val="none" w:sz="0" w:space="0" w:color="auto"/>
            <w:right w:val="none" w:sz="0" w:space="0" w:color="auto"/>
          </w:divBdr>
        </w:div>
        <w:div w:id="769930919">
          <w:marLeft w:val="0"/>
          <w:marRight w:val="0"/>
          <w:marTop w:val="0"/>
          <w:marBottom w:val="0"/>
          <w:divBdr>
            <w:top w:val="none" w:sz="0" w:space="0" w:color="auto"/>
            <w:left w:val="none" w:sz="0" w:space="0" w:color="auto"/>
            <w:bottom w:val="none" w:sz="0" w:space="0" w:color="auto"/>
            <w:right w:val="none" w:sz="0" w:space="0" w:color="auto"/>
          </w:divBdr>
        </w:div>
        <w:div w:id="783043198">
          <w:marLeft w:val="0"/>
          <w:marRight w:val="0"/>
          <w:marTop w:val="0"/>
          <w:marBottom w:val="0"/>
          <w:divBdr>
            <w:top w:val="none" w:sz="0" w:space="0" w:color="auto"/>
            <w:left w:val="none" w:sz="0" w:space="0" w:color="auto"/>
            <w:bottom w:val="none" w:sz="0" w:space="0" w:color="auto"/>
            <w:right w:val="none" w:sz="0" w:space="0" w:color="auto"/>
          </w:divBdr>
        </w:div>
        <w:div w:id="794328412">
          <w:marLeft w:val="0"/>
          <w:marRight w:val="0"/>
          <w:marTop w:val="0"/>
          <w:marBottom w:val="0"/>
          <w:divBdr>
            <w:top w:val="none" w:sz="0" w:space="0" w:color="auto"/>
            <w:left w:val="none" w:sz="0" w:space="0" w:color="auto"/>
            <w:bottom w:val="none" w:sz="0" w:space="0" w:color="auto"/>
            <w:right w:val="none" w:sz="0" w:space="0" w:color="auto"/>
          </w:divBdr>
        </w:div>
        <w:div w:id="804543710">
          <w:marLeft w:val="0"/>
          <w:marRight w:val="0"/>
          <w:marTop w:val="0"/>
          <w:marBottom w:val="0"/>
          <w:divBdr>
            <w:top w:val="none" w:sz="0" w:space="0" w:color="auto"/>
            <w:left w:val="none" w:sz="0" w:space="0" w:color="auto"/>
            <w:bottom w:val="none" w:sz="0" w:space="0" w:color="auto"/>
            <w:right w:val="none" w:sz="0" w:space="0" w:color="auto"/>
          </w:divBdr>
        </w:div>
        <w:div w:id="865025346">
          <w:marLeft w:val="0"/>
          <w:marRight w:val="0"/>
          <w:marTop w:val="0"/>
          <w:marBottom w:val="0"/>
          <w:divBdr>
            <w:top w:val="none" w:sz="0" w:space="0" w:color="auto"/>
            <w:left w:val="none" w:sz="0" w:space="0" w:color="auto"/>
            <w:bottom w:val="none" w:sz="0" w:space="0" w:color="auto"/>
            <w:right w:val="none" w:sz="0" w:space="0" w:color="auto"/>
          </w:divBdr>
        </w:div>
        <w:div w:id="1035038778">
          <w:marLeft w:val="0"/>
          <w:marRight w:val="0"/>
          <w:marTop w:val="0"/>
          <w:marBottom w:val="0"/>
          <w:divBdr>
            <w:top w:val="none" w:sz="0" w:space="0" w:color="auto"/>
            <w:left w:val="none" w:sz="0" w:space="0" w:color="auto"/>
            <w:bottom w:val="none" w:sz="0" w:space="0" w:color="auto"/>
            <w:right w:val="none" w:sz="0" w:space="0" w:color="auto"/>
          </w:divBdr>
        </w:div>
        <w:div w:id="1175530446">
          <w:marLeft w:val="0"/>
          <w:marRight w:val="0"/>
          <w:marTop w:val="0"/>
          <w:marBottom w:val="0"/>
          <w:divBdr>
            <w:top w:val="none" w:sz="0" w:space="0" w:color="auto"/>
            <w:left w:val="none" w:sz="0" w:space="0" w:color="auto"/>
            <w:bottom w:val="none" w:sz="0" w:space="0" w:color="auto"/>
            <w:right w:val="none" w:sz="0" w:space="0" w:color="auto"/>
          </w:divBdr>
        </w:div>
        <w:div w:id="1181046871">
          <w:marLeft w:val="0"/>
          <w:marRight w:val="0"/>
          <w:marTop w:val="0"/>
          <w:marBottom w:val="0"/>
          <w:divBdr>
            <w:top w:val="none" w:sz="0" w:space="0" w:color="auto"/>
            <w:left w:val="none" w:sz="0" w:space="0" w:color="auto"/>
            <w:bottom w:val="none" w:sz="0" w:space="0" w:color="auto"/>
            <w:right w:val="none" w:sz="0" w:space="0" w:color="auto"/>
          </w:divBdr>
        </w:div>
        <w:div w:id="1242524507">
          <w:marLeft w:val="0"/>
          <w:marRight w:val="0"/>
          <w:marTop w:val="0"/>
          <w:marBottom w:val="0"/>
          <w:divBdr>
            <w:top w:val="none" w:sz="0" w:space="0" w:color="auto"/>
            <w:left w:val="none" w:sz="0" w:space="0" w:color="auto"/>
            <w:bottom w:val="none" w:sz="0" w:space="0" w:color="auto"/>
            <w:right w:val="none" w:sz="0" w:space="0" w:color="auto"/>
          </w:divBdr>
        </w:div>
        <w:div w:id="1410686881">
          <w:marLeft w:val="0"/>
          <w:marRight w:val="0"/>
          <w:marTop w:val="0"/>
          <w:marBottom w:val="0"/>
          <w:divBdr>
            <w:top w:val="none" w:sz="0" w:space="0" w:color="auto"/>
            <w:left w:val="none" w:sz="0" w:space="0" w:color="auto"/>
            <w:bottom w:val="none" w:sz="0" w:space="0" w:color="auto"/>
            <w:right w:val="none" w:sz="0" w:space="0" w:color="auto"/>
          </w:divBdr>
        </w:div>
        <w:div w:id="1508597901">
          <w:marLeft w:val="0"/>
          <w:marRight w:val="0"/>
          <w:marTop w:val="0"/>
          <w:marBottom w:val="0"/>
          <w:divBdr>
            <w:top w:val="none" w:sz="0" w:space="0" w:color="auto"/>
            <w:left w:val="none" w:sz="0" w:space="0" w:color="auto"/>
            <w:bottom w:val="none" w:sz="0" w:space="0" w:color="auto"/>
            <w:right w:val="none" w:sz="0" w:space="0" w:color="auto"/>
          </w:divBdr>
        </w:div>
        <w:div w:id="1669869633">
          <w:marLeft w:val="0"/>
          <w:marRight w:val="0"/>
          <w:marTop w:val="0"/>
          <w:marBottom w:val="0"/>
          <w:divBdr>
            <w:top w:val="none" w:sz="0" w:space="0" w:color="auto"/>
            <w:left w:val="none" w:sz="0" w:space="0" w:color="auto"/>
            <w:bottom w:val="none" w:sz="0" w:space="0" w:color="auto"/>
            <w:right w:val="none" w:sz="0" w:space="0" w:color="auto"/>
          </w:divBdr>
        </w:div>
        <w:div w:id="1868323587">
          <w:marLeft w:val="0"/>
          <w:marRight w:val="0"/>
          <w:marTop w:val="0"/>
          <w:marBottom w:val="0"/>
          <w:divBdr>
            <w:top w:val="none" w:sz="0" w:space="0" w:color="auto"/>
            <w:left w:val="none" w:sz="0" w:space="0" w:color="auto"/>
            <w:bottom w:val="none" w:sz="0" w:space="0" w:color="auto"/>
            <w:right w:val="none" w:sz="0" w:space="0" w:color="auto"/>
          </w:divBdr>
        </w:div>
        <w:div w:id="1879975539">
          <w:marLeft w:val="0"/>
          <w:marRight w:val="0"/>
          <w:marTop w:val="0"/>
          <w:marBottom w:val="0"/>
          <w:divBdr>
            <w:top w:val="none" w:sz="0" w:space="0" w:color="auto"/>
            <w:left w:val="none" w:sz="0" w:space="0" w:color="auto"/>
            <w:bottom w:val="none" w:sz="0" w:space="0" w:color="auto"/>
            <w:right w:val="none" w:sz="0" w:space="0" w:color="auto"/>
          </w:divBdr>
        </w:div>
        <w:div w:id="1945307429">
          <w:marLeft w:val="0"/>
          <w:marRight w:val="0"/>
          <w:marTop w:val="0"/>
          <w:marBottom w:val="0"/>
          <w:divBdr>
            <w:top w:val="none" w:sz="0" w:space="0" w:color="auto"/>
            <w:left w:val="none" w:sz="0" w:space="0" w:color="auto"/>
            <w:bottom w:val="none" w:sz="0" w:space="0" w:color="auto"/>
            <w:right w:val="none" w:sz="0" w:space="0" w:color="auto"/>
          </w:divBdr>
        </w:div>
      </w:divsChild>
    </w:div>
    <w:div w:id="660086378">
      <w:bodyDiv w:val="1"/>
      <w:marLeft w:val="0"/>
      <w:marRight w:val="0"/>
      <w:marTop w:val="0"/>
      <w:marBottom w:val="0"/>
      <w:divBdr>
        <w:top w:val="none" w:sz="0" w:space="0" w:color="auto"/>
        <w:left w:val="none" w:sz="0" w:space="0" w:color="auto"/>
        <w:bottom w:val="none" w:sz="0" w:space="0" w:color="auto"/>
        <w:right w:val="none" w:sz="0" w:space="0" w:color="auto"/>
      </w:divBdr>
    </w:div>
    <w:div w:id="685641607">
      <w:bodyDiv w:val="1"/>
      <w:marLeft w:val="0"/>
      <w:marRight w:val="0"/>
      <w:marTop w:val="0"/>
      <w:marBottom w:val="0"/>
      <w:divBdr>
        <w:top w:val="none" w:sz="0" w:space="0" w:color="auto"/>
        <w:left w:val="none" w:sz="0" w:space="0" w:color="auto"/>
        <w:bottom w:val="none" w:sz="0" w:space="0" w:color="auto"/>
        <w:right w:val="none" w:sz="0" w:space="0" w:color="auto"/>
      </w:divBdr>
      <w:divsChild>
        <w:div w:id="78644043">
          <w:marLeft w:val="0"/>
          <w:marRight w:val="0"/>
          <w:marTop w:val="0"/>
          <w:marBottom w:val="0"/>
          <w:divBdr>
            <w:top w:val="none" w:sz="0" w:space="0" w:color="auto"/>
            <w:left w:val="none" w:sz="0" w:space="0" w:color="auto"/>
            <w:bottom w:val="none" w:sz="0" w:space="0" w:color="auto"/>
            <w:right w:val="none" w:sz="0" w:space="0" w:color="auto"/>
          </w:divBdr>
        </w:div>
        <w:div w:id="121701479">
          <w:marLeft w:val="0"/>
          <w:marRight w:val="0"/>
          <w:marTop w:val="0"/>
          <w:marBottom w:val="0"/>
          <w:divBdr>
            <w:top w:val="none" w:sz="0" w:space="0" w:color="auto"/>
            <w:left w:val="none" w:sz="0" w:space="0" w:color="auto"/>
            <w:bottom w:val="none" w:sz="0" w:space="0" w:color="auto"/>
            <w:right w:val="none" w:sz="0" w:space="0" w:color="auto"/>
          </w:divBdr>
        </w:div>
        <w:div w:id="139806116">
          <w:marLeft w:val="0"/>
          <w:marRight w:val="0"/>
          <w:marTop w:val="0"/>
          <w:marBottom w:val="0"/>
          <w:divBdr>
            <w:top w:val="none" w:sz="0" w:space="0" w:color="auto"/>
            <w:left w:val="none" w:sz="0" w:space="0" w:color="auto"/>
            <w:bottom w:val="none" w:sz="0" w:space="0" w:color="auto"/>
            <w:right w:val="none" w:sz="0" w:space="0" w:color="auto"/>
          </w:divBdr>
        </w:div>
        <w:div w:id="204367339">
          <w:marLeft w:val="0"/>
          <w:marRight w:val="0"/>
          <w:marTop w:val="0"/>
          <w:marBottom w:val="0"/>
          <w:divBdr>
            <w:top w:val="none" w:sz="0" w:space="0" w:color="auto"/>
            <w:left w:val="none" w:sz="0" w:space="0" w:color="auto"/>
            <w:bottom w:val="none" w:sz="0" w:space="0" w:color="auto"/>
            <w:right w:val="none" w:sz="0" w:space="0" w:color="auto"/>
          </w:divBdr>
        </w:div>
        <w:div w:id="271471873">
          <w:marLeft w:val="0"/>
          <w:marRight w:val="0"/>
          <w:marTop w:val="0"/>
          <w:marBottom w:val="0"/>
          <w:divBdr>
            <w:top w:val="none" w:sz="0" w:space="0" w:color="auto"/>
            <w:left w:val="none" w:sz="0" w:space="0" w:color="auto"/>
            <w:bottom w:val="none" w:sz="0" w:space="0" w:color="auto"/>
            <w:right w:val="none" w:sz="0" w:space="0" w:color="auto"/>
          </w:divBdr>
        </w:div>
        <w:div w:id="277571189">
          <w:marLeft w:val="0"/>
          <w:marRight w:val="0"/>
          <w:marTop w:val="0"/>
          <w:marBottom w:val="0"/>
          <w:divBdr>
            <w:top w:val="none" w:sz="0" w:space="0" w:color="auto"/>
            <w:left w:val="none" w:sz="0" w:space="0" w:color="auto"/>
            <w:bottom w:val="none" w:sz="0" w:space="0" w:color="auto"/>
            <w:right w:val="none" w:sz="0" w:space="0" w:color="auto"/>
          </w:divBdr>
        </w:div>
        <w:div w:id="295068725">
          <w:marLeft w:val="0"/>
          <w:marRight w:val="0"/>
          <w:marTop w:val="0"/>
          <w:marBottom w:val="0"/>
          <w:divBdr>
            <w:top w:val="none" w:sz="0" w:space="0" w:color="auto"/>
            <w:left w:val="none" w:sz="0" w:space="0" w:color="auto"/>
            <w:bottom w:val="none" w:sz="0" w:space="0" w:color="auto"/>
            <w:right w:val="none" w:sz="0" w:space="0" w:color="auto"/>
          </w:divBdr>
        </w:div>
        <w:div w:id="301277974">
          <w:marLeft w:val="0"/>
          <w:marRight w:val="0"/>
          <w:marTop w:val="0"/>
          <w:marBottom w:val="0"/>
          <w:divBdr>
            <w:top w:val="none" w:sz="0" w:space="0" w:color="auto"/>
            <w:left w:val="none" w:sz="0" w:space="0" w:color="auto"/>
            <w:bottom w:val="none" w:sz="0" w:space="0" w:color="auto"/>
            <w:right w:val="none" w:sz="0" w:space="0" w:color="auto"/>
          </w:divBdr>
        </w:div>
        <w:div w:id="317881183">
          <w:marLeft w:val="0"/>
          <w:marRight w:val="0"/>
          <w:marTop w:val="0"/>
          <w:marBottom w:val="0"/>
          <w:divBdr>
            <w:top w:val="none" w:sz="0" w:space="0" w:color="auto"/>
            <w:left w:val="none" w:sz="0" w:space="0" w:color="auto"/>
            <w:bottom w:val="none" w:sz="0" w:space="0" w:color="auto"/>
            <w:right w:val="none" w:sz="0" w:space="0" w:color="auto"/>
          </w:divBdr>
        </w:div>
        <w:div w:id="444008146">
          <w:marLeft w:val="0"/>
          <w:marRight w:val="0"/>
          <w:marTop w:val="0"/>
          <w:marBottom w:val="0"/>
          <w:divBdr>
            <w:top w:val="none" w:sz="0" w:space="0" w:color="auto"/>
            <w:left w:val="none" w:sz="0" w:space="0" w:color="auto"/>
            <w:bottom w:val="none" w:sz="0" w:space="0" w:color="auto"/>
            <w:right w:val="none" w:sz="0" w:space="0" w:color="auto"/>
          </w:divBdr>
        </w:div>
        <w:div w:id="531304836">
          <w:marLeft w:val="0"/>
          <w:marRight w:val="0"/>
          <w:marTop w:val="0"/>
          <w:marBottom w:val="0"/>
          <w:divBdr>
            <w:top w:val="none" w:sz="0" w:space="0" w:color="auto"/>
            <w:left w:val="none" w:sz="0" w:space="0" w:color="auto"/>
            <w:bottom w:val="none" w:sz="0" w:space="0" w:color="auto"/>
            <w:right w:val="none" w:sz="0" w:space="0" w:color="auto"/>
          </w:divBdr>
        </w:div>
        <w:div w:id="602034401">
          <w:marLeft w:val="0"/>
          <w:marRight w:val="0"/>
          <w:marTop w:val="0"/>
          <w:marBottom w:val="0"/>
          <w:divBdr>
            <w:top w:val="none" w:sz="0" w:space="0" w:color="auto"/>
            <w:left w:val="none" w:sz="0" w:space="0" w:color="auto"/>
            <w:bottom w:val="none" w:sz="0" w:space="0" w:color="auto"/>
            <w:right w:val="none" w:sz="0" w:space="0" w:color="auto"/>
          </w:divBdr>
        </w:div>
        <w:div w:id="616105052">
          <w:marLeft w:val="0"/>
          <w:marRight w:val="0"/>
          <w:marTop w:val="0"/>
          <w:marBottom w:val="0"/>
          <w:divBdr>
            <w:top w:val="none" w:sz="0" w:space="0" w:color="auto"/>
            <w:left w:val="none" w:sz="0" w:space="0" w:color="auto"/>
            <w:bottom w:val="none" w:sz="0" w:space="0" w:color="auto"/>
            <w:right w:val="none" w:sz="0" w:space="0" w:color="auto"/>
          </w:divBdr>
        </w:div>
        <w:div w:id="628436419">
          <w:marLeft w:val="0"/>
          <w:marRight w:val="0"/>
          <w:marTop w:val="0"/>
          <w:marBottom w:val="0"/>
          <w:divBdr>
            <w:top w:val="none" w:sz="0" w:space="0" w:color="auto"/>
            <w:left w:val="none" w:sz="0" w:space="0" w:color="auto"/>
            <w:bottom w:val="none" w:sz="0" w:space="0" w:color="auto"/>
            <w:right w:val="none" w:sz="0" w:space="0" w:color="auto"/>
          </w:divBdr>
        </w:div>
        <w:div w:id="758453577">
          <w:marLeft w:val="0"/>
          <w:marRight w:val="0"/>
          <w:marTop w:val="0"/>
          <w:marBottom w:val="0"/>
          <w:divBdr>
            <w:top w:val="none" w:sz="0" w:space="0" w:color="auto"/>
            <w:left w:val="none" w:sz="0" w:space="0" w:color="auto"/>
            <w:bottom w:val="none" w:sz="0" w:space="0" w:color="auto"/>
            <w:right w:val="none" w:sz="0" w:space="0" w:color="auto"/>
          </w:divBdr>
        </w:div>
        <w:div w:id="759058881">
          <w:marLeft w:val="0"/>
          <w:marRight w:val="0"/>
          <w:marTop w:val="0"/>
          <w:marBottom w:val="0"/>
          <w:divBdr>
            <w:top w:val="none" w:sz="0" w:space="0" w:color="auto"/>
            <w:left w:val="none" w:sz="0" w:space="0" w:color="auto"/>
            <w:bottom w:val="none" w:sz="0" w:space="0" w:color="auto"/>
            <w:right w:val="none" w:sz="0" w:space="0" w:color="auto"/>
          </w:divBdr>
        </w:div>
        <w:div w:id="785583748">
          <w:marLeft w:val="0"/>
          <w:marRight w:val="0"/>
          <w:marTop w:val="0"/>
          <w:marBottom w:val="0"/>
          <w:divBdr>
            <w:top w:val="none" w:sz="0" w:space="0" w:color="auto"/>
            <w:left w:val="none" w:sz="0" w:space="0" w:color="auto"/>
            <w:bottom w:val="none" w:sz="0" w:space="0" w:color="auto"/>
            <w:right w:val="none" w:sz="0" w:space="0" w:color="auto"/>
          </w:divBdr>
        </w:div>
        <w:div w:id="814486714">
          <w:marLeft w:val="0"/>
          <w:marRight w:val="0"/>
          <w:marTop w:val="0"/>
          <w:marBottom w:val="0"/>
          <w:divBdr>
            <w:top w:val="none" w:sz="0" w:space="0" w:color="auto"/>
            <w:left w:val="none" w:sz="0" w:space="0" w:color="auto"/>
            <w:bottom w:val="none" w:sz="0" w:space="0" w:color="auto"/>
            <w:right w:val="none" w:sz="0" w:space="0" w:color="auto"/>
          </w:divBdr>
        </w:div>
        <w:div w:id="818035137">
          <w:marLeft w:val="0"/>
          <w:marRight w:val="0"/>
          <w:marTop w:val="0"/>
          <w:marBottom w:val="0"/>
          <w:divBdr>
            <w:top w:val="none" w:sz="0" w:space="0" w:color="auto"/>
            <w:left w:val="none" w:sz="0" w:space="0" w:color="auto"/>
            <w:bottom w:val="none" w:sz="0" w:space="0" w:color="auto"/>
            <w:right w:val="none" w:sz="0" w:space="0" w:color="auto"/>
          </w:divBdr>
        </w:div>
        <w:div w:id="883709283">
          <w:marLeft w:val="0"/>
          <w:marRight w:val="0"/>
          <w:marTop w:val="0"/>
          <w:marBottom w:val="0"/>
          <w:divBdr>
            <w:top w:val="none" w:sz="0" w:space="0" w:color="auto"/>
            <w:left w:val="none" w:sz="0" w:space="0" w:color="auto"/>
            <w:bottom w:val="none" w:sz="0" w:space="0" w:color="auto"/>
            <w:right w:val="none" w:sz="0" w:space="0" w:color="auto"/>
          </w:divBdr>
        </w:div>
        <w:div w:id="893391052">
          <w:marLeft w:val="0"/>
          <w:marRight w:val="0"/>
          <w:marTop w:val="0"/>
          <w:marBottom w:val="0"/>
          <w:divBdr>
            <w:top w:val="none" w:sz="0" w:space="0" w:color="auto"/>
            <w:left w:val="none" w:sz="0" w:space="0" w:color="auto"/>
            <w:bottom w:val="none" w:sz="0" w:space="0" w:color="auto"/>
            <w:right w:val="none" w:sz="0" w:space="0" w:color="auto"/>
          </w:divBdr>
        </w:div>
        <w:div w:id="930162406">
          <w:marLeft w:val="0"/>
          <w:marRight w:val="0"/>
          <w:marTop w:val="0"/>
          <w:marBottom w:val="0"/>
          <w:divBdr>
            <w:top w:val="none" w:sz="0" w:space="0" w:color="auto"/>
            <w:left w:val="none" w:sz="0" w:space="0" w:color="auto"/>
            <w:bottom w:val="none" w:sz="0" w:space="0" w:color="auto"/>
            <w:right w:val="none" w:sz="0" w:space="0" w:color="auto"/>
          </w:divBdr>
        </w:div>
        <w:div w:id="932862723">
          <w:marLeft w:val="0"/>
          <w:marRight w:val="0"/>
          <w:marTop w:val="0"/>
          <w:marBottom w:val="0"/>
          <w:divBdr>
            <w:top w:val="none" w:sz="0" w:space="0" w:color="auto"/>
            <w:left w:val="none" w:sz="0" w:space="0" w:color="auto"/>
            <w:bottom w:val="none" w:sz="0" w:space="0" w:color="auto"/>
            <w:right w:val="none" w:sz="0" w:space="0" w:color="auto"/>
          </w:divBdr>
        </w:div>
        <w:div w:id="935939249">
          <w:marLeft w:val="0"/>
          <w:marRight w:val="0"/>
          <w:marTop w:val="0"/>
          <w:marBottom w:val="0"/>
          <w:divBdr>
            <w:top w:val="none" w:sz="0" w:space="0" w:color="auto"/>
            <w:left w:val="none" w:sz="0" w:space="0" w:color="auto"/>
            <w:bottom w:val="none" w:sz="0" w:space="0" w:color="auto"/>
            <w:right w:val="none" w:sz="0" w:space="0" w:color="auto"/>
          </w:divBdr>
        </w:div>
        <w:div w:id="939214528">
          <w:marLeft w:val="0"/>
          <w:marRight w:val="0"/>
          <w:marTop w:val="0"/>
          <w:marBottom w:val="0"/>
          <w:divBdr>
            <w:top w:val="none" w:sz="0" w:space="0" w:color="auto"/>
            <w:left w:val="none" w:sz="0" w:space="0" w:color="auto"/>
            <w:bottom w:val="none" w:sz="0" w:space="0" w:color="auto"/>
            <w:right w:val="none" w:sz="0" w:space="0" w:color="auto"/>
          </w:divBdr>
        </w:div>
        <w:div w:id="1033388424">
          <w:marLeft w:val="0"/>
          <w:marRight w:val="0"/>
          <w:marTop w:val="0"/>
          <w:marBottom w:val="0"/>
          <w:divBdr>
            <w:top w:val="none" w:sz="0" w:space="0" w:color="auto"/>
            <w:left w:val="none" w:sz="0" w:space="0" w:color="auto"/>
            <w:bottom w:val="none" w:sz="0" w:space="0" w:color="auto"/>
            <w:right w:val="none" w:sz="0" w:space="0" w:color="auto"/>
          </w:divBdr>
        </w:div>
        <w:div w:id="1055859195">
          <w:marLeft w:val="0"/>
          <w:marRight w:val="0"/>
          <w:marTop w:val="0"/>
          <w:marBottom w:val="0"/>
          <w:divBdr>
            <w:top w:val="none" w:sz="0" w:space="0" w:color="auto"/>
            <w:left w:val="none" w:sz="0" w:space="0" w:color="auto"/>
            <w:bottom w:val="none" w:sz="0" w:space="0" w:color="auto"/>
            <w:right w:val="none" w:sz="0" w:space="0" w:color="auto"/>
          </w:divBdr>
        </w:div>
        <w:div w:id="1062144915">
          <w:marLeft w:val="0"/>
          <w:marRight w:val="0"/>
          <w:marTop w:val="0"/>
          <w:marBottom w:val="0"/>
          <w:divBdr>
            <w:top w:val="none" w:sz="0" w:space="0" w:color="auto"/>
            <w:left w:val="none" w:sz="0" w:space="0" w:color="auto"/>
            <w:bottom w:val="none" w:sz="0" w:space="0" w:color="auto"/>
            <w:right w:val="none" w:sz="0" w:space="0" w:color="auto"/>
          </w:divBdr>
        </w:div>
        <w:div w:id="1082337005">
          <w:marLeft w:val="0"/>
          <w:marRight w:val="0"/>
          <w:marTop w:val="0"/>
          <w:marBottom w:val="0"/>
          <w:divBdr>
            <w:top w:val="none" w:sz="0" w:space="0" w:color="auto"/>
            <w:left w:val="none" w:sz="0" w:space="0" w:color="auto"/>
            <w:bottom w:val="none" w:sz="0" w:space="0" w:color="auto"/>
            <w:right w:val="none" w:sz="0" w:space="0" w:color="auto"/>
          </w:divBdr>
        </w:div>
        <w:div w:id="1090085221">
          <w:marLeft w:val="0"/>
          <w:marRight w:val="0"/>
          <w:marTop w:val="0"/>
          <w:marBottom w:val="0"/>
          <w:divBdr>
            <w:top w:val="none" w:sz="0" w:space="0" w:color="auto"/>
            <w:left w:val="none" w:sz="0" w:space="0" w:color="auto"/>
            <w:bottom w:val="none" w:sz="0" w:space="0" w:color="auto"/>
            <w:right w:val="none" w:sz="0" w:space="0" w:color="auto"/>
          </w:divBdr>
        </w:div>
        <w:div w:id="1140149361">
          <w:marLeft w:val="0"/>
          <w:marRight w:val="0"/>
          <w:marTop w:val="0"/>
          <w:marBottom w:val="0"/>
          <w:divBdr>
            <w:top w:val="none" w:sz="0" w:space="0" w:color="auto"/>
            <w:left w:val="none" w:sz="0" w:space="0" w:color="auto"/>
            <w:bottom w:val="none" w:sz="0" w:space="0" w:color="auto"/>
            <w:right w:val="none" w:sz="0" w:space="0" w:color="auto"/>
          </w:divBdr>
        </w:div>
        <w:div w:id="1196849534">
          <w:marLeft w:val="0"/>
          <w:marRight w:val="0"/>
          <w:marTop w:val="0"/>
          <w:marBottom w:val="0"/>
          <w:divBdr>
            <w:top w:val="none" w:sz="0" w:space="0" w:color="auto"/>
            <w:left w:val="none" w:sz="0" w:space="0" w:color="auto"/>
            <w:bottom w:val="none" w:sz="0" w:space="0" w:color="auto"/>
            <w:right w:val="none" w:sz="0" w:space="0" w:color="auto"/>
          </w:divBdr>
        </w:div>
        <w:div w:id="1233347285">
          <w:marLeft w:val="0"/>
          <w:marRight w:val="0"/>
          <w:marTop w:val="0"/>
          <w:marBottom w:val="0"/>
          <w:divBdr>
            <w:top w:val="none" w:sz="0" w:space="0" w:color="auto"/>
            <w:left w:val="none" w:sz="0" w:space="0" w:color="auto"/>
            <w:bottom w:val="none" w:sz="0" w:space="0" w:color="auto"/>
            <w:right w:val="none" w:sz="0" w:space="0" w:color="auto"/>
          </w:divBdr>
        </w:div>
        <w:div w:id="1418286476">
          <w:marLeft w:val="0"/>
          <w:marRight w:val="0"/>
          <w:marTop w:val="0"/>
          <w:marBottom w:val="0"/>
          <w:divBdr>
            <w:top w:val="none" w:sz="0" w:space="0" w:color="auto"/>
            <w:left w:val="none" w:sz="0" w:space="0" w:color="auto"/>
            <w:bottom w:val="none" w:sz="0" w:space="0" w:color="auto"/>
            <w:right w:val="none" w:sz="0" w:space="0" w:color="auto"/>
          </w:divBdr>
        </w:div>
        <w:div w:id="1427454830">
          <w:marLeft w:val="0"/>
          <w:marRight w:val="0"/>
          <w:marTop w:val="0"/>
          <w:marBottom w:val="0"/>
          <w:divBdr>
            <w:top w:val="none" w:sz="0" w:space="0" w:color="auto"/>
            <w:left w:val="none" w:sz="0" w:space="0" w:color="auto"/>
            <w:bottom w:val="none" w:sz="0" w:space="0" w:color="auto"/>
            <w:right w:val="none" w:sz="0" w:space="0" w:color="auto"/>
          </w:divBdr>
        </w:div>
        <w:div w:id="1484470288">
          <w:marLeft w:val="0"/>
          <w:marRight w:val="0"/>
          <w:marTop w:val="0"/>
          <w:marBottom w:val="0"/>
          <w:divBdr>
            <w:top w:val="none" w:sz="0" w:space="0" w:color="auto"/>
            <w:left w:val="none" w:sz="0" w:space="0" w:color="auto"/>
            <w:bottom w:val="none" w:sz="0" w:space="0" w:color="auto"/>
            <w:right w:val="none" w:sz="0" w:space="0" w:color="auto"/>
          </w:divBdr>
        </w:div>
        <w:div w:id="1549605581">
          <w:marLeft w:val="0"/>
          <w:marRight w:val="0"/>
          <w:marTop w:val="0"/>
          <w:marBottom w:val="0"/>
          <w:divBdr>
            <w:top w:val="none" w:sz="0" w:space="0" w:color="auto"/>
            <w:left w:val="none" w:sz="0" w:space="0" w:color="auto"/>
            <w:bottom w:val="none" w:sz="0" w:space="0" w:color="auto"/>
            <w:right w:val="none" w:sz="0" w:space="0" w:color="auto"/>
          </w:divBdr>
        </w:div>
        <w:div w:id="1550872221">
          <w:marLeft w:val="0"/>
          <w:marRight w:val="0"/>
          <w:marTop w:val="0"/>
          <w:marBottom w:val="0"/>
          <w:divBdr>
            <w:top w:val="none" w:sz="0" w:space="0" w:color="auto"/>
            <w:left w:val="none" w:sz="0" w:space="0" w:color="auto"/>
            <w:bottom w:val="none" w:sz="0" w:space="0" w:color="auto"/>
            <w:right w:val="none" w:sz="0" w:space="0" w:color="auto"/>
          </w:divBdr>
        </w:div>
        <w:div w:id="1579094562">
          <w:marLeft w:val="0"/>
          <w:marRight w:val="0"/>
          <w:marTop w:val="0"/>
          <w:marBottom w:val="0"/>
          <w:divBdr>
            <w:top w:val="none" w:sz="0" w:space="0" w:color="auto"/>
            <w:left w:val="none" w:sz="0" w:space="0" w:color="auto"/>
            <w:bottom w:val="none" w:sz="0" w:space="0" w:color="auto"/>
            <w:right w:val="none" w:sz="0" w:space="0" w:color="auto"/>
          </w:divBdr>
        </w:div>
        <w:div w:id="1608807494">
          <w:marLeft w:val="0"/>
          <w:marRight w:val="0"/>
          <w:marTop w:val="0"/>
          <w:marBottom w:val="0"/>
          <w:divBdr>
            <w:top w:val="none" w:sz="0" w:space="0" w:color="auto"/>
            <w:left w:val="none" w:sz="0" w:space="0" w:color="auto"/>
            <w:bottom w:val="none" w:sz="0" w:space="0" w:color="auto"/>
            <w:right w:val="none" w:sz="0" w:space="0" w:color="auto"/>
          </w:divBdr>
        </w:div>
        <w:div w:id="1639460010">
          <w:marLeft w:val="0"/>
          <w:marRight w:val="0"/>
          <w:marTop w:val="0"/>
          <w:marBottom w:val="0"/>
          <w:divBdr>
            <w:top w:val="none" w:sz="0" w:space="0" w:color="auto"/>
            <w:left w:val="none" w:sz="0" w:space="0" w:color="auto"/>
            <w:bottom w:val="none" w:sz="0" w:space="0" w:color="auto"/>
            <w:right w:val="none" w:sz="0" w:space="0" w:color="auto"/>
          </w:divBdr>
        </w:div>
        <w:div w:id="1673679473">
          <w:marLeft w:val="0"/>
          <w:marRight w:val="0"/>
          <w:marTop w:val="0"/>
          <w:marBottom w:val="0"/>
          <w:divBdr>
            <w:top w:val="none" w:sz="0" w:space="0" w:color="auto"/>
            <w:left w:val="none" w:sz="0" w:space="0" w:color="auto"/>
            <w:bottom w:val="none" w:sz="0" w:space="0" w:color="auto"/>
            <w:right w:val="none" w:sz="0" w:space="0" w:color="auto"/>
          </w:divBdr>
        </w:div>
        <w:div w:id="1739475088">
          <w:marLeft w:val="0"/>
          <w:marRight w:val="0"/>
          <w:marTop w:val="0"/>
          <w:marBottom w:val="0"/>
          <w:divBdr>
            <w:top w:val="none" w:sz="0" w:space="0" w:color="auto"/>
            <w:left w:val="none" w:sz="0" w:space="0" w:color="auto"/>
            <w:bottom w:val="none" w:sz="0" w:space="0" w:color="auto"/>
            <w:right w:val="none" w:sz="0" w:space="0" w:color="auto"/>
          </w:divBdr>
        </w:div>
        <w:div w:id="1760980798">
          <w:marLeft w:val="0"/>
          <w:marRight w:val="0"/>
          <w:marTop w:val="0"/>
          <w:marBottom w:val="0"/>
          <w:divBdr>
            <w:top w:val="none" w:sz="0" w:space="0" w:color="auto"/>
            <w:left w:val="none" w:sz="0" w:space="0" w:color="auto"/>
            <w:bottom w:val="none" w:sz="0" w:space="0" w:color="auto"/>
            <w:right w:val="none" w:sz="0" w:space="0" w:color="auto"/>
          </w:divBdr>
        </w:div>
        <w:div w:id="1781073893">
          <w:marLeft w:val="0"/>
          <w:marRight w:val="0"/>
          <w:marTop w:val="0"/>
          <w:marBottom w:val="0"/>
          <w:divBdr>
            <w:top w:val="none" w:sz="0" w:space="0" w:color="auto"/>
            <w:left w:val="none" w:sz="0" w:space="0" w:color="auto"/>
            <w:bottom w:val="none" w:sz="0" w:space="0" w:color="auto"/>
            <w:right w:val="none" w:sz="0" w:space="0" w:color="auto"/>
          </w:divBdr>
        </w:div>
        <w:div w:id="1854146631">
          <w:marLeft w:val="0"/>
          <w:marRight w:val="0"/>
          <w:marTop w:val="0"/>
          <w:marBottom w:val="0"/>
          <w:divBdr>
            <w:top w:val="none" w:sz="0" w:space="0" w:color="auto"/>
            <w:left w:val="none" w:sz="0" w:space="0" w:color="auto"/>
            <w:bottom w:val="none" w:sz="0" w:space="0" w:color="auto"/>
            <w:right w:val="none" w:sz="0" w:space="0" w:color="auto"/>
          </w:divBdr>
        </w:div>
        <w:div w:id="1876506467">
          <w:marLeft w:val="0"/>
          <w:marRight w:val="0"/>
          <w:marTop w:val="0"/>
          <w:marBottom w:val="0"/>
          <w:divBdr>
            <w:top w:val="none" w:sz="0" w:space="0" w:color="auto"/>
            <w:left w:val="none" w:sz="0" w:space="0" w:color="auto"/>
            <w:bottom w:val="none" w:sz="0" w:space="0" w:color="auto"/>
            <w:right w:val="none" w:sz="0" w:space="0" w:color="auto"/>
          </w:divBdr>
        </w:div>
        <w:div w:id="1926499261">
          <w:marLeft w:val="0"/>
          <w:marRight w:val="0"/>
          <w:marTop w:val="0"/>
          <w:marBottom w:val="0"/>
          <w:divBdr>
            <w:top w:val="none" w:sz="0" w:space="0" w:color="auto"/>
            <w:left w:val="none" w:sz="0" w:space="0" w:color="auto"/>
            <w:bottom w:val="none" w:sz="0" w:space="0" w:color="auto"/>
            <w:right w:val="none" w:sz="0" w:space="0" w:color="auto"/>
          </w:divBdr>
        </w:div>
        <w:div w:id="2017343211">
          <w:marLeft w:val="0"/>
          <w:marRight w:val="0"/>
          <w:marTop w:val="0"/>
          <w:marBottom w:val="0"/>
          <w:divBdr>
            <w:top w:val="none" w:sz="0" w:space="0" w:color="auto"/>
            <w:left w:val="none" w:sz="0" w:space="0" w:color="auto"/>
            <w:bottom w:val="none" w:sz="0" w:space="0" w:color="auto"/>
            <w:right w:val="none" w:sz="0" w:space="0" w:color="auto"/>
          </w:divBdr>
        </w:div>
        <w:div w:id="2025278720">
          <w:marLeft w:val="0"/>
          <w:marRight w:val="0"/>
          <w:marTop w:val="0"/>
          <w:marBottom w:val="0"/>
          <w:divBdr>
            <w:top w:val="none" w:sz="0" w:space="0" w:color="auto"/>
            <w:left w:val="none" w:sz="0" w:space="0" w:color="auto"/>
            <w:bottom w:val="none" w:sz="0" w:space="0" w:color="auto"/>
            <w:right w:val="none" w:sz="0" w:space="0" w:color="auto"/>
          </w:divBdr>
        </w:div>
        <w:div w:id="2040427638">
          <w:marLeft w:val="0"/>
          <w:marRight w:val="0"/>
          <w:marTop w:val="0"/>
          <w:marBottom w:val="0"/>
          <w:divBdr>
            <w:top w:val="none" w:sz="0" w:space="0" w:color="auto"/>
            <w:left w:val="none" w:sz="0" w:space="0" w:color="auto"/>
            <w:bottom w:val="none" w:sz="0" w:space="0" w:color="auto"/>
            <w:right w:val="none" w:sz="0" w:space="0" w:color="auto"/>
          </w:divBdr>
        </w:div>
        <w:div w:id="2059015958">
          <w:marLeft w:val="0"/>
          <w:marRight w:val="0"/>
          <w:marTop w:val="0"/>
          <w:marBottom w:val="0"/>
          <w:divBdr>
            <w:top w:val="none" w:sz="0" w:space="0" w:color="auto"/>
            <w:left w:val="none" w:sz="0" w:space="0" w:color="auto"/>
            <w:bottom w:val="none" w:sz="0" w:space="0" w:color="auto"/>
            <w:right w:val="none" w:sz="0" w:space="0" w:color="auto"/>
          </w:divBdr>
        </w:div>
        <w:div w:id="2062166461">
          <w:marLeft w:val="0"/>
          <w:marRight w:val="0"/>
          <w:marTop w:val="0"/>
          <w:marBottom w:val="0"/>
          <w:divBdr>
            <w:top w:val="none" w:sz="0" w:space="0" w:color="auto"/>
            <w:left w:val="none" w:sz="0" w:space="0" w:color="auto"/>
            <w:bottom w:val="none" w:sz="0" w:space="0" w:color="auto"/>
            <w:right w:val="none" w:sz="0" w:space="0" w:color="auto"/>
          </w:divBdr>
        </w:div>
        <w:div w:id="2094424370">
          <w:marLeft w:val="0"/>
          <w:marRight w:val="0"/>
          <w:marTop w:val="0"/>
          <w:marBottom w:val="0"/>
          <w:divBdr>
            <w:top w:val="none" w:sz="0" w:space="0" w:color="auto"/>
            <w:left w:val="none" w:sz="0" w:space="0" w:color="auto"/>
            <w:bottom w:val="none" w:sz="0" w:space="0" w:color="auto"/>
            <w:right w:val="none" w:sz="0" w:space="0" w:color="auto"/>
          </w:divBdr>
        </w:div>
        <w:div w:id="2113278646">
          <w:marLeft w:val="0"/>
          <w:marRight w:val="0"/>
          <w:marTop w:val="0"/>
          <w:marBottom w:val="0"/>
          <w:divBdr>
            <w:top w:val="none" w:sz="0" w:space="0" w:color="auto"/>
            <w:left w:val="none" w:sz="0" w:space="0" w:color="auto"/>
            <w:bottom w:val="none" w:sz="0" w:space="0" w:color="auto"/>
            <w:right w:val="none" w:sz="0" w:space="0" w:color="auto"/>
          </w:divBdr>
        </w:div>
      </w:divsChild>
    </w:div>
    <w:div w:id="775752804">
      <w:bodyDiv w:val="1"/>
      <w:marLeft w:val="0"/>
      <w:marRight w:val="0"/>
      <w:marTop w:val="0"/>
      <w:marBottom w:val="0"/>
      <w:divBdr>
        <w:top w:val="none" w:sz="0" w:space="0" w:color="auto"/>
        <w:left w:val="none" w:sz="0" w:space="0" w:color="auto"/>
        <w:bottom w:val="none" w:sz="0" w:space="0" w:color="auto"/>
        <w:right w:val="none" w:sz="0" w:space="0" w:color="auto"/>
      </w:divBdr>
    </w:div>
    <w:div w:id="821972927">
      <w:bodyDiv w:val="1"/>
      <w:marLeft w:val="0"/>
      <w:marRight w:val="0"/>
      <w:marTop w:val="0"/>
      <w:marBottom w:val="0"/>
      <w:divBdr>
        <w:top w:val="none" w:sz="0" w:space="0" w:color="auto"/>
        <w:left w:val="none" w:sz="0" w:space="0" w:color="auto"/>
        <w:bottom w:val="none" w:sz="0" w:space="0" w:color="auto"/>
        <w:right w:val="none" w:sz="0" w:space="0" w:color="auto"/>
      </w:divBdr>
    </w:div>
    <w:div w:id="822818239">
      <w:bodyDiv w:val="1"/>
      <w:marLeft w:val="0"/>
      <w:marRight w:val="0"/>
      <w:marTop w:val="0"/>
      <w:marBottom w:val="0"/>
      <w:divBdr>
        <w:top w:val="none" w:sz="0" w:space="0" w:color="auto"/>
        <w:left w:val="none" w:sz="0" w:space="0" w:color="auto"/>
        <w:bottom w:val="none" w:sz="0" w:space="0" w:color="auto"/>
        <w:right w:val="none" w:sz="0" w:space="0" w:color="auto"/>
      </w:divBdr>
      <w:divsChild>
        <w:div w:id="579173526">
          <w:marLeft w:val="0"/>
          <w:marRight w:val="0"/>
          <w:marTop w:val="0"/>
          <w:marBottom w:val="0"/>
          <w:divBdr>
            <w:top w:val="single" w:sz="2" w:space="0" w:color="auto"/>
            <w:left w:val="single" w:sz="2" w:space="0" w:color="auto"/>
            <w:bottom w:val="single" w:sz="2" w:space="0" w:color="auto"/>
            <w:right w:val="single" w:sz="2" w:space="0" w:color="auto"/>
          </w:divBdr>
          <w:divsChild>
            <w:div w:id="1781413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527324780">
                  <w:marLeft w:val="0"/>
                  <w:marRight w:val="0"/>
                  <w:marTop w:val="0"/>
                  <w:marBottom w:val="0"/>
                  <w:divBdr>
                    <w:top w:val="single" w:sz="2" w:space="0" w:color="D9D9E3"/>
                    <w:left w:val="single" w:sz="2" w:space="0" w:color="D9D9E3"/>
                    <w:bottom w:val="single" w:sz="2" w:space="0" w:color="D9D9E3"/>
                    <w:right w:val="single" w:sz="2" w:space="0" w:color="D9D9E3"/>
                  </w:divBdr>
                  <w:divsChild>
                    <w:div w:id="321740182">
                      <w:marLeft w:val="0"/>
                      <w:marRight w:val="0"/>
                      <w:marTop w:val="0"/>
                      <w:marBottom w:val="0"/>
                      <w:divBdr>
                        <w:top w:val="single" w:sz="2" w:space="0" w:color="D9D9E3"/>
                        <w:left w:val="single" w:sz="2" w:space="0" w:color="D9D9E3"/>
                        <w:bottom w:val="single" w:sz="2" w:space="0" w:color="D9D9E3"/>
                        <w:right w:val="single" w:sz="2" w:space="0" w:color="D9D9E3"/>
                      </w:divBdr>
                      <w:divsChild>
                        <w:div w:id="1414668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7501945">
          <w:marLeft w:val="0"/>
          <w:marRight w:val="0"/>
          <w:marTop w:val="0"/>
          <w:marBottom w:val="0"/>
          <w:divBdr>
            <w:top w:val="single" w:sz="2" w:space="0" w:color="auto"/>
            <w:left w:val="single" w:sz="2" w:space="0" w:color="auto"/>
            <w:bottom w:val="single" w:sz="2" w:space="0" w:color="auto"/>
            <w:right w:val="single" w:sz="2" w:space="0" w:color="auto"/>
          </w:divBdr>
          <w:divsChild>
            <w:div w:id="490606642">
              <w:marLeft w:val="0"/>
              <w:marRight w:val="0"/>
              <w:marTop w:val="100"/>
              <w:marBottom w:val="100"/>
              <w:divBdr>
                <w:top w:val="single" w:sz="2" w:space="0" w:color="D9D9E3"/>
                <w:left w:val="single" w:sz="2" w:space="0" w:color="D9D9E3"/>
                <w:bottom w:val="single" w:sz="2" w:space="0" w:color="D9D9E3"/>
                <w:right w:val="single" w:sz="2" w:space="0" w:color="D9D9E3"/>
              </w:divBdr>
              <w:divsChild>
                <w:div w:id="150803398">
                  <w:marLeft w:val="0"/>
                  <w:marRight w:val="0"/>
                  <w:marTop w:val="0"/>
                  <w:marBottom w:val="0"/>
                  <w:divBdr>
                    <w:top w:val="single" w:sz="2" w:space="0" w:color="D9D9E3"/>
                    <w:left w:val="single" w:sz="2" w:space="0" w:color="D9D9E3"/>
                    <w:bottom w:val="single" w:sz="2" w:space="0" w:color="D9D9E3"/>
                    <w:right w:val="single" w:sz="2" w:space="0" w:color="D9D9E3"/>
                  </w:divBdr>
                  <w:divsChild>
                    <w:div w:id="1445228085">
                      <w:marLeft w:val="0"/>
                      <w:marRight w:val="0"/>
                      <w:marTop w:val="0"/>
                      <w:marBottom w:val="0"/>
                      <w:divBdr>
                        <w:top w:val="single" w:sz="2" w:space="0" w:color="D9D9E3"/>
                        <w:left w:val="single" w:sz="2" w:space="0" w:color="D9D9E3"/>
                        <w:bottom w:val="single" w:sz="2" w:space="0" w:color="D9D9E3"/>
                        <w:right w:val="single" w:sz="2" w:space="0" w:color="D9D9E3"/>
                      </w:divBdr>
                      <w:divsChild>
                        <w:div w:id="650065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6122853">
          <w:marLeft w:val="0"/>
          <w:marRight w:val="0"/>
          <w:marTop w:val="0"/>
          <w:marBottom w:val="0"/>
          <w:divBdr>
            <w:top w:val="single" w:sz="2" w:space="0" w:color="auto"/>
            <w:left w:val="single" w:sz="2" w:space="0" w:color="auto"/>
            <w:bottom w:val="single" w:sz="2" w:space="0" w:color="auto"/>
            <w:right w:val="single" w:sz="2" w:space="0" w:color="auto"/>
          </w:divBdr>
          <w:divsChild>
            <w:div w:id="1140267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09397784">
                  <w:marLeft w:val="0"/>
                  <w:marRight w:val="0"/>
                  <w:marTop w:val="0"/>
                  <w:marBottom w:val="0"/>
                  <w:divBdr>
                    <w:top w:val="single" w:sz="2" w:space="0" w:color="D9D9E3"/>
                    <w:left w:val="single" w:sz="2" w:space="0" w:color="D9D9E3"/>
                    <w:bottom w:val="single" w:sz="2" w:space="0" w:color="D9D9E3"/>
                    <w:right w:val="single" w:sz="2" w:space="0" w:color="D9D9E3"/>
                  </w:divBdr>
                  <w:divsChild>
                    <w:div w:id="253436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0538884">
                  <w:marLeft w:val="0"/>
                  <w:marRight w:val="0"/>
                  <w:marTop w:val="0"/>
                  <w:marBottom w:val="0"/>
                  <w:divBdr>
                    <w:top w:val="single" w:sz="2" w:space="0" w:color="D9D9E3"/>
                    <w:left w:val="single" w:sz="2" w:space="0" w:color="D9D9E3"/>
                    <w:bottom w:val="single" w:sz="2" w:space="0" w:color="D9D9E3"/>
                    <w:right w:val="single" w:sz="2" w:space="0" w:color="D9D9E3"/>
                  </w:divBdr>
                  <w:divsChild>
                    <w:div w:id="295918757">
                      <w:marLeft w:val="0"/>
                      <w:marRight w:val="0"/>
                      <w:marTop w:val="0"/>
                      <w:marBottom w:val="0"/>
                      <w:divBdr>
                        <w:top w:val="single" w:sz="2" w:space="0" w:color="D9D9E3"/>
                        <w:left w:val="single" w:sz="2" w:space="0" w:color="D9D9E3"/>
                        <w:bottom w:val="single" w:sz="2" w:space="0" w:color="D9D9E3"/>
                        <w:right w:val="single" w:sz="2" w:space="0" w:color="D9D9E3"/>
                      </w:divBdr>
                      <w:divsChild>
                        <w:div w:id="1281643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5707779">
      <w:bodyDiv w:val="1"/>
      <w:marLeft w:val="0"/>
      <w:marRight w:val="0"/>
      <w:marTop w:val="0"/>
      <w:marBottom w:val="0"/>
      <w:divBdr>
        <w:top w:val="none" w:sz="0" w:space="0" w:color="auto"/>
        <w:left w:val="none" w:sz="0" w:space="0" w:color="auto"/>
        <w:bottom w:val="none" w:sz="0" w:space="0" w:color="auto"/>
        <w:right w:val="none" w:sz="0" w:space="0" w:color="auto"/>
      </w:divBdr>
    </w:div>
    <w:div w:id="888111059">
      <w:bodyDiv w:val="1"/>
      <w:marLeft w:val="0"/>
      <w:marRight w:val="0"/>
      <w:marTop w:val="0"/>
      <w:marBottom w:val="0"/>
      <w:divBdr>
        <w:top w:val="none" w:sz="0" w:space="0" w:color="auto"/>
        <w:left w:val="none" w:sz="0" w:space="0" w:color="auto"/>
        <w:bottom w:val="none" w:sz="0" w:space="0" w:color="auto"/>
        <w:right w:val="none" w:sz="0" w:space="0" w:color="auto"/>
      </w:divBdr>
      <w:divsChild>
        <w:div w:id="166091957">
          <w:marLeft w:val="0"/>
          <w:marRight w:val="0"/>
          <w:marTop w:val="0"/>
          <w:marBottom w:val="0"/>
          <w:divBdr>
            <w:top w:val="none" w:sz="0" w:space="0" w:color="auto"/>
            <w:left w:val="none" w:sz="0" w:space="0" w:color="auto"/>
            <w:bottom w:val="none" w:sz="0" w:space="0" w:color="auto"/>
            <w:right w:val="none" w:sz="0" w:space="0" w:color="auto"/>
          </w:divBdr>
        </w:div>
        <w:div w:id="315110792">
          <w:marLeft w:val="0"/>
          <w:marRight w:val="0"/>
          <w:marTop w:val="0"/>
          <w:marBottom w:val="0"/>
          <w:divBdr>
            <w:top w:val="none" w:sz="0" w:space="0" w:color="auto"/>
            <w:left w:val="none" w:sz="0" w:space="0" w:color="auto"/>
            <w:bottom w:val="none" w:sz="0" w:space="0" w:color="auto"/>
            <w:right w:val="none" w:sz="0" w:space="0" w:color="auto"/>
          </w:divBdr>
        </w:div>
        <w:div w:id="356083433">
          <w:marLeft w:val="0"/>
          <w:marRight w:val="0"/>
          <w:marTop w:val="0"/>
          <w:marBottom w:val="0"/>
          <w:divBdr>
            <w:top w:val="none" w:sz="0" w:space="0" w:color="auto"/>
            <w:left w:val="none" w:sz="0" w:space="0" w:color="auto"/>
            <w:bottom w:val="none" w:sz="0" w:space="0" w:color="auto"/>
            <w:right w:val="none" w:sz="0" w:space="0" w:color="auto"/>
          </w:divBdr>
        </w:div>
        <w:div w:id="409081078">
          <w:marLeft w:val="0"/>
          <w:marRight w:val="0"/>
          <w:marTop w:val="0"/>
          <w:marBottom w:val="0"/>
          <w:divBdr>
            <w:top w:val="none" w:sz="0" w:space="0" w:color="auto"/>
            <w:left w:val="none" w:sz="0" w:space="0" w:color="auto"/>
            <w:bottom w:val="none" w:sz="0" w:space="0" w:color="auto"/>
            <w:right w:val="none" w:sz="0" w:space="0" w:color="auto"/>
          </w:divBdr>
        </w:div>
        <w:div w:id="676690927">
          <w:marLeft w:val="0"/>
          <w:marRight w:val="0"/>
          <w:marTop w:val="0"/>
          <w:marBottom w:val="0"/>
          <w:divBdr>
            <w:top w:val="none" w:sz="0" w:space="0" w:color="auto"/>
            <w:left w:val="none" w:sz="0" w:space="0" w:color="auto"/>
            <w:bottom w:val="none" w:sz="0" w:space="0" w:color="auto"/>
            <w:right w:val="none" w:sz="0" w:space="0" w:color="auto"/>
          </w:divBdr>
        </w:div>
        <w:div w:id="720441040">
          <w:marLeft w:val="0"/>
          <w:marRight w:val="0"/>
          <w:marTop w:val="0"/>
          <w:marBottom w:val="0"/>
          <w:divBdr>
            <w:top w:val="none" w:sz="0" w:space="0" w:color="auto"/>
            <w:left w:val="none" w:sz="0" w:space="0" w:color="auto"/>
            <w:bottom w:val="none" w:sz="0" w:space="0" w:color="auto"/>
            <w:right w:val="none" w:sz="0" w:space="0" w:color="auto"/>
          </w:divBdr>
        </w:div>
        <w:div w:id="727727791">
          <w:marLeft w:val="0"/>
          <w:marRight w:val="0"/>
          <w:marTop w:val="0"/>
          <w:marBottom w:val="0"/>
          <w:divBdr>
            <w:top w:val="none" w:sz="0" w:space="0" w:color="auto"/>
            <w:left w:val="none" w:sz="0" w:space="0" w:color="auto"/>
            <w:bottom w:val="none" w:sz="0" w:space="0" w:color="auto"/>
            <w:right w:val="none" w:sz="0" w:space="0" w:color="auto"/>
          </w:divBdr>
        </w:div>
        <w:div w:id="879393733">
          <w:marLeft w:val="0"/>
          <w:marRight w:val="0"/>
          <w:marTop w:val="0"/>
          <w:marBottom w:val="0"/>
          <w:divBdr>
            <w:top w:val="none" w:sz="0" w:space="0" w:color="auto"/>
            <w:left w:val="none" w:sz="0" w:space="0" w:color="auto"/>
            <w:bottom w:val="none" w:sz="0" w:space="0" w:color="auto"/>
            <w:right w:val="none" w:sz="0" w:space="0" w:color="auto"/>
          </w:divBdr>
        </w:div>
        <w:div w:id="906763957">
          <w:marLeft w:val="0"/>
          <w:marRight w:val="0"/>
          <w:marTop w:val="0"/>
          <w:marBottom w:val="0"/>
          <w:divBdr>
            <w:top w:val="none" w:sz="0" w:space="0" w:color="auto"/>
            <w:left w:val="none" w:sz="0" w:space="0" w:color="auto"/>
            <w:bottom w:val="none" w:sz="0" w:space="0" w:color="auto"/>
            <w:right w:val="none" w:sz="0" w:space="0" w:color="auto"/>
          </w:divBdr>
        </w:div>
        <w:div w:id="966474647">
          <w:marLeft w:val="0"/>
          <w:marRight w:val="0"/>
          <w:marTop w:val="0"/>
          <w:marBottom w:val="0"/>
          <w:divBdr>
            <w:top w:val="none" w:sz="0" w:space="0" w:color="auto"/>
            <w:left w:val="none" w:sz="0" w:space="0" w:color="auto"/>
            <w:bottom w:val="none" w:sz="0" w:space="0" w:color="auto"/>
            <w:right w:val="none" w:sz="0" w:space="0" w:color="auto"/>
          </w:divBdr>
        </w:div>
        <w:div w:id="996104497">
          <w:marLeft w:val="0"/>
          <w:marRight w:val="0"/>
          <w:marTop w:val="0"/>
          <w:marBottom w:val="0"/>
          <w:divBdr>
            <w:top w:val="none" w:sz="0" w:space="0" w:color="auto"/>
            <w:left w:val="none" w:sz="0" w:space="0" w:color="auto"/>
            <w:bottom w:val="none" w:sz="0" w:space="0" w:color="auto"/>
            <w:right w:val="none" w:sz="0" w:space="0" w:color="auto"/>
          </w:divBdr>
        </w:div>
        <w:div w:id="1061363220">
          <w:marLeft w:val="0"/>
          <w:marRight w:val="0"/>
          <w:marTop w:val="0"/>
          <w:marBottom w:val="0"/>
          <w:divBdr>
            <w:top w:val="none" w:sz="0" w:space="0" w:color="auto"/>
            <w:left w:val="none" w:sz="0" w:space="0" w:color="auto"/>
            <w:bottom w:val="none" w:sz="0" w:space="0" w:color="auto"/>
            <w:right w:val="none" w:sz="0" w:space="0" w:color="auto"/>
          </w:divBdr>
        </w:div>
        <w:div w:id="1076702960">
          <w:marLeft w:val="0"/>
          <w:marRight w:val="0"/>
          <w:marTop w:val="0"/>
          <w:marBottom w:val="0"/>
          <w:divBdr>
            <w:top w:val="none" w:sz="0" w:space="0" w:color="auto"/>
            <w:left w:val="none" w:sz="0" w:space="0" w:color="auto"/>
            <w:bottom w:val="none" w:sz="0" w:space="0" w:color="auto"/>
            <w:right w:val="none" w:sz="0" w:space="0" w:color="auto"/>
          </w:divBdr>
        </w:div>
        <w:div w:id="1214855950">
          <w:marLeft w:val="0"/>
          <w:marRight w:val="0"/>
          <w:marTop w:val="0"/>
          <w:marBottom w:val="0"/>
          <w:divBdr>
            <w:top w:val="none" w:sz="0" w:space="0" w:color="auto"/>
            <w:left w:val="none" w:sz="0" w:space="0" w:color="auto"/>
            <w:bottom w:val="none" w:sz="0" w:space="0" w:color="auto"/>
            <w:right w:val="none" w:sz="0" w:space="0" w:color="auto"/>
          </w:divBdr>
        </w:div>
        <w:div w:id="1263369407">
          <w:marLeft w:val="0"/>
          <w:marRight w:val="0"/>
          <w:marTop w:val="0"/>
          <w:marBottom w:val="0"/>
          <w:divBdr>
            <w:top w:val="none" w:sz="0" w:space="0" w:color="auto"/>
            <w:left w:val="none" w:sz="0" w:space="0" w:color="auto"/>
            <w:bottom w:val="none" w:sz="0" w:space="0" w:color="auto"/>
            <w:right w:val="none" w:sz="0" w:space="0" w:color="auto"/>
          </w:divBdr>
        </w:div>
        <w:div w:id="1323699631">
          <w:marLeft w:val="0"/>
          <w:marRight w:val="0"/>
          <w:marTop w:val="0"/>
          <w:marBottom w:val="0"/>
          <w:divBdr>
            <w:top w:val="none" w:sz="0" w:space="0" w:color="auto"/>
            <w:left w:val="none" w:sz="0" w:space="0" w:color="auto"/>
            <w:bottom w:val="none" w:sz="0" w:space="0" w:color="auto"/>
            <w:right w:val="none" w:sz="0" w:space="0" w:color="auto"/>
          </w:divBdr>
        </w:div>
        <w:div w:id="1350176980">
          <w:marLeft w:val="0"/>
          <w:marRight w:val="0"/>
          <w:marTop w:val="0"/>
          <w:marBottom w:val="0"/>
          <w:divBdr>
            <w:top w:val="none" w:sz="0" w:space="0" w:color="auto"/>
            <w:left w:val="none" w:sz="0" w:space="0" w:color="auto"/>
            <w:bottom w:val="none" w:sz="0" w:space="0" w:color="auto"/>
            <w:right w:val="none" w:sz="0" w:space="0" w:color="auto"/>
          </w:divBdr>
        </w:div>
        <w:div w:id="1356493200">
          <w:marLeft w:val="0"/>
          <w:marRight w:val="0"/>
          <w:marTop w:val="0"/>
          <w:marBottom w:val="0"/>
          <w:divBdr>
            <w:top w:val="none" w:sz="0" w:space="0" w:color="auto"/>
            <w:left w:val="none" w:sz="0" w:space="0" w:color="auto"/>
            <w:bottom w:val="none" w:sz="0" w:space="0" w:color="auto"/>
            <w:right w:val="none" w:sz="0" w:space="0" w:color="auto"/>
          </w:divBdr>
        </w:div>
        <w:div w:id="1392575746">
          <w:marLeft w:val="0"/>
          <w:marRight w:val="0"/>
          <w:marTop w:val="0"/>
          <w:marBottom w:val="0"/>
          <w:divBdr>
            <w:top w:val="none" w:sz="0" w:space="0" w:color="auto"/>
            <w:left w:val="none" w:sz="0" w:space="0" w:color="auto"/>
            <w:bottom w:val="none" w:sz="0" w:space="0" w:color="auto"/>
            <w:right w:val="none" w:sz="0" w:space="0" w:color="auto"/>
          </w:divBdr>
        </w:div>
        <w:div w:id="1631008259">
          <w:marLeft w:val="0"/>
          <w:marRight w:val="0"/>
          <w:marTop w:val="0"/>
          <w:marBottom w:val="0"/>
          <w:divBdr>
            <w:top w:val="none" w:sz="0" w:space="0" w:color="auto"/>
            <w:left w:val="none" w:sz="0" w:space="0" w:color="auto"/>
            <w:bottom w:val="none" w:sz="0" w:space="0" w:color="auto"/>
            <w:right w:val="none" w:sz="0" w:space="0" w:color="auto"/>
          </w:divBdr>
        </w:div>
        <w:div w:id="2066366520">
          <w:marLeft w:val="0"/>
          <w:marRight w:val="0"/>
          <w:marTop w:val="0"/>
          <w:marBottom w:val="0"/>
          <w:divBdr>
            <w:top w:val="none" w:sz="0" w:space="0" w:color="auto"/>
            <w:left w:val="none" w:sz="0" w:space="0" w:color="auto"/>
            <w:bottom w:val="none" w:sz="0" w:space="0" w:color="auto"/>
            <w:right w:val="none" w:sz="0" w:space="0" w:color="auto"/>
          </w:divBdr>
        </w:div>
      </w:divsChild>
    </w:div>
    <w:div w:id="908423227">
      <w:bodyDiv w:val="1"/>
      <w:marLeft w:val="0"/>
      <w:marRight w:val="0"/>
      <w:marTop w:val="0"/>
      <w:marBottom w:val="0"/>
      <w:divBdr>
        <w:top w:val="none" w:sz="0" w:space="0" w:color="auto"/>
        <w:left w:val="none" w:sz="0" w:space="0" w:color="auto"/>
        <w:bottom w:val="none" w:sz="0" w:space="0" w:color="auto"/>
        <w:right w:val="none" w:sz="0" w:space="0" w:color="auto"/>
      </w:divBdr>
      <w:divsChild>
        <w:div w:id="62719871">
          <w:marLeft w:val="0"/>
          <w:marRight w:val="0"/>
          <w:marTop w:val="0"/>
          <w:marBottom w:val="0"/>
          <w:divBdr>
            <w:top w:val="none" w:sz="0" w:space="0" w:color="auto"/>
            <w:left w:val="none" w:sz="0" w:space="0" w:color="auto"/>
            <w:bottom w:val="none" w:sz="0" w:space="0" w:color="auto"/>
            <w:right w:val="none" w:sz="0" w:space="0" w:color="auto"/>
          </w:divBdr>
        </w:div>
        <w:div w:id="251165058">
          <w:marLeft w:val="0"/>
          <w:marRight w:val="0"/>
          <w:marTop w:val="0"/>
          <w:marBottom w:val="0"/>
          <w:divBdr>
            <w:top w:val="none" w:sz="0" w:space="0" w:color="auto"/>
            <w:left w:val="none" w:sz="0" w:space="0" w:color="auto"/>
            <w:bottom w:val="none" w:sz="0" w:space="0" w:color="auto"/>
            <w:right w:val="none" w:sz="0" w:space="0" w:color="auto"/>
          </w:divBdr>
        </w:div>
        <w:div w:id="442656661">
          <w:marLeft w:val="0"/>
          <w:marRight w:val="0"/>
          <w:marTop w:val="0"/>
          <w:marBottom w:val="0"/>
          <w:divBdr>
            <w:top w:val="none" w:sz="0" w:space="0" w:color="auto"/>
            <w:left w:val="none" w:sz="0" w:space="0" w:color="auto"/>
            <w:bottom w:val="none" w:sz="0" w:space="0" w:color="auto"/>
            <w:right w:val="none" w:sz="0" w:space="0" w:color="auto"/>
          </w:divBdr>
        </w:div>
        <w:div w:id="504059137">
          <w:marLeft w:val="0"/>
          <w:marRight w:val="0"/>
          <w:marTop w:val="0"/>
          <w:marBottom w:val="0"/>
          <w:divBdr>
            <w:top w:val="none" w:sz="0" w:space="0" w:color="auto"/>
            <w:left w:val="none" w:sz="0" w:space="0" w:color="auto"/>
            <w:bottom w:val="none" w:sz="0" w:space="0" w:color="auto"/>
            <w:right w:val="none" w:sz="0" w:space="0" w:color="auto"/>
          </w:divBdr>
        </w:div>
        <w:div w:id="519977510">
          <w:marLeft w:val="0"/>
          <w:marRight w:val="0"/>
          <w:marTop w:val="0"/>
          <w:marBottom w:val="0"/>
          <w:divBdr>
            <w:top w:val="none" w:sz="0" w:space="0" w:color="auto"/>
            <w:left w:val="none" w:sz="0" w:space="0" w:color="auto"/>
            <w:bottom w:val="none" w:sz="0" w:space="0" w:color="auto"/>
            <w:right w:val="none" w:sz="0" w:space="0" w:color="auto"/>
          </w:divBdr>
        </w:div>
        <w:div w:id="837884439">
          <w:marLeft w:val="0"/>
          <w:marRight w:val="0"/>
          <w:marTop w:val="0"/>
          <w:marBottom w:val="0"/>
          <w:divBdr>
            <w:top w:val="none" w:sz="0" w:space="0" w:color="auto"/>
            <w:left w:val="none" w:sz="0" w:space="0" w:color="auto"/>
            <w:bottom w:val="none" w:sz="0" w:space="0" w:color="auto"/>
            <w:right w:val="none" w:sz="0" w:space="0" w:color="auto"/>
          </w:divBdr>
        </w:div>
        <w:div w:id="839083987">
          <w:marLeft w:val="0"/>
          <w:marRight w:val="0"/>
          <w:marTop w:val="0"/>
          <w:marBottom w:val="0"/>
          <w:divBdr>
            <w:top w:val="none" w:sz="0" w:space="0" w:color="auto"/>
            <w:left w:val="none" w:sz="0" w:space="0" w:color="auto"/>
            <w:bottom w:val="none" w:sz="0" w:space="0" w:color="auto"/>
            <w:right w:val="none" w:sz="0" w:space="0" w:color="auto"/>
          </w:divBdr>
        </w:div>
        <w:div w:id="1132291868">
          <w:marLeft w:val="0"/>
          <w:marRight w:val="0"/>
          <w:marTop w:val="0"/>
          <w:marBottom w:val="0"/>
          <w:divBdr>
            <w:top w:val="none" w:sz="0" w:space="0" w:color="auto"/>
            <w:left w:val="none" w:sz="0" w:space="0" w:color="auto"/>
            <w:bottom w:val="none" w:sz="0" w:space="0" w:color="auto"/>
            <w:right w:val="none" w:sz="0" w:space="0" w:color="auto"/>
          </w:divBdr>
        </w:div>
        <w:div w:id="1313362799">
          <w:marLeft w:val="0"/>
          <w:marRight w:val="0"/>
          <w:marTop w:val="0"/>
          <w:marBottom w:val="0"/>
          <w:divBdr>
            <w:top w:val="none" w:sz="0" w:space="0" w:color="auto"/>
            <w:left w:val="none" w:sz="0" w:space="0" w:color="auto"/>
            <w:bottom w:val="none" w:sz="0" w:space="0" w:color="auto"/>
            <w:right w:val="none" w:sz="0" w:space="0" w:color="auto"/>
          </w:divBdr>
        </w:div>
        <w:div w:id="1345862771">
          <w:marLeft w:val="0"/>
          <w:marRight w:val="0"/>
          <w:marTop w:val="0"/>
          <w:marBottom w:val="0"/>
          <w:divBdr>
            <w:top w:val="none" w:sz="0" w:space="0" w:color="auto"/>
            <w:left w:val="none" w:sz="0" w:space="0" w:color="auto"/>
            <w:bottom w:val="none" w:sz="0" w:space="0" w:color="auto"/>
            <w:right w:val="none" w:sz="0" w:space="0" w:color="auto"/>
          </w:divBdr>
        </w:div>
        <w:div w:id="1464813869">
          <w:marLeft w:val="0"/>
          <w:marRight w:val="0"/>
          <w:marTop w:val="0"/>
          <w:marBottom w:val="0"/>
          <w:divBdr>
            <w:top w:val="none" w:sz="0" w:space="0" w:color="auto"/>
            <w:left w:val="none" w:sz="0" w:space="0" w:color="auto"/>
            <w:bottom w:val="none" w:sz="0" w:space="0" w:color="auto"/>
            <w:right w:val="none" w:sz="0" w:space="0" w:color="auto"/>
          </w:divBdr>
        </w:div>
        <w:div w:id="1492409695">
          <w:marLeft w:val="0"/>
          <w:marRight w:val="0"/>
          <w:marTop w:val="0"/>
          <w:marBottom w:val="0"/>
          <w:divBdr>
            <w:top w:val="none" w:sz="0" w:space="0" w:color="auto"/>
            <w:left w:val="none" w:sz="0" w:space="0" w:color="auto"/>
            <w:bottom w:val="none" w:sz="0" w:space="0" w:color="auto"/>
            <w:right w:val="none" w:sz="0" w:space="0" w:color="auto"/>
          </w:divBdr>
        </w:div>
        <w:div w:id="1593929841">
          <w:marLeft w:val="0"/>
          <w:marRight w:val="0"/>
          <w:marTop w:val="0"/>
          <w:marBottom w:val="0"/>
          <w:divBdr>
            <w:top w:val="none" w:sz="0" w:space="0" w:color="auto"/>
            <w:left w:val="none" w:sz="0" w:space="0" w:color="auto"/>
            <w:bottom w:val="none" w:sz="0" w:space="0" w:color="auto"/>
            <w:right w:val="none" w:sz="0" w:space="0" w:color="auto"/>
          </w:divBdr>
        </w:div>
        <w:div w:id="1675188209">
          <w:marLeft w:val="0"/>
          <w:marRight w:val="0"/>
          <w:marTop w:val="0"/>
          <w:marBottom w:val="0"/>
          <w:divBdr>
            <w:top w:val="none" w:sz="0" w:space="0" w:color="auto"/>
            <w:left w:val="none" w:sz="0" w:space="0" w:color="auto"/>
            <w:bottom w:val="none" w:sz="0" w:space="0" w:color="auto"/>
            <w:right w:val="none" w:sz="0" w:space="0" w:color="auto"/>
          </w:divBdr>
        </w:div>
        <w:div w:id="1739862507">
          <w:marLeft w:val="0"/>
          <w:marRight w:val="0"/>
          <w:marTop w:val="0"/>
          <w:marBottom w:val="0"/>
          <w:divBdr>
            <w:top w:val="none" w:sz="0" w:space="0" w:color="auto"/>
            <w:left w:val="none" w:sz="0" w:space="0" w:color="auto"/>
            <w:bottom w:val="none" w:sz="0" w:space="0" w:color="auto"/>
            <w:right w:val="none" w:sz="0" w:space="0" w:color="auto"/>
          </w:divBdr>
        </w:div>
      </w:divsChild>
    </w:div>
    <w:div w:id="910118286">
      <w:bodyDiv w:val="1"/>
      <w:marLeft w:val="0"/>
      <w:marRight w:val="0"/>
      <w:marTop w:val="0"/>
      <w:marBottom w:val="0"/>
      <w:divBdr>
        <w:top w:val="none" w:sz="0" w:space="0" w:color="auto"/>
        <w:left w:val="none" w:sz="0" w:space="0" w:color="auto"/>
        <w:bottom w:val="none" w:sz="0" w:space="0" w:color="auto"/>
        <w:right w:val="none" w:sz="0" w:space="0" w:color="auto"/>
      </w:divBdr>
    </w:div>
    <w:div w:id="1032220737">
      <w:bodyDiv w:val="1"/>
      <w:marLeft w:val="0"/>
      <w:marRight w:val="0"/>
      <w:marTop w:val="0"/>
      <w:marBottom w:val="0"/>
      <w:divBdr>
        <w:top w:val="none" w:sz="0" w:space="0" w:color="auto"/>
        <w:left w:val="none" w:sz="0" w:space="0" w:color="auto"/>
        <w:bottom w:val="none" w:sz="0" w:space="0" w:color="auto"/>
        <w:right w:val="none" w:sz="0" w:space="0" w:color="auto"/>
      </w:divBdr>
    </w:div>
    <w:div w:id="1055810879">
      <w:bodyDiv w:val="1"/>
      <w:marLeft w:val="0"/>
      <w:marRight w:val="0"/>
      <w:marTop w:val="0"/>
      <w:marBottom w:val="0"/>
      <w:divBdr>
        <w:top w:val="none" w:sz="0" w:space="0" w:color="auto"/>
        <w:left w:val="none" w:sz="0" w:space="0" w:color="auto"/>
        <w:bottom w:val="none" w:sz="0" w:space="0" w:color="auto"/>
        <w:right w:val="none" w:sz="0" w:space="0" w:color="auto"/>
      </w:divBdr>
      <w:divsChild>
        <w:div w:id="201332971">
          <w:marLeft w:val="0"/>
          <w:marRight w:val="0"/>
          <w:marTop w:val="0"/>
          <w:marBottom w:val="0"/>
          <w:divBdr>
            <w:top w:val="single" w:sz="2" w:space="0" w:color="auto"/>
            <w:left w:val="single" w:sz="2" w:space="0" w:color="auto"/>
            <w:bottom w:val="single" w:sz="2" w:space="0" w:color="auto"/>
            <w:right w:val="single" w:sz="2" w:space="0" w:color="auto"/>
          </w:divBdr>
          <w:divsChild>
            <w:div w:id="2003511049">
              <w:marLeft w:val="0"/>
              <w:marRight w:val="0"/>
              <w:marTop w:val="100"/>
              <w:marBottom w:val="100"/>
              <w:divBdr>
                <w:top w:val="single" w:sz="2" w:space="0" w:color="D9D9E3"/>
                <w:left w:val="single" w:sz="2" w:space="0" w:color="D9D9E3"/>
                <w:bottom w:val="single" w:sz="2" w:space="0" w:color="D9D9E3"/>
                <w:right w:val="single" w:sz="2" w:space="0" w:color="D9D9E3"/>
              </w:divBdr>
              <w:divsChild>
                <w:div w:id="389380288">
                  <w:marLeft w:val="0"/>
                  <w:marRight w:val="0"/>
                  <w:marTop w:val="0"/>
                  <w:marBottom w:val="0"/>
                  <w:divBdr>
                    <w:top w:val="single" w:sz="2" w:space="0" w:color="D9D9E3"/>
                    <w:left w:val="single" w:sz="2" w:space="0" w:color="D9D9E3"/>
                    <w:bottom w:val="single" w:sz="2" w:space="0" w:color="D9D9E3"/>
                    <w:right w:val="single" w:sz="2" w:space="0" w:color="D9D9E3"/>
                  </w:divBdr>
                  <w:divsChild>
                    <w:div w:id="1188065111">
                      <w:marLeft w:val="0"/>
                      <w:marRight w:val="0"/>
                      <w:marTop w:val="0"/>
                      <w:marBottom w:val="0"/>
                      <w:divBdr>
                        <w:top w:val="single" w:sz="2" w:space="0" w:color="D9D9E3"/>
                        <w:left w:val="single" w:sz="2" w:space="0" w:color="D9D9E3"/>
                        <w:bottom w:val="single" w:sz="2" w:space="0" w:color="D9D9E3"/>
                        <w:right w:val="single" w:sz="2" w:space="0" w:color="D9D9E3"/>
                      </w:divBdr>
                      <w:divsChild>
                        <w:div w:id="1226841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6122075">
          <w:marLeft w:val="0"/>
          <w:marRight w:val="0"/>
          <w:marTop w:val="0"/>
          <w:marBottom w:val="0"/>
          <w:divBdr>
            <w:top w:val="single" w:sz="2" w:space="0" w:color="auto"/>
            <w:left w:val="single" w:sz="2" w:space="0" w:color="auto"/>
            <w:bottom w:val="single" w:sz="2" w:space="0" w:color="auto"/>
            <w:right w:val="single" w:sz="2" w:space="0" w:color="auto"/>
          </w:divBdr>
          <w:divsChild>
            <w:div w:id="922761461">
              <w:marLeft w:val="0"/>
              <w:marRight w:val="0"/>
              <w:marTop w:val="100"/>
              <w:marBottom w:val="100"/>
              <w:divBdr>
                <w:top w:val="single" w:sz="2" w:space="0" w:color="D9D9E3"/>
                <w:left w:val="single" w:sz="2" w:space="0" w:color="D9D9E3"/>
                <w:bottom w:val="single" w:sz="2" w:space="0" w:color="D9D9E3"/>
                <w:right w:val="single" w:sz="2" w:space="0" w:color="D9D9E3"/>
              </w:divBdr>
              <w:divsChild>
                <w:div w:id="1599948062">
                  <w:marLeft w:val="0"/>
                  <w:marRight w:val="0"/>
                  <w:marTop w:val="0"/>
                  <w:marBottom w:val="0"/>
                  <w:divBdr>
                    <w:top w:val="single" w:sz="2" w:space="0" w:color="D9D9E3"/>
                    <w:left w:val="single" w:sz="2" w:space="0" w:color="D9D9E3"/>
                    <w:bottom w:val="single" w:sz="2" w:space="0" w:color="D9D9E3"/>
                    <w:right w:val="single" w:sz="2" w:space="0" w:color="D9D9E3"/>
                  </w:divBdr>
                  <w:divsChild>
                    <w:div w:id="1932809568">
                      <w:marLeft w:val="0"/>
                      <w:marRight w:val="0"/>
                      <w:marTop w:val="0"/>
                      <w:marBottom w:val="0"/>
                      <w:divBdr>
                        <w:top w:val="single" w:sz="2" w:space="0" w:color="D9D9E3"/>
                        <w:left w:val="single" w:sz="2" w:space="0" w:color="D9D9E3"/>
                        <w:bottom w:val="single" w:sz="2" w:space="0" w:color="D9D9E3"/>
                        <w:right w:val="single" w:sz="2" w:space="0" w:color="D9D9E3"/>
                      </w:divBdr>
                      <w:divsChild>
                        <w:div w:id="1911694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2101878">
          <w:marLeft w:val="0"/>
          <w:marRight w:val="0"/>
          <w:marTop w:val="0"/>
          <w:marBottom w:val="0"/>
          <w:divBdr>
            <w:top w:val="single" w:sz="2" w:space="0" w:color="auto"/>
            <w:left w:val="single" w:sz="2" w:space="0" w:color="auto"/>
            <w:bottom w:val="single" w:sz="2" w:space="0" w:color="auto"/>
            <w:right w:val="single" w:sz="2" w:space="0" w:color="auto"/>
          </w:divBdr>
          <w:divsChild>
            <w:div w:id="136867837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5928587">
                  <w:marLeft w:val="0"/>
                  <w:marRight w:val="0"/>
                  <w:marTop w:val="0"/>
                  <w:marBottom w:val="0"/>
                  <w:divBdr>
                    <w:top w:val="single" w:sz="2" w:space="0" w:color="D9D9E3"/>
                    <w:left w:val="single" w:sz="2" w:space="0" w:color="D9D9E3"/>
                    <w:bottom w:val="single" w:sz="2" w:space="0" w:color="D9D9E3"/>
                    <w:right w:val="single" w:sz="2" w:space="0" w:color="D9D9E3"/>
                  </w:divBdr>
                  <w:divsChild>
                    <w:div w:id="1480342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8963810">
                  <w:marLeft w:val="0"/>
                  <w:marRight w:val="0"/>
                  <w:marTop w:val="0"/>
                  <w:marBottom w:val="0"/>
                  <w:divBdr>
                    <w:top w:val="single" w:sz="2" w:space="0" w:color="D9D9E3"/>
                    <w:left w:val="single" w:sz="2" w:space="0" w:color="D9D9E3"/>
                    <w:bottom w:val="single" w:sz="2" w:space="0" w:color="D9D9E3"/>
                    <w:right w:val="single" w:sz="2" w:space="0" w:color="D9D9E3"/>
                  </w:divBdr>
                  <w:divsChild>
                    <w:div w:id="515195773">
                      <w:marLeft w:val="0"/>
                      <w:marRight w:val="0"/>
                      <w:marTop w:val="0"/>
                      <w:marBottom w:val="0"/>
                      <w:divBdr>
                        <w:top w:val="single" w:sz="2" w:space="0" w:color="D9D9E3"/>
                        <w:left w:val="single" w:sz="2" w:space="0" w:color="D9D9E3"/>
                        <w:bottom w:val="single" w:sz="2" w:space="0" w:color="D9D9E3"/>
                        <w:right w:val="single" w:sz="2" w:space="0" w:color="D9D9E3"/>
                      </w:divBdr>
                      <w:divsChild>
                        <w:div w:id="494879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89304911">
      <w:bodyDiv w:val="1"/>
      <w:marLeft w:val="0"/>
      <w:marRight w:val="0"/>
      <w:marTop w:val="0"/>
      <w:marBottom w:val="0"/>
      <w:divBdr>
        <w:top w:val="none" w:sz="0" w:space="0" w:color="auto"/>
        <w:left w:val="none" w:sz="0" w:space="0" w:color="auto"/>
        <w:bottom w:val="none" w:sz="0" w:space="0" w:color="auto"/>
        <w:right w:val="none" w:sz="0" w:space="0" w:color="auto"/>
      </w:divBdr>
    </w:div>
    <w:div w:id="1170414142">
      <w:bodyDiv w:val="1"/>
      <w:marLeft w:val="0"/>
      <w:marRight w:val="0"/>
      <w:marTop w:val="0"/>
      <w:marBottom w:val="0"/>
      <w:divBdr>
        <w:top w:val="none" w:sz="0" w:space="0" w:color="auto"/>
        <w:left w:val="none" w:sz="0" w:space="0" w:color="auto"/>
        <w:bottom w:val="none" w:sz="0" w:space="0" w:color="auto"/>
        <w:right w:val="none" w:sz="0" w:space="0" w:color="auto"/>
      </w:divBdr>
    </w:div>
    <w:div w:id="1291979032">
      <w:bodyDiv w:val="1"/>
      <w:marLeft w:val="0"/>
      <w:marRight w:val="0"/>
      <w:marTop w:val="0"/>
      <w:marBottom w:val="0"/>
      <w:divBdr>
        <w:top w:val="none" w:sz="0" w:space="0" w:color="auto"/>
        <w:left w:val="none" w:sz="0" w:space="0" w:color="auto"/>
        <w:bottom w:val="none" w:sz="0" w:space="0" w:color="auto"/>
        <w:right w:val="none" w:sz="0" w:space="0" w:color="auto"/>
      </w:divBdr>
    </w:div>
    <w:div w:id="1446728553">
      <w:bodyDiv w:val="1"/>
      <w:marLeft w:val="0"/>
      <w:marRight w:val="0"/>
      <w:marTop w:val="0"/>
      <w:marBottom w:val="0"/>
      <w:divBdr>
        <w:top w:val="none" w:sz="0" w:space="0" w:color="auto"/>
        <w:left w:val="none" w:sz="0" w:space="0" w:color="auto"/>
        <w:bottom w:val="none" w:sz="0" w:space="0" w:color="auto"/>
        <w:right w:val="none" w:sz="0" w:space="0" w:color="auto"/>
      </w:divBdr>
      <w:divsChild>
        <w:div w:id="71319857">
          <w:marLeft w:val="0"/>
          <w:marRight w:val="0"/>
          <w:marTop w:val="0"/>
          <w:marBottom w:val="0"/>
          <w:divBdr>
            <w:top w:val="none" w:sz="0" w:space="0" w:color="auto"/>
            <w:left w:val="none" w:sz="0" w:space="0" w:color="auto"/>
            <w:bottom w:val="none" w:sz="0" w:space="0" w:color="auto"/>
            <w:right w:val="none" w:sz="0" w:space="0" w:color="auto"/>
          </w:divBdr>
        </w:div>
        <w:div w:id="231045490">
          <w:marLeft w:val="0"/>
          <w:marRight w:val="0"/>
          <w:marTop w:val="0"/>
          <w:marBottom w:val="0"/>
          <w:divBdr>
            <w:top w:val="none" w:sz="0" w:space="0" w:color="auto"/>
            <w:left w:val="none" w:sz="0" w:space="0" w:color="auto"/>
            <w:bottom w:val="none" w:sz="0" w:space="0" w:color="auto"/>
            <w:right w:val="none" w:sz="0" w:space="0" w:color="auto"/>
          </w:divBdr>
        </w:div>
        <w:div w:id="716316787">
          <w:marLeft w:val="0"/>
          <w:marRight w:val="0"/>
          <w:marTop w:val="0"/>
          <w:marBottom w:val="0"/>
          <w:divBdr>
            <w:top w:val="none" w:sz="0" w:space="0" w:color="auto"/>
            <w:left w:val="none" w:sz="0" w:space="0" w:color="auto"/>
            <w:bottom w:val="none" w:sz="0" w:space="0" w:color="auto"/>
            <w:right w:val="none" w:sz="0" w:space="0" w:color="auto"/>
          </w:divBdr>
        </w:div>
        <w:div w:id="996148196">
          <w:marLeft w:val="0"/>
          <w:marRight w:val="0"/>
          <w:marTop w:val="0"/>
          <w:marBottom w:val="0"/>
          <w:divBdr>
            <w:top w:val="none" w:sz="0" w:space="0" w:color="auto"/>
            <w:left w:val="none" w:sz="0" w:space="0" w:color="auto"/>
            <w:bottom w:val="none" w:sz="0" w:space="0" w:color="auto"/>
            <w:right w:val="none" w:sz="0" w:space="0" w:color="auto"/>
          </w:divBdr>
        </w:div>
        <w:div w:id="2143226438">
          <w:marLeft w:val="0"/>
          <w:marRight w:val="0"/>
          <w:marTop w:val="0"/>
          <w:marBottom w:val="0"/>
          <w:divBdr>
            <w:top w:val="none" w:sz="0" w:space="0" w:color="auto"/>
            <w:left w:val="none" w:sz="0" w:space="0" w:color="auto"/>
            <w:bottom w:val="none" w:sz="0" w:space="0" w:color="auto"/>
            <w:right w:val="none" w:sz="0" w:space="0" w:color="auto"/>
          </w:divBdr>
        </w:div>
      </w:divsChild>
    </w:div>
    <w:div w:id="1567494275">
      <w:bodyDiv w:val="1"/>
      <w:marLeft w:val="0"/>
      <w:marRight w:val="0"/>
      <w:marTop w:val="0"/>
      <w:marBottom w:val="0"/>
      <w:divBdr>
        <w:top w:val="none" w:sz="0" w:space="0" w:color="auto"/>
        <w:left w:val="none" w:sz="0" w:space="0" w:color="auto"/>
        <w:bottom w:val="none" w:sz="0" w:space="0" w:color="auto"/>
        <w:right w:val="none" w:sz="0" w:space="0" w:color="auto"/>
      </w:divBdr>
    </w:div>
    <w:div w:id="1576159374">
      <w:bodyDiv w:val="1"/>
      <w:marLeft w:val="0"/>
      <w:marRight w:val="0"/>
      <w:marTop w:val="0"/>
      <w:marBottom w:val="0"/>
      <w:divBdr>
        <w:top w:val="none" w:sz="0" w:space="0" w:color="auto"/>
        <w:left w:val="none" w:sz="0" w:space="0" w:color="auto"/>
        <w:bottom w:val="none" w:sz="0" w:space="0" w:color="auto"/>
        <w:right w:val="none" w:sz="0" w:space="0" w:color="auto"/>
      </w:divBdr>
    </w:div>
    <w:div w:id="1739936227">
      <w:bodyDiv w:val="1"/>
      <w:marLeft w:val="0"/>
      <w:marRight w:val="0"/>
      <w:marTop w:val="0"/>
      <w:marBottom w:val="0"/>
      <w:divBdr>
        <w:top w:val="none" w:sz="0" w:space="0" w:color="auto"/>
        <w:left w:val="none" w:sz="0" w:space="0" w:color="auto"/>
        <w:bottom w:val="none" w:sz="0" w:space="0" w:color="auto"/>
        <w:right w:val="none" w:sz="0" w:space="0" w:color="auto"/>
      </w:divBdr>
    </w:div>
    <w:div w:id="1816600614">
      <w:bodyDiv w:val="1"/>
      <w:marLeft w:val="0"/>
      <w:marRight w:val="0"/>
      <w:marTop w:val="0"/>
      <w:marBottom w:val="0"/>
      <w:divBdr>
        <w:top w:val="none" w:sz="0" w:space="0" w:color="auto"/>
        <w:left w:val="none" w:sz="0" w:space="0" w:color="auto"/>
        <w:bottom w:val="none" w:sz="0" w:space="0" w:color="auto"/>
        <w:right w:val="none" w:sz="0" w:space="0" w:color="auto"/>
      </w:divBdr>
    </w:div>
    <w:div w:id="1824271363">
      <w:bodyDiv w:val="1"/>
      <w:marLeft w:val="0"/>
      <w:marRight w:val="0"/>
      <w:marTop w:val="0"/>
      <w:marBottom w:val="0"/>
      <w:divBdr>
        <w:top w:val="none" w:sz="0" w:space="0" w:color="auto"/>
        <w:left w:val="none" w:sz="0" w:space="0" w:color="auto"/>
        <w:bottom w:val="none" w:sz="0" w:space="0" w:color="auto"/>
        <w:right w:val="none" w:sz="0" w:space="0" w:color="auto"/>
      </w:divBdr>
      <w:divsChild>
        <w:div w:id="330835808">
          <w:marLeft w:val="0"/>
          <w:marRight w:val="0"/>
          <w:marTop w:val="0"/>
          <w:marBottom w:val="0"/>
          <w:divBdr>
            <w:top w:val="none" w:sz="0" w:space="0" w:color="auto"/>
            <w:left w:val="none" w:sz="0" w:space="0" w:color="auto"/>
            <w:bottom w:val="none" w:sz="0" w:space="0" w:color="auto"/>
            <w:right w:val="none" w:sz="0" w:space="0" w:color="auto"/>
          </w:divBdr>
        </w:div>
        <w:div w:id="402333541">
          <w:marLeft w:val="0"/>
          <w:marRight w:val="0"/>
          <w:marTop w:val="0"/>
          <w:marBottom w:val="0"/>
          <w:divBdr>
            <w:top w:val="none" w:sz="0" w:space="0" w:color="auto"/>
            <w:left w:val="none" w:sz="0" w:space="0" w:color="auto"/>
            <w:bottom w:val="none" w:sz="0" w:space="0" w:color="auto"/>
            <w:right w:val="none" w:sz="0" w:space="0" w:color="auto"/>
          </w:divBdr>
        </w:div>
        <w:div w:id="521627408">
          <w:marLeft w:val="0"/>
          <w:marRight w:val="0"/>
          <w:marTop w:val="0"/>
          <w:marBottom w:val="0"/>
          <w:divBdr>
            <w:top w:val="none" w:sz="0" w:space="0" w:color="auto"/>
            <w:left w:val="none" w:sz="0" w:space="0" w:color="auto"/>
            <w:bottom w:val="none" w:sz="0" w:space="0" w:color="auto"/>
            <w:right w:val="none" w:sz="0" w:space="0" w:color="auto"/>
          </w:divBdr>
        </w:div>
        <w:div w:id="676691915">
          <w:marLeft w:val="0"/>
          <w:marRight w:val="0"/>
          <w:marTop w:val="0"/>
          <w:marBottom w:val="0"/>
          <w:divBdr>
            <w:top w:val="none" w:sz="0" w:space="0" w:color="auto"/>
            <w:left w:val="none" w:sz="0" w:space="0" w:color="auto"/>
            <w:bottom w:val="none" w:sz="0" w:space="0" w:color="auto"/>
            <w:right w:val="none" w:sz="0" w:space="0" w:color="auto"/>
          </w:divBdr>
        </w:div>
        <w:div w:id="695427896">
          <w:marLeft w:val="0"/>
          <w:marRight w:val="0"/>
          <w:marTop w:val="0"/>
          <w:marBottom w:val="0"/>
          <w:divBdr>
            <w:top w:val="none" w:sz="0" w:space="0" w:color="auto"/>
            <w:left w:val="none" w:sz="0" w:space="0" w:color="auto"/>
            <w:bottom w:val="none" w:sz="0" w:space="0" w:color="auto"/>
            <w:right w:val="none" w:sz="0" w:space="0" w:color="auto"/>
          </w:divBdr>
        </w:div>
        <w:div w:id="933049672">
          <w:marLeft w:val="0"/>
          <w:marRight w:val="0"/>
          <w:marTop w:val="0"/>
          <w:marBottom w:val="0"/>
          <w:divBdr>
            <w:top w:val="none" w:sz="0" w:space="0" w:color="auto"/>
            <w:left w:val="none" w:sz="0" w:space="0" w:color="auto"/>
            <w:bottom w:val="none" w:sz="0" w:space="0" w:color="auto"/>
            <w:right w:val="none" w:sz="0" w:space="0" w:color="auto"/>
          </w:divBdr>
        </w:div>
        <w:div w:id="1042637151">
          <w:marLeft w:val="0"/>
          <w:marRight w:val="0"/>
          <w:marTop w:val="0"/>
          <w:marBottom w:val="0"/>
          <w:divBdr>
            <w:top w:val="none" w:sz="0" w:space="0" w:color="auto"/>
            <w:left w:val="none" w:sz="0" w:space="0" w:color="auto"/>
            <w:bottom w:val="none" w:sz="0" w:space="0" w:color="auto"/>
            <w:right w:val="none" w:sz="0" w:space="0" w:color="auto"/>
          </w:divBdr>
        </w:div>
        <w:div w:id="1332484508">
          <w:marLeft w:val="0"/>
          <w:marRight w:val="0"/>
          <w:marTop w:val="0"/>
          <w:marBottom w:val="0"/>
          <w:divBdr>
            <w:top w:val="none" w:sz="0" w:space="0" w:color="auto"/>
            <w:left w:val="none" w:sz="0" w:space="0" w:color="auto"/>
            <w:bottom w:val="none" w:sz="0" w:space="0" w:color="auto"/>
            <w:right w:val="none" w:sz="0" w:space="0" w:color="auto"/>
          </w:divBdr>
        </w:div>
        <w:div w:id="1465584996">
          <w:marLeft w:val="0"/>
          <w:marRight w:val="0"/>
          <w:marTop w:val="0"/>
          <w:marBottom w:val="0"/>
          <w:divBdr>
            <w:top w:val="none" w:sz="0" w:space="0" w:color="auto"/>
            <w:left w:val="none" w:sz="0" w:space="0" w:color="auto"/>
            <w:bottom w:val="none" w:sz="0" w:space="0" w:color="auto"/>
            <w:right w:val="none" w:sz="0" w:space="0" w:color="auto"/>
          </w:divBdr>
        </w:div>
        <w:div w:id="1504932718">
          <w:marLeft w:val="0"/>
          <w:marRight w:val="0"/>
          <w:marTop w:val="0"/>
          <w:marBottom w:val="0"/>
          <w:divBdr>
            <w:top w:val="none" w:sz="0" w:space="0" w:color="auto"/>
            <w:left w:val="none" w:sz="0" w:space="0" w:color="auto"/>
            <w:bottom w:val="none" w:sz="0" w:space="0" w:color="auto"/>
            <w:right w:val="none" w:sz="0" w:space="0" w:color="auto"/>
          </w:divBdr>
        </w:div>
        <w:div w:id="1642226614">
          <w:marLeft w:val="0"/>
          <w:marRight w:val="0"/>
          <w:marTop w:val="0"/>
          <w:marBottom w:val="0"/>
          <w:divBdr>
            <w:top w:val="none" w:sz="0" w:space="0" w:color="auto"/>
            <w:left w:val="none" w:sz="0" w:space="0" w:color="auto"/>
            <w:bottom w:val="none" w:sz="0" w:space="0" w:color="auto"/>
            <w:right w:val="none" w:sz="0" w:space="0" w:color="auto"/>
          </w:divBdr>
        </w:div>
        <w:div w:id="1752460108">
          <w:marLeft w:val="0"/>
          <w:marRight w:val="0"/>
          <w:marTop w:val="0"/>
          <w:marBottom w:val="0"/>
          <w:divBdr>
            <w:top w:val="none" w:sz="0" w:space="0" w:color="auto"/>
            <w:left w:val="none" w:sz="0" w:space="0" w:color="auto"/>
            <w:bottom w:val="none" w:sz="0" w:space="0" w:color="auto"/>
            <w:right w:val="none" w:sz="0" w:space="0" w:color="auto"/>
          </w:divBdr>
        </w:div>
        <w:div w:id="1775519607">
          <w:marLeft w:val="0"/>
          <w:marRight w:val="0"/>
          <w:marTop w:val="0"/>
          <w:marBottom w:val="0"/>
          <w:divBdr>
            <w:top w:val="none" w:sz="0" w:space="0" w:color="auto"/>
            <w:left w:val="none" w:sz="0" w:space="0" w:color="auto"/>
            <w:bottom w:val="none" w:sz="0" w:space="0" w:color="auto"/>
            <w:right w:val="none" w:sz="0" w:space="0" w:color="auto"/>
          </w:divBdr>
        </w:div>
        <w:div w:id="1881162715">
          <w:marLeft w:val="0"/>
          <w:marRight w:val="0"/>
          <w:marTop w:val="0"/>
          <w:marBottom w:val="0"/>
          <w:divBdr>
            <w:top w:val="none" w:sz="0" w:space="0" w:color="auto"/>
            <w:left w:val="none" w:sz="0" w:space="0" w:color="auto"/>
            <w:bottom w:val="none" w:sz="0" w:space="0" w:color="auto"/>
            <w:right w:val="none" w:sz="0" w:space="0" w:color="auto"/>
          </w:divBdr>
        </w:div>
        <w:div w:id="1933582218">
          <w:marLeft w:val="0"/>
          <w:marRight w:val="0"/>
          <w:marTop w:val="0"/>
          <w:marBottom w:val="0"/>
          <w:divBdr>
            <w:top w:val="none" w:sz="0" w:space="0" w:color="auto"/>
            <w:left w:val="none" w:sz="0" w:space="0" w:color="auto"/>
            <w:bottom w:val="none" w:sz="0" w:space="0" w:color="auto"/>
            <w:right w:val="none" w:sz="0" w:space="0" w:color="auto"/>
          </w:divBdr>
        </w:div>
        <w:div w:id="1964075765">
          <w:marLeft w:val="0"/>
          <w:marRight w:val="0"/>
          <w:marTop w:val="0"/>
          <w:marBottom w:val="0"/>
          <w:divBdr>
            <w:top w:val="none" w:sz="0" w:space="0" w:color="auto"/>
            <w:left w:val="none" w:sz="0" w:space="0" w:color="auto"/>
            <w:bottom w:val="none" w:sz="0" w:space="0" w:color="auto"/>
            <w:right w:val="none" w:sz="0" w:space="0" w:color="auto"/>
          </w:divBdr>
        </w:div>
        <w:div w:id="1967084783">
          <w:marLeft w:val="0"/>
          <w:marRight w:val="0"/>
          <w:marTop w:val="0"/>
          <w:marBottom w:val="0"/>
          <w:divBdr>
            <w:top w:val="none" w:sz="0" w:space="0" w:color="auto"/>
            <w:left w:val="none" w:sz="0" w:space="0" w:color="auto"/>
            <w:bottom w:val="none" w:sz="0" w:space="0" w:color="auto"/>
            <w:right w:val="none" w:sz="0" w:space="0" w:color="auto"/>
          </w:divBdr>
        </w:div>
        <w:div w:id="2025201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f1e736c5-95ad-4650-bf48-08c723b4bc6c" xsi:nil="true"/>
    <i9f2da93fcc74e869d070fd34a0597c4 xmlns="f1e736c5-95ad-4650-bf48-08c723b4bc6c">
      <Terms xmlns="http://schemas.microsoft.com/office/infopath/2007/PartnerControls"/>
    </i9f2da93fcc74e869d070fd34a0597c4>
    <FavoriteUsers xmlns="f1e736c5-95ad-4650-bf48-08c723b4bc6c">
      <UserInfo>
        <DisplayName/>
        <AccountId xsi:nil="true"/>
        <AccountType/>
      </UserInfo>
    </FavoriteUsers>
    <cc92bdb0fa944447acf309642a11bf0d xmlns="f1e736c5-95ad-4650-bf48-08c723b4bc6c">
      <Terms xmlns="http://schemas.microsoft.com/office/infopath/2007/PartnerControls"/>
    </cc92bdb0fa944447acf309642a11bf0d>
    <KeyEntities xmlns="f1e736c5-95ad-4650-bf48-08c723b4bc6c"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NGOOrgUnitDocument" ma:contentTypeID="0x0101002A2DB23D81B146548380C2D46D076609008F66855BCAE044D0AA257A55333F2A2E0020A00D6D716FCB4685417912453B637B" ma:contentTypeVersion="4" ma:contentTypeDescription="NGO OrgUnit Document content type" ma:contentTypeScope="" ma:versionID="fdea84512fc4b57b1fb24f29e20185e3">
  <xsd:schema xmlns:xsd="http://www.w3.org/2001/XMLSchema" xmlns:xs="http://www.w3.org/2001/XMLSchema" xmlns:p="http://schemas.microsoft.com/office/2006/metadata/properties" xmlns:ns2="f1e736c5-95ad-4650-bf48-08c723b4bc6c" xmlns:ns3="852d24be-7525-48a9-b6e2-fa2994dcc57f" targetNamespace="http://schemas.microsoft.com/office/2006/metadata/properties" ma:root="true" ma:fieldsID="24096c46c0a6bcee75f0cdb5bd11f7e5" ns2:_="" ns3:_="">
    <xsd:import namespace="f1e736c5-95ad-4650-bf48-08c723b4bc6c"/>
    <xsd:import namespace="852d24be-7525-48a9-b6e2-fa2994dcc57f"/>
    <xsd:element name="properties">
      <xsd:complexType>
        <xsd:sequence>
          <xsd:element name="documentManagement">
            <xsd:complexType>
              <xsd:all>
                <xsd:element ref="ns2:FavoriteUsers" minOccurs="0"/>
                <xsd:element ref="ns2:KeyEntities" minOccurs="0"/>
                <xsd:element ref="ns2:i9f2da93fcc74e869d070fd34a0597c4" minOccurs="0"/>
                <xsd:element ref="ns2:TaxCatchAll" minOccurs="0"/>
                <xsd:element ref="ns2:TaxCatchAllLabel" minOccurs="0"/>
                <xsd:element ref="ns2:cc92bdb0fa944447acf309642a11bf0d"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e736c5-95ad-4650-bf48-08c723b4bc6c" elementFormDefault="qualified">
    <xsd:import namespace="http://schemas.microsoft.com/office/2006/documentManagement/types"/>
    <xsd:import namespace="http://schemas.microsoft.com/office/infopath/2007/PartnerControls"/>
    <xsd:element name="FavoriteUsers" ma:index="8" nillable="true" ma:displayName="F" ma:description="Store all users who mark this document as favorite" ma:hidden="true" ma:list="UserInfo" ma:SharePointGroup="0" ma:internalName="FavoriteUse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KeyEntities" ma:index="9" nillable="true" ma:displayName="K" ma:description="Store all entities which this document as a key" ma:hidden="true" ma:internalName="KeyEntities">
      <xsd:simpleType>
        <xsd:restriction base="dms:Note">
          <xsd:maxLength value="255"/>
        </xsd:restriction>
      </xsd:simpleType>
    </xsd:element>
    <xsd:element name="i9f2da93fcc74e869d070fd34a0597c4" ma:index="10" nillable="true" ma:taxonomy="true" ma:internalName="i9f2da93fcc74e869d070fd34a0597c4" ma:taxonomyFieldName="NGOOnlineDocumentType" ma:displayName="Document types" ma:fieldId="{29f2da93-fcc7-4e86-9d07-0fd34a0597c4}" ma:taxonomyMulti="true" ma:sspId="b69ac89d-c854-4607-917b-9d787df66d5f" ma:termSetId="4a5f0f0a-2e06-4077-b3ff-97f33b773d9c" ma:anchorId="00000000-0000-0000-0000-000000000000" ma:open="false" ma:isKeyword="false">
      <xsd:complexType>
        <xsd:sequence>
          <xsd:element ref="pc:Terms" minOccurs="0" maxOccurs="1"/>
        </xsd:sequence>
      </xsd:complexType>
    </xsd:element>
    <xsd:element name="TaxCatchAll" ma:index="11" nillable="true" ma:displayName="Taxonomy Catch All Column" ma:hidden="true" ma:list="{a16f5b94-b7b6-4ef9-b856-190d6f50c055}" ma:internalName="TaxCatchAll" ma:showField="CatchAllData"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a16f5b94-b7b6-4ef9-b856-190d6f50c055}" ma:internalName="TaxCatchAllLabel" ma:readOnly="true" ma:showField="CatchAllDataLabel"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cc92bdb0fa944447acf309642a11bf0d" ma:index="14" nillable="true" ma:taxonomy="true" ma:internalName="cc92bdb0fa944447acf309642a11bf0d" ma:taxonomyFieldName="NGOOnlineKeywords" ma:displayName="Keywords" ma:fieldId="{cc92bdb0-fa94-4447-acf3-09642a11bf0d}" ma:taxonomyMulti="true" ma:sspId="b69ac89d-c854-4607-917b-9d787df66d5f" ma:termSetId="494347e7-d2a8-4234-997a-61e1abca59dc"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2d24be-7525-48a9-b6e2-fa2994dcc57f" elementFormDefault="qualified">
    <xsd:import namespace="http://schemas.microsoft.com/office/2006/documentManagement/types"/>
    <xsd:import namespace="http://schemas.microsoft.com/office/infopath/2007/PartnerControls"/>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DB47DB-BDB2-4E32-969D-47C53F39157F}">
  <ds:schemaRefs>
    <ds:schemaRef ds:uri="http://schemas.microsoft.com/sharepoint/v3/contenttype/forms"/>
  </ds:schemaRefs>
</ds:datastoreItem>
</file>

<file path=customXml/itemProps2.xml><?xml version="1.0" encoding="utf-8"?>
<ds:datastoreItem xmlns:ds="http://schemas.openxmlformats.org/officeDocument/2006/customXml" ds:itemID="{C325C262-12E6-41FF-B1B3-129BE4EAF5B6}">
  <ds:schemaRefs>
    <ds:schemaRef ds:uri="http://schemas.microsoft.com/office/2006/metadata/properties"/>
    <ds:schemaRef ds:uri="http://schemas.microsoft.com/office/infopath/2007/PartnerControls"/>
    <ds:schemaRef ds:uri="118d96c3-5fa1-4bb6-8f55-b0a310b8f5f8"/>
    <ds:schemaRef ds:uri="http://schemas.microsoft.com/sharepoint/v3"/>
    <ds:schemaRef ds:uri="a4bf2503-958f-430a-855f-55e8d597aa65"/>
  </ds:schemaRefs>
</ds:datastoreItem>
</file>

<file path=customXml/itemProps3.xml><?xml version="1.0" encoding="utf-8"?>
<ds:datastoreItem xmlns:ds="http://schemas.openxmlformats.org/officeDocument/2006/customXml" ds:itemID="{2B9A2F89-B398-476D-82E0-D7D547582C9B}">
  <ds:schemaRefs>
    <ds:schemaRef ds:uri="http://schemas.openxmlformats.org/officeDocument/2006/bibliography"/>
  </ds:schemaRefs>
</ds:datastoreItem>
</file>

<file path=customXml/itemProps4.xml><?xml version="1.0" encoding="utf-8"?>
<ds:datastoreItem xmlns:ds="http://schemas.openxmlformats.org/officeDocument/2006/customXml" ds:itemID="{184A538B-2D37-4E7B-B59F-18651B59B931}"/>
</file>

<file path=docProps/app.xml><?xml version="1.0" encoding="utf-8"?>
<Properties xmlns="http://schemas.openxmlformats.org/officeDocument/2006/extended-properties" xmlns:vt="http://schemas.openxmlformats.org/officeDocument/2006/docPropsVTypes">
  <Template>Normal</Template>
  <TotalTime>0</TotalTime>
  <Pages>31</Pages>
  <Words>11135</Words>
  <Characters>70155</Characters>
  <Application>Microsoft Office Word</Application>
  <DocSecurity>0</DocSecurity>
  <Lines>584</Lines>
  <Paragraphs>162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Stelzner, Andrea (F12)</dc:creator>
  <cp:keywords/>
  <dc:description/>
  <cp:lastModifiedBy>Looser-Konczalla, Deborah</cp:lastModifiedBy>
  <cp:revision>15</cp:revision>
  <cp:lastPrinted>2021-12-17T08:32:00Z</cp:lastPrinted>
  <dcterms:created xsi:type="dcterms:W3CDTF">2025-03-14T12:45:00Z</dcterms:created>
  <dcterms:modified xsi:type="dcterms:W3CDTF">2025-03-14T13:09:00Z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0x0101002A2DB23D81B146548380C2D46D076609008F66855BCAE044D0AA257A55333F2A2E0020A00D6D716FCB4685417912453B637B</vt:lpwstr>
  </property>
  <property fmtid="{D5CDD505-2E9C-101B-9397-08002B2CF9AE}" pid="3" name="MediaServiceImageTags">
    <vt:lpwstr/>
  </property>
  <property fmtid="{D5CDD505-2E9C-101B-9397-08002B2CF9AE}" pid="4" name="NGOOnlineKeywords">
    <vt:lpwstr/>
  </property>
  <property fmtid="{D5CDD505-2E9C-101B-9397-08002B2CF9AE}" pid="5" name="NGOOnlineDocumentType">
    <vt:lpwstr/>
  </property>
  <property fmtid="{D5CDD505-2E9C-101B-9397-08002B2CF9AE}" pid="6" name="p75d8c1866154d169f9787e2f8ad3758">
    <vt:lpwstr/>
  </property>
  <property fmtid="{D5CDD505-2E9C-101B-9397-08002B2CF9AE}" pid="7" name="NGOOnlinePriorityGroup">
    <vt:lpwstr/>
  </property>
  <property fmtid="{D5CDD505-2E9C-101B-9397-08002B2CF9AE}" pid="8" name="Order">
    <vt:r8>6700</vt:r8>
  </property>
  <property fmtid="{D5CDD505-2E9C-101B-9397-08002B2CF9AE}" pid="9" name="URL">
    <vt:lpwstr/>
  </property>
  <property fmtid="{D5CDD505-2E9C-101B-9397-08002B2CF9AE}" pid="10" name="NGOOnlineDocumentOwner">
    <vt:lpwstr/>
  </property>
  <property fmtid="{D5CDD505-2E9C-101B-9397-08002B2CF9AE}" pid="11" name="xd_Signature">
    <vt:bool>false</vt:bool>
  </property>
  <property fmtid="{D5CDD505-2E9C-101B-9397-08002B2CF9AE}" pid="12" name="xd_ProgID">
    <vt:lpwstr/>
  </property>
  <property fmtid="{D5CDD505-2E9C-101B-9397-08002B2CF9AE}" pid="14" name="_SourceUrl">
    <vt:lpwstr/>
  </property>
  <property fmtid="{D5CDD505-2E9C-101B-9397-08002B2CF9AE}" pid="15" name="_SharedFileIndex">
    <vt:lpwstr/>
  </property>
  <property fmtid="{D5CDD505-2E9C-101B-9397-08002B2CF9AE}" pid="16" name="ComplianceAssetId">
    <vt:lpwstr/>
  </property>
  <property fmtid="{D5CDD505-2E9C-101B-9397-08002B2CF9AE}" pid="17" name="TemplateUrl">
    <vt:lpwstr/>
  </property>
  <property fmtid="{D5CDD505-2E9C-101B-9397-08002B2CF9AE}" pid="19" name="_ExtendedDescription">
    <vt:lpwstr/>
  </property>
  <property fmtid="{D5CDD505-2E9C-101B-9397-08002B2CF9AE}" pid="21" name="TriggerFlowInfo">
    <vt:lpwstr/>
  </property>
</Properties>
</file>