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9CDED" w14:textId="2BA20B64" w:rsidR="002406C7" w:rsidRDefault="00312F74" w:rsidP="00B1751A">
      <w:pPr>
        <w:spacing w:after="240"/>
      </w:pPr>
      <w:r w:rsidRPr="00312F74">
        <w:t xml:space="preserve">This tool is for use in visits to partners and projects and should be </w:t>
      </w:r>
      <w:r w:rsidR="002406C7">
        <w:t xml:space="preserve">completed </w:t>
      </w:r>
      <w:r w:rsidRPr="00312F74">
        <w:t xml:space="preserve">by the regional CBID advisor. The aim of this document is an assessment of the implementation of </w:t>
      </w:r>
      <w:proofErr w:type="spellStart"/>
      <w:r w:rsidRPr="00312F74">
        <w:t>programme</w:t>
      </w:r>
      <w:proofErr w:type="spellEnd"/>
      <w:r w:rsidRPr="00312F74">
        <w:t xml:space="preserve"> quality standards.</w:t>
      </w:r>
      <w:r w:rsidR="00CC7702">
        <w:t xml:space="preserve"> The expectation is that inclusive project cycle management applies to </w:t>
      </w:r>
      <w:proofErr w:type="gramStart"/>
      <w:r w:rsidR="00CC7702">
        <w:t>all of</w:t>
      </w:r>
      <w:proofErr w:type="gramEnd"/>
      <w:r w:rsidR="00CC7702">
        <w:t xml:space="preserve"> CBM’s work. The </w:t>
      </w:r>
      <w:r w:rsidR="00B47703">
        <w:t xml:space="preserve">CBID program quality assessment tool below </w:t>
      </w:r>
      <w:r w:rsidR="0044207B">
        <w:t xml:space="preserve">builds on IPCM and </w:t>
      </w:r>
      <w:r w:rsidR="00B47703">
        <w:t xml:space="preserve">applies to CBID </w:t>
      </w:r>
      <w:proofErr w:type="spellStart"/>
      <w:r w:rsidR="00B47703">
        <w:t>programmes</w:t>
      </w:r>
      <w:proofErr w:type="spellEnd"/>
      <w:r w:rsidR="00B47703">
        <w:t xml:space="preserve">. Specialist technical areas will have </w:t>
      </w:r>
      <w:r w:rsidR="00F86C05">
        <w:t>their own criteria for assessing program quality which builds on both IPCM and the</w:t>
      </w:r>
      <w:r w:rsidR="005E189D">
        <w:t>se</w:t>
      </w:r>
      <w:r w:rsidR="00F86C05">
        <w:t xml:space="preserve"> CBID </w:t>
      </w:r>
      <w:proofErr w:type="spellStart"/>
      <w:r w:rsidR="00F86C05">
        <w:t>progra</w:t>
      </w:r>
      <w:r w:rsidR="000D5ABB">
        <w:t>mme</w:t>
      </w:r>
      <w:proofErr w:type="spellEnd"/>
      <w:r w:rsidR="000D5ABB">
        <w:t xml:space="preserve"> quality standards</w:t>
      </w:r>
      <w:r w:rsidR="000C1435">
        <w:t xml:space="preserve"> while focusing on </w:t>
      </w:r>
      <w:r w:rsidR="00A60F6C">
        <w:t xml:space="preserve">the </w:t>
      </w:r>
      <w:r w:rsidR="000C1435">
        <w:t>programmatic</w:t>
      </w:r>
      <w:r w:rsidR="00A60F6C">
        <w:t>/</w:t>
      </w:r>
      <w:r w:rsidR="000C1435">
        <w:t>technical quality of the specific area</w:t>
      </w:r>
      <w:r w:rsidR="000D5ABB">
        <w:t xml:space="preserve">. </w:t>
      </w:r>
    </w:p>
    <w:tbl>
      <w:tblPr>
        <w:tblStyle w:val="TableGrid"/>
        <w:tblW w:w="13524" w:type="dxa"/>
        <w:tblLook w:val="04A0" w:firstRow="1" w:lastRow="0" w:firstColumn="1" w:lastColumn="0" w:noHBand="0" w:noVBand="1"/>
      </w:tblPr>
      <w:tblGrid>
        <w:gridCol w:w="6667"/>
        <w:gridCol w:w="6857"/>
      </w:tblGrid>
      <w:tr w:rsidR="00387DC7" w14:paraId="5AE0B196" w14:textId="77777777" w:rsidTr="006C11B3">
        <w:trPr>
          <w:trHeight w:val="355"/>
        </w:trPr>
        <w:tc>
          <w:tcPr>
            <w:tcW w:w="6667" w:type="dxa"/>
          </w:tcPr>
          <w:p w14:paraId="5FE4C3AB" w14:textId="66E3B935" w:rsidR="00387DC7" w:rsidRPr="00387DC7" w:rsidRDefault="00387DC7" w:rsidP="00B1751A">
            <w:pPr>
              <w:spacing w:after="240" w:line="276" w:lineRule="auto"/>
              <w:rPr>
                <w:b/>
                <w:bCs/>
              </w:rPr>
            </w:pPr>
            <w:r w:rsidRPr="00387DC7">
              <w:rPr>
                <w:b/>
                <w:bCs/>
              </w:rPr>
              <w:t>Project Number:</w:t>
            </w:r>
          </w:p>
        </w:tc>
        <w:tc>
          <w:tcPr>
            <w:tcW w:w="6857" w:type="dxa"/>
          </w:tcPr>
          <w:p w14:paraId="663358C0" w14:textId="20DF8275" w:rsidR="00387DC7" w:rsidRPr="00387DC7" w:rsidRDefault="00387DC7" w:rsidP="00B1751A">
            <w:pPr>
              <w:spacing w:after="240" w:line="276" w:lineRule="auto"/>
              <w:rPr>
                <w:b/>
                <w:bCs/>
              </w:rPr>
            </w:pPr>
            <w:r w:rsidRPr="00387DC7">
              <w:rPr>
                <w:b/>
                <w:bCs/>
              </w:rPr>
              <w:t>Project Country:</w:t>
            </w:r>
          </w:p>
        </w:tc>
      </w:tr>
      <w:tr w:rsidR="00387DC7" w14:paraId="10E3DFEA" w14:textId="77777777" w:rsidTr="006C11B3">
        <w:trPr>
          <w:trHeight w:val="378"/>
        </w:trPr>
        <w:tc>
          <w:tcPr>
            <w:tcW w:w="6667" w:type="dxa"/>
          </w:tcPr>
          <w:p w14:paraId="7909C0A6" w14:textId="6F47ABF0" w:rsidR="00387DC7" w:rsidRPr="00387DC7" w:rsidRDefault="00387DC7" w:rsidP="00B1751A">
            <w:pPr>
              <w:spacing w:line="360" w:lineRule="auto"/>
              <w:rPr>
                <w:b/>
                <w:bCs/>
              </w:rPr>
            </w:pPr>
            <w:r w:rsidRPr="00387DC7">
              <w:rPr>
                <w:b/>
                <w:bCs/>
              </w:rPr>
              <w:t>Project Title:</w:t>
            </w:r>
          </w:p>
        </w:tc>
        <w:tc>
          <w:tcPr>
            <w:tcW w:w="6857" w:type="dxa"/>
          </w:tcPr>
          <w:p w14:paraId="0630957F" w14:textId="399C7B13" w:rsidR="00387DC7" w:rsidRPr="00387DC7" w:rsidRDefault="00387DC7" w:rsidP="00B1751A">
            <w:pPr>
              <w:spacing w:line="360" w:lineRule="auto"/>
              <w:rPr>
                <w:b/>
                <w:bCs/>
              </w:rPr>
            </w:pPr>
            <w:r w:rsidRPr="00387DC7">
              <w:rPr>
                <w:b/>
                <w:bCs/>
              </w:rPr>
              <w:t xml:space="preserve">Date of visit: </w:t>
            </w:r>
          </w:p>
        </w:tc>
      </w:tr>
      <w:tr w:rsidR="00387DC7" w14:paraId="717FFB96" w14:textId="77777777" w:rsidTr="006C11B3">
        <w:trPr>
          <w:trHeight w:val="366"/>
        </w:trPr>
        <w:tc>
          <w:tcPr>
            <w:tcW w:w="6667" w:type="dxa"/>
          </w:tcPr>
          <w:p w14:paraId="1111BF05" w14:textId="79F084FB" w:rsidR="00387DC7" w:rsidRPr="00387DC7" w:rsidRDefault="00387DC7" w:rsidP="00B1751A">
            <w:pPr>
              <w:spacing w:line="360" w:lineRule="auto"/>
              <w:rPr>
                <w:b/>
                <w:bCs/>
              </w:rPr>
            </w:pPr>
            <w:r w:rsidRPr="00387DC7">
              <w:rPr>
                <w:b/>
                <w:bCs/>
              </w:rPr>
              <w:t xml:space="preserve">Partner </w:t>
            </w:r>
            <w:proofErr w:type="spellStart"/>
            <w:r w:rsidRPr="00387DC7">
              <w:rPr>
                <w:b/>
                <w:bCs/>
              </w:rPr>
              <w:t>Organisation</w:t>
            </w:r>
            <w:proofErr w:type="spellEnd"/>
            <w:r w:rsidR="00977CBC">
              <w:rPr>
                <w:b/>
                <w:bCs/>
              </w:rPr>
              <w:t>:</w:t>
            </w:r>
          </w:p>
        </w:tc>
        <w:tc>
          <w:tcPr>
            <w:tcW w:w="6857" w:type="dxa"/>
          </w:tcPr>
          <w:p w14:paraId="70D9E054" w14:textId="432A6710" w:rsidR="00387DC7" w:rsidRPr="00387DC7" w:rsidRDefault="00387DC7" w:rsidP="00B1751A">
            <w:pPr>
              <w:spacing w:line="360" w:lineRule="auto"/>
              <w:rPr>
                <w:b/>
                <w:bCs/>
              </w:rPr>
            </w:pPr>
            <w:r w:rsidRPr="00387DC7">
              <w:rPr>
                <w:b/>
                <w:bCs/>
              </w:rPr>
              <w:t>Name of Advisor:</w:t>
            </w:r>
          </w:p>
        </w:tc>
      </w:tr>
    </w:tbl>
    <w:p w14:paraId="4F412124" w14:textId="77777777" w:rsidR="00FD6521" w:rsidRDefault="00FD6521" w:rsidP="00387DC7">
      <w:pPr>
        <w:spacing w:line="276" w:lineRule="auto"/>
      </w:pPr>
    </w:p>
    <w:p w14:paraId="629D0BA9" w14:textId="6631614D" w:rsidR="002406C7" w:rsidRDefault="002406C7" w:rsidP="00387DC7">
      <w:pPr>
        <w:pStyle w:val="Heading3"/>
      </w:pPr>
      <w:r w:rsidRPr="00387DC7">
        <w:rPr>
          <w:rStyle w:val="Heading3Char"/>
          <w:b/>
          <w:lang w:val="en-US"/>
        </w:rPr>
        <w:t>Part 1</w:t>
      </w:r>
      <w:r w:rsidRPr="00387DC7">
        <w:t xml:space="preserve">: </w:t>
      </w:r>
      <w:r w:rsidR="008E71AB">
        <w:t>Each pr</w:t>
      </w:r>
      <w:r w:rsidR="009E7F86">
        <w:t>iority (column one) has four descriptors (column 2)</w:t>
      </w:r>
      <w:r w:rsidR="00645D78">
        <w:t xml:space="preserve">. </w:t>
      </w:r>
      <w:r w:rsidRPr="00387DC7">
        <w:t xml:space="preserve">Select </w:t>
      </w:r>
      <w:r w:rsidR="00645D78">
        <w:t xml:space="preserve">the statement from column 2 which best describes </w:t>
      </w:r>
      <w:r w:rsidR="00AB785F">
        <w:t xml:space="preserve">your observation of the CBID program and </w:t>
      </w:r>
      <w:r w:rsidR="00774985">
        <w:t xml:space="preserve">put an ‘x’ in the response </w:t>
      </w:r>
      <w:r w:rsidR="008C3256">
        <w:t xml:space="preserve">column (column 3) next to your selected </w:t>
      </w:r>
      <w:r w:rsidR="00C67F31">
        <w:t xml:space="preserve">statement. </w:t>
      </w:r>
      <w:r w:rsidRPr="00387DC7">
        <w:t xml:space="preserve"> </w:t>
      </w:r>
    </w:p>
    <w:p w14:paraId="371EB7D9" w14:textId="77777777" w:rsidR="00B1751A" w:rsidRPr="00B1751A" w:rsidRDefault="00B1751A" w:rsidP="00B1751A"/>
    <w:tbl>
      <w:tblPr>
        <w:tblStyle w:val="TableGrid"/>
        <w:tblW w:w="13565" w:type="dxa"/>
        <w:tblLook w:val="04A0" w:firstRow="1" w:lastRow="0" w:firstColumn="1" w:lastColumn="0" w:noHBand="0" w:noVBand="1"/>
      </w:tblPr>
      <w:tblGrid>
        <w:gridCol w:w="3048"/>
        <w:gridCol w:w="9244"/>
        <w:gridCol w:w="1273"/>
      </w:tblGrid>
      <w:tr w:rsidR="0088025E" w:rsidRPr="00FD6521" w14:paraId="708653F1" w14:textId="77777777" w:rsidTr="006C11B3">
        <w:trPr>
          <w:trHeight w:val="300"/>
          <w:tblHeader/>
        </w:trPr>
        <w:tc>
          <w:tcPr>
            <w:tcW w:w="3048" w:type="dxa"/>
          </w:tcPr>
          <w:p w14:paraId="723A5EBB" w14:textId="73F73FB4" w:rsidR="0088025E" w:rsidRPr="00FD6521" w:rsidRDefault="0088025E" w:rsidP="002406C7">
            <w:pPr>
              <w:rPr>
                <w:b/>
                <w:bCs/>
                <w:szCs w:val="24"/>
              </w:rPr>
            </w:pPr>
            <w:r w:rsidRPr="00FD6521">
              <w:rPr>
                <w:b/>
                <w:bCs/>
                <w:szCs w:val="24"/>
              </w:rPr>
              <w:t>Priorities</w:t>
            </w:r>
          </w:p>
        </w:tc>
        <w:tc>
          <w:tcPr>
            <w:tcW w:w="9244" w:type="dxa"/>
          </w:tcPr>
          <w:p w14:paraId="44512E62" w14:textId="1B5FBD0A" w:rsidR="0088025E" w:rsidRPr="00FD6521" w:rsidRDefault="0088025E" w:rsidP="002406C7">
            <w:pPr>
              <w:rPr>
                <w:b/>
                <w:bCs/>
                <w:szCs w:val="24"/>
              </w:rPr>
            </w:pPr>
            <w:r w:rsidRPr="00FD6521">
              <w:rPr>
                <w:b/>
                <w:bCs/>
                <w:szCs w:val="24"/>
              </w:rPr>
              <w:t>Description</w:t>
            </w:r>
          </w:p>
        </w:tc>
        <w:tc>
          <w:tcPr>
            <w:tcW w:w="1273" w:type="dxa"/>
          </w:tcPr>
          <w:p w14:paraId="796D4894" w14:textId="5177EB85" w:rsidR="0088025E" w:rsidRPr="00FD6521" w:rsidRDefault="0088025E" w:rsidP="002406C7">
            <w:pPr>
              <w:rPr>
                <w:b/>
                <w:bCs/>
                <w:szCs w:val="24"/>
              </w:rPr>
            </w:pPr>
            <w:r w:rsidRPr="00FD6521">
              <w:rPr>
                <w:b/>
                <w:bCs/>
                <w:szCs w:val="24"/>
              </w:rPr>
              <w:t>Response</w:t>
            </w:r>
          </w:p>
        </w:tc>
      </w:tr>
      <w:tr w:rsidR="0088025E" w:rsidRPr="00FD6521" w14:paraId="66355737" w14:textId="77777777" w:rsidTr="006C11B3">
        <w:trPr>
          <w:trHeight w:val="175"/>
        </w:trPr>
        <w:tc>
          <w:tcPr>
            <w:tcW w:w="3048" w:type="dxa"/>
            <w:vMerge w:val="restart"/>
          </w:tcPr>
          <w:p w14:paraId="0BAAD2FB" w14:textId="76F1FDCF" w:rsidR="0088025E" w:rsidRPr="00FD6521" w:rsidRDefault="0088025E" w:rsidP="0088025E">
            <w:pPr>
              <w:pStyle w:val="Numbering"/>
            </w:pPr>
            <w:r w:rsidRPr="00FD6521">
              <w:t>Inclusive Communities:</w:t>
            </w:r>
          </w:p>
          <w:p w14:paraId="3760F99F" w14:textId="336C9D0F" w:rsidR="0088025E" w:rsidRPr="00FD6521" w:rsidRDefault="0088025E" w:rsidP="0088025E">
            <w:r w:rsidRPr="00FD6521">
              <w:t>Communities are inclusive of all people with disabilities</w:t>
            </w:r>
          </w:p>
        </w:tc>
        <w:tc>
          <w:tcPr>
            <w:tcW w:w="9244" w:type="dxa"/>
          </w:tcPr>
          <w:p w14:paraId="1E5513EB" w14:textId="769D92CD" w:rsidR="0088025E" w:rsidRPr="00FD6521" w:rsidRDefault="0088025E" w:rsidP="002406C7">
            <w:pPr>
              <w:rPr>
                <w:szCs w:val="24"/>
              </w:rPr>
            </w:pPr>
            <w:r w:rsidRPr="00FD6521">
              <w:rPr>
                <w:szCs w:val="24"/>
              </w:rPr>
              <w:t xml:space="preserve">Engagement with </w:t>
            </w:r>
            <w:r w:rsidR="00DB31C8">
              <w:rPr>
                <w:szCs w:val="24"/>
              </w:rPr>
              <w:t xml:space="preserve">the </w:t>
            </w:r>
            <w:r w:rsidRPr="00FD6521">
              <w:rPr>
                <w:szCs w:val="24"/>
              </w:rPr>
              <w:t>community limited to awareness</w:t>
            </w:r>
            <w:r w:rsidR="00DB31C8">
              <w:rPr>
                <w:szCs w:val="24"/>
              </w:rPr>
              <w:t>-</w:t>
            </w:r>
            <w:r w:rsidRPr="00FD6521">
              <w:rPr>
                <w:szCs w:val="24"/>
              </w:rPr>
              <w:t>raising activities and/or focus on people with disabilities limited to narrow rehabilitation parameters</w:t>
            </w:r>
          </w:p>
        </w:tc>
        <w:tc>
          <w:tcPr>
            <w:tcW w:w="1273" w:type="dxa"/>
          </w:tcPr>
          <w:p w14:paraId="40E9D8F7" w14:textId="77777777" w:rsidR="0088025E" w:rsidRPr="00FD6521" w:rsidRDefault="0088025E" w:rsidP="002406C7">
            <w:pPr>
              <w:rPr>
                <w:szCs w:val="24"/>
              </w:rPr>
            </w:pPr>
          </w:p>
        </w:tc>
      </w:tr>
      <w:tr w:rsidR="0088025E" w:rsidRPr="00FD6521" w14:paraId="45F63330" w14:textId="77777777" w:rsidTr="006C11B3">
        <w:trPr>
          <w:trHeight w:val="172"/>
        </w:trPr>
        <w:tc>
          <w:tcPr>
            <w:tcW w:w="3048" w:type="dxa"/>
            <w:vMerge/>
          </w:tcPr>
          <w:p w14:paraId="2850F111" w14:textId="77777777" w:rsidR="0088025E" w:rsidRPr="00FD6521" w:rsidRDefault="0088025E" w:rsidP="002406C7">
            <w:pPr>
              <w:rPr>
                <w:b/>
                <w:bCs/>
                <w:szCs w:val="24"/>
              </w:rPr>
            </w:pPr>
          </w:p>
        </w:tc>
        <w:tc>
          <w:tcPr>
            <w:tcW w:w="9244" w:type="dxa"/>
          </w:tcPr>
          <w:p w14:paraId="443CD4BE" w14:textId="2352AE79" w:rsidR="0088025E" w:rsidRPr="00FD6521" w:rsidRDefault="0088025E" w:rsidP="002406C7">
            <w:pPr>
              <w:rPr>
                <w:szCs w:val="24"/>
              </w:rPr>
            </w:pPr>
            <w:proofErr w:type="gramStart"/>
            <w:r w:rsidRPr="00FD6521">
              <w:rPr>
                <w:szCs w:val="24"/>
              </w:rPr>
              <w:t>Implements</w:t>
            </w:r>
            <w:proofErr w:type="gramEnd"/>
            <w:r w:rsidRPr="00FD6521">
              <w:rPr>
                <w:szCs w:val="24"/>
              </w:rPr>
              <w:t xml:space="preserve"> methods to strengthen </w:t>
            </w:r>
            <w:r w:rsidR="00FC2A76">
              <w:rPr>
                <w:szCs w:val="24"/>
              </w:rPr>
              <w:t xml:space="preserve">the </w:t>
            </w:r>
            <w:r w:rsidRPr="00FD6521">
              <w:rPr>
                <w:szCs w:val="24"/>
              </w:rPr>
              <w:t>participation of people with disabilities but focuses exclusively on either people with disabilities themselves or a narrowly defined set of community stakeholders</w:t>
            </w:r>
          </w:p>
        </w:tc>
        <w:tc>
          <w:tcPr>
            <w:tcW w:w="1273" w:type="dxa"/>
          </w:tcPr>
          <w:p w14:paraId="6CBA665F" w14:textId="77777777" w:rsidR="0088025E" w:rsidRPr="00FD6521" w:rsidRDefault="0088025E" w:rsidP="002406C7">
            <w:pPr>
              <w:rPr>
                <w:szCs w:val="24"/>
              </w:rPr>
            </w:pPr>
          </w:p>
        </w:tc>
      </w:tr>
      <w:tr w:rsidR="0088025E" w:rsidRPr="00FD6521" w14:paraId="79D24B2A" w14:textId="77777777" w:rsidTr="006C11B3">
        <w:trPr>
          <w:trHeight w:val="172"/>
        </w:trPr>
        <w:tc>
          <w:tcPr>
            <w:tcW w:w="3048" w:type="dxa"/>
            <w:vMerge/>
          </w:tcPr>
          <w:p w14:paraId="288C4FC3" w14:textId="77777777" w:rsidR="0088025E" w:rsidRPr="00FD6521" w:rsidRDefault="0088025E" w:rsidP="002406C7">
            <w:pPr>
              <w:rPr>
                <w:b/>
                <w:bCs/>
                <w:szCs w:val="24"/>
              </w:rPr>
            </w:pPr>
          </w:p>
        </w:tc>
        <w:tc>
          <w:tcPr>
            <w:tcW w:w="9244" w:type="dxa"/>
          </w:tcPr>
          <w:p w14:paraId="29DCB366" w14:textId="07D7FE18" w:rsidR="0088025E" w:rsidRPr="00FD6521" w:rsidRDefault="0088025E" w:rsidP="002406C7">
            <w:pPr>
              <w:rPr>
                <w:szCs w:val="24"/>
              </w:rPr>
            </w:pPr>
            <w:r w:rsidRPr="00FD6521">
              <w:rPr>
                <w:szCs w:val="24"/>
              </w:rPr>
              <w:t>Evidence of a twin</w:t>
            </w:r>
            <w:r w:rsidR="00DB31C8">
              <w:rPr>
                <w:szCs w:val="24"/>
              </w:rPr>
              <w:t>-</w:t>
            </w:r>
            <w:r w:rsidRPr="00FD6521">
              <w:rPr>
                <w:szCs w:val="24"/>
              </w:rPr>
              <w:t>track community approach but with weak articulation and lacking measurability</w:t>
            </w:r>
          </w:p>
        </w:tc>
        <w:tc>
          <w:tcPr>
            <w:tcW w:w="1273" w:type="dxa"/>
          </w:tcPr>
          <w:p w14:paraId="12DB1571" w14:textId="77777777" w:rsidR="0088025E" w:rsidRPr="00FD6521" w:rsidRDefault="0088025E" w:rsidP="002406C7">
            <w:pPr>
              <w:rPr>
                <w:szCs w:val="24"/>
              </w:rPr>
            </w:pPr>
          </w:p>
        </w:tc>
      </w:tr>
      <w:tr w:rsidR="0088025E" w:rsidRPr="00FD6521" w14:paraId="141C4572" w14:textId="77777777" w:rsidTr="006C11B3">
        <w:trPr>
          <w:trHeight w:val="172"/>
        </w:trPr>
        <w:tc>
          <w:tcPr>
            <w:tcW w:w="3048" w:type="dxa"/>
            <w:vMerge/>
          </w:tcPr>
          <w:p w14:paraId="2C8D6DB8" w14:textId="77777777" w:rsidR="0088025E" w:rsidRPr="00FD6521" w:rsidRDefault="0088025E" w:rsidP="002406C7">
            <w:pPr>
              <w:rPr>
                <w:b/>
                <w:bCs/>
                <w:szCs w:val="24"/>
              </w:rPr>
            </w:pPr>
          </w:p>
        </w:tc>
        <w:tc>
          <w:tcPr>
            <w:tcW w:w="9244" w:type="dxa"/>
          </w:tcPr>
          <w:p w14:paraId="48B6F9EB" w14:textId="5A06EA31" w:rsidR="0088025E" w:rsidRPr="00FD6521" w:rsidRDefault="0088025E" w:rsidP="002406C7">
            <w:pPr>
              <w:rPr>
                <w:szCs w:val="24"/>
              </w:rPr>
            </w:pPr>
            <w:r w:rsidRPr="00FD6521">
              <w:rPr>
                <w:szCs w:val="24"/>
              </w:rPr>
              <w:t xml:space="preserve">A </w:t>
            </w:r>
            <w:r w:rsidR="00A61C28">
              <w:rPr>
                <w:szCs w:val="24"/>
              </w:rPr>
              <w:t>twin-track</w:t>
            </w:r>
            <w:r w:rsidRPr="00FD6521">
              <w:rPr>
                <w:szCs w:val="24"/>
              </w:rPr>
              <w:t xml:space="preserve"> approach is clearly articulated and measurable involving both </w:t>
            </w:r>
            <w:r w:rsidR="00A61C28">
              <w:rPr>
                <w:szCs w:val="24"/>
              </w:rPr>
              <w:t>support</w:t>
            </w:r>
            <w:r w:rsidRPr="00FD6521">
              <w:rPr>
                <w:szCs w:val="24"/>
              </w:rPr>
              <w:t xml:space="preserve"> to people with disabilities aimed at improving participation and a multi-stakeholder community mechanism aimed at reducing barriers and using local resources</w:t>
            </w:r>
          </w:p>
        </w:tc>
        <w:tc>
          <w:tcPr>
            <w:tcW w:w="1273" w:type="dxa"/>
          </w:tcPr>
          <w:p w14:paraId="2E9E908D" w14:textId="77777777" w:rsidR="0088025E" w:rsidRPr="00FD6521" w:rsidRDefault="0088025E" w:rsidP="002406C7">
            <w:pPr>
              <w:rPr>
                <w:szCs w:val="24"/>
              </w:rPr>
            </w:pPr>
          </w:p>
        </w:tc>
      </w:tr>
      <w:tr w:rsidR="0088025E" w:rsidRPr="00FD6521" w14:paraId="1B99251D" w14:textId="77777777" w:rsidTr="006C11B3">
        <w:trPr>
          <w:trHeight w:val="231"/>
        </w:trPr>
        <w:tc>
          <w:tcPr>
            <w:tcW w:w="3048" w:type="dxa"/>
            <w:vMerge w:val="restart"/>
          </w:tcPr>
          <w:p w14:paraId="23F37D7B" w14:textId="13E5E8A9" w:rsidR="0088025E" w:rsidRPr="0088025E" w:rsidRDefault="0088025E" w:rsidP="0088025E">
            <w:pPr>
              <w:pStyle w:val="Numbering"/>
            </w:pPr>
            <w:r w:rsidRPr="0088025E">
              <w:t xml:space="preserve">Inclusive Systems: </w:t>
            </w:r>
          </w:p>
          <w:p w14:paraId="21DCA01A" w14:textId="4F219C8B" w:rsidR="0088025E" w:rsidRPr="00FD6521" w:rsidRDefault="0088025E" w:rsidP="002406C7">
            <w:pPr>
              <w:rPr>
                <w:b/>
                <w:bCs/>
                <w:szCs w:val="24"/>
              </w:rPr>
            </w:pPr>
            <w:r w:rsidRPr="0088025E">
              <w:t xml:space="preserve">Services and support systems are inclusive and </w:t>
            </w:r>
            <w:proofErr w:type="gramStart"/>
            <w:r w:rsidRPr="0088025E">
              <w:lastRenderedPageBreak/>
              <w:t>functioning</w:t>
            </w:r>
            <w:proofErr w:type="gramEnd"/>
            <w:r w:rsidRPr="0088025E">
              <w:t xml:space="preserve"> effectively in the community</w:t>
            </w:r>
            <w:r w:rsidRPr="00FD6521">
              <w:rPr>
                <w:b/>
                <w:bCs/>
                <w:szCs w:val="24"/>
              </w:rPr>
              <w:t>.</w:t>
            </w:r>
          </w:p>
        </w:tc>
        <w:tc>
          <w:tcPr>
            <w:tcW w:w="9244" w:type="dxa"/>
          </w:tcPr>
          <w:p w14:paraId="27F6DBEA" w14:textId="51D8465F" w:rsidR="0088025E" w:rsidRPr="00FD6521" w:rsidRDefault="0088025E" w:rsidP="002406C7">
            <w:pPr>
              <w:rPr>
                <w:szCs w:val="24"/>
              </w:rPr>
            </w:pPr>
            <w:r w:rsidRPr="00FD6521">
              <w:rPr>
                <w:szCs w:val="24"/>
              </w:rPr>
              <w:lastRenderedPageBreak/>
              <w:t>Engagement is limited to raising awareness about right to services in either the disability community or local service delivery structures</w:t>
            </w:r>
          </w:p>
        </w:tc>
        <w:tc>
          <w:tcPr>
            <w:tcW w:w="1273" w:type="dxa"/>
          </w:tcPr>
          <w:p w14:paraId="445F6B03" w14:textId="77777777" w:rsidR="0088025E" w:rsidRPr="00FD6521" w:rsidRDefault="0088025E" w:rsidP="002406C7">
            <w:pPr>
              <w:rPr>
                <w:szCs w:val="24"/>
              </w:rPr>
            </w:pPr>
          </w:p>
        </w:tc>
      </w:tr>
      <w:tr w:rsidR="0088025E" w:rsidRPr="00FD6521" w14:paraId="748A5E9C" w14:textId="77777777" w:rsidTr="006C11B3">
        <w:trPr>
          <w:trHeight w:val="231"/>
        </w:trPr>
        <w:tc>
          <w:tcPr>
            <w:tcW w:w="3048" w:type="dxa"/>
            <w:vMerge/>
          </w:tcPr>
          <w:p w14:paraId="2E3EF4D8" w14:textId="77777777" w:rsidR="0088025E" w:rsidRPr="00FD6521" w:rsidRDefault="0088025E" w:rsidP="002406C7">
            <w:pPr>
              <w:rPr>
                <w:szCs w:val="24"/>
              </w:rPr>
            </w:pPr>
          </w:p>
        </w:tc>
        <w:tc>
          <w:tcPr>
            <w:tcW w:w="9244" w:type="dxa"/>
          </w:tcPr>
          <w:p w14:paraId="4043CB60" w14:textId="2CBEDEC2" w:rsidR="0088025E" w:rsidRPr="00FD6521" w:rsidRDefault="0088025E" w:rsidP="002406C7">
            <w:pPr>
              <w:rPr>
                <w:szCs w:val="24"/>
              </w:rPr>
            </w:pPr>
            <w:r w:rsidRPr="00FD6521">
              <w:rPr>
                <w:szCs w:val="24"/>
              </w:rPr>
              <w:t xml:space="preserve">Methods to ensure </w:t>
            </w:r>
            <w:r w:rsidR="00B910B1">
              <w:rPr>
                <w:szCs w:val="24"/>
              </w:rPr>
              <w:t xml:space="preserve">the </w:t>
            </w:r>
            <w:r w:rsidRPr="00FD6521">
              <w:rPr>
                <w:szCs w:val="24"/>
              </w:rPr>
              <w:t xml:space="preserve">involvement of people with disabilities in local systems/local service </w:t>
            </w:r>
            <w:proofErr w:type="gramStart"/>
            <w:r w:rsidRPr="00FD6521">
              <w:rPr>
                <w:szCs w:val="24"/>
              </w:rPr>
              <w:t>is</w:t>
            </w:r>
            <w:proofErr w:type="gramEnd"/>
            <w:r w:rsidRPr="00FD6521">
              <w:rPr>
                <w:szCs w:val="24"/>
              </w:rPr>
              <w:t xml:space="preserve"> limited to planning consultation</w:t>
            </w:r>
          </w:p>
        </w:tc>
        <w:tc>
          <w:tcPr>
            <w:tcW w:w="1273" w:type="dxa"/>
          </w:tcPr>
          <w:p w14:paraId="03DDF19A" w14:textId="77777777" w:rsidR="0088025E" w:rsidRPr="00FD6521" w:rsidRDefault="0088025E" w:rsidP="002406C7">
            <w:pPr>
              <w:rPr>
                <w:szCs w:val="24"/>
              </w:rPr>
            </w:pPr>
          </w:p>
        </w:tc>
      </w:tr>
      <w:tr w:rsidR="0088025E" w:rsidRPr="00FD6521" w14:paraId="10060290" w14:textId="77777777" w:rsidTr="006C11B3">
        <w:trPr>
          <w:trHeight w:val="231"/>
        </w:trPr>
        <w:tc>
          <w:tcPr>
            <w:tcW w:w="3048" w:type="dxa"/>
            <w:vMerge/>
          </w:tcPr>
          <w:p w14:paraId="24C0D2F4" w14:textId="77777777" w:rsidR="0088025E" w:rsidRPr="00FD6521" w:rsidRDefault="0088025E" w:rsidP="002406C7">
            <w:pPr>
              <w:rPr>
                <w:szCs w:val="24"/>
              </w:rPr>
            </w:pPr>
          </w:p>
        </w:tc>
        <w:tc>
          <w:tcPr>
            <w:tcW w:w="9244" w:type="dxa"/>
          </w:tcPr>
          <w:p w14:paraId="14699D1B" w14:textId="4E83D8FF" w:rsidR="0088025E" w:rsidRPr="00FD6521" w:rsidRDefault="0088025E" w:rsidP="002406C7">
            <w:pPr>
              <w:rPr>
                <w:szCs w:val="24"/>
              </w:rPr>
            </w:pPr>
            <w:r w:rsidRPr="00FD6521">
              <w:rPr>
                <w:szCs w:val="24"/>
              </w:rPr>
              <w:t>Evidence of a twin</w:t>
            </w:r>
            <w:r w:rsidR="006C5ADE">
              <w:rPr>
                <w:szCs w:val="24"/>
              </w:rPr>
              <w:t>-</w:t>
            </w:r>
            <w:r w:rsidRPr="00FD6521">
              <w:rPr>
                <w:szCs w:val="24"/>
              </w:rPr>
              <w:t xml:space="preserve">track approach but with </w:t>
            </w:r>
            <w:r w:rsidR="006C5ADE">
              <w:rPr>
                <w:szCs w:val="24"/>
              </w:rPr>
              <w:t xml:space="preserve">a </w:t>
            </w:r>
            <w:r w:rsidRPr="00FD6521">
              <w:rPr>
                <w:szCs w:val="24"/>
              </w:rPr>
              <w:t xml:space="preserve">weak articulation of how participation is sustained and how </w:t>
            </w:r>
            <w:proofErr w:type="gramStart"/>
            <w:r w:rsidRPr="00FD6521">
              <w:rPr>
                <w:szCs w:val="24"/>
              </w:rPr>
              <w:t>the availability</w:t>
            </w:r>
            <w:proofErr w:type="gramEnd"/>
            <w:r w:rsidRPr="00FD6521">
              <w:rPr>
                <w:szCs w:val="24"/>
              </w:rPr>
              <w:t>, affordability, accessibility, acceptability</w:t>
            </w:r>
            <w:r w:rsidR="006C5ADE">
              <w:rPr>
                <w:szCs w:val="24"/>
              </w:rPr>
              <w:t>,</w:t>
            </w:r>
            <w:r w:rsidRPr="00FD6521">
              <w:rPr>
                <w:szCs w:val="24"/>
              </w:rPr>
              <w:t xml:space="preserve"> and quality of services is improved</w:t>
            </w:r>
          </w:p>
        </w:tc>
        <w:tc>
          <w:tcPr>
            <w:tcW w:w="1273" w:type="dxa"/>
          </w:tcPr>
          <w:p w14:paraId="32BCCCB5" w14:textId="77777777" w:rsidR="0088025E" w:rsidRPr="00FD6521" w:rsidRDefault="0088025E" w:rsidP="002406C7">
            <w:pPr>
              <w:rPr>
                <w:szCs w:val="24"/>
              </w:rPr>
            </w:pPr>
          </w:p>
        </w:tc>
      </w:tr>
      <w:tr w:rsidR="0088025E" w:rsidRPr="00FD6521" w14:paraId="1AB3307D" w14:textId="77777777" w:rsidTr="006C11B3">
        <w:trPr>
          <w:trHeight w:val="231"/>
        </w:trPr>
        <w:tc>
          <w:tcPr>
            <w:tcW w:w="3048" w:type="dxa"/>
            <w:vMerge/>
          </w:tcPr>
          <w:p w14:paraId="1317A8FE" w14:textId="77777777" w:rsidR="0088025E" w:rsidRPr="00FD6521" w:rsidRDefault="0088025E" w:rsidP="002406C7">
            <w:pPr>
              <w:rPr>
                <w:szCs w:val="24"/>
              </w:rPr>
            </w:pPr>
          </w:p>
        </w:tc>
        <w:tc>
          <w:tcPr>
            <w:tcW w:w="9244" w:type="dxa"/>
          </w:tcPr>
          <w:p w14:paraId="0DBAD412" w14:textId="39B86BD0" w:rsidR="0088025E" w:rsidRPr="00FD6521" w:rsidRDefault="0088025E" w:rsidP="002406C7">
            <w:pPr>
              <w:rPr>
                <w:szCs w:val="24"/>
              </w:rPr>
            </w:pPr>
            <w:r w:rsidRPr="00FD6521">
              <w:rPr>
                <w:szCs w:val="24"/>
              </w:rPr>
              <w:t>A twin</w:t>
            </w:r>
            <w:r w:rsidR="006C5ADE">
              <w:rPr>
                <w:szCs w:val="24"/>
              </w:rPr>
              <w:t>-</w:t>
            </w:r>
            <w:r w:rsidRPr="00FD6521">
              <w:rPr>
                <w:szCs w:val="24"/>
              </w:rPr>
              <w:t xml:space="preserve">track approach is articulated and measurable with the involvement of people with disabilities in development policy planning and implementation and interventions aimed at improving the availability, affordability, accessibility, acceptability and quality </w:t>
            </w:r>
            <w:r w:rsidR="00EF5B87" w:rsidRPr="00FD6521">
              <w:rPr>
                <w:szCs w:val="24"/>
              </w:rPr>
              <w:t>of services</w:t>
            </w:r>
            <w:r w:rsidRPr="00FD6521">
              <w:rPr>
                <w:szCs w:val="24"/>
              </w:rPr>
              <w:t>.</w:t>
            </w:r>
          </w:p>
        </w:tc>
        <w:tc>
          <w:tcPr>
            <w:tcW w:w="1273" w:type="dxa"/>
          </w:tcPr>
          <w:p w14:paraId="53666811" w14:textId="77777777" w:rsidR="0088025E" w:rsidRPr="00FD6521" w:rsidRDefault="0088025E" w:rsidP="002406C7">
            <w:pPr>
              <w:rPr>
                <w:szCs w:val="24"/>
              </w:rPr>
            </w:pPr>
          </w:p>
        </w:tc>
      </w:tr>
      <w:tr w:rsidR="0088025E" w:rsidRPr="00FD6521" w14:paraId="73D69FDA" w14:textId="77777777" w:rsidTr="006C11B3">
        <w:trPr>
          <w:trHeight w:val="175"/>
        </w:trPr>
        <w:tc>
          <w:tcPr>
            <w:tcW w:w="3048" w:type="dxa"/>
            <w:vMerge w:val="restart"/>
          </w:tcPr>
          <w:p w14:paraId="49EE23F3" w14:textId="6C1AD05E" w:rsidR="0088025E" w:rsidRPr="00FD6521" w:rsidRDefault="0088025E" w:rsidP="0088025E">
            <w:pPr>
              <w:pStyle w:val="Numbering"/>
              <w:rPr>
                <w:bCs/>
                <w:szCs w:val="24"/>
              </w:rPr>
            </w:pPr>
            <w:r w:rsidRPr="0088025E">
              <w:t>Disaster</w:t>
            </w:r>
            <w:r w:rsidR="004A6A89">
              <w:t>-</w:t>
            </w:r>
            <w:r w:rsidRPr="0088025E">
              <w:t>Prepared Communities</w:t>
            </w:r>
            <w:r w:rsidRPr="00FD6521">
              <w:rPr>
                <w:bCs/>
                <w:szCs w:val="24"/>
              </w:rPr>
              <w:t xml:space="preserve">: </w:t>
            </w:r>
          </w:p>
          <w:p w14:paraId="50111CB1" w14:textId="4FE5F6D8" w:rsidR="0088025E" w:rsidRPr="00FD6521" w:rsidRDefault="0088025E" w:rsidP="006632F0">
            <w:pPr>
              <w:rPr>
                <w:b/>
                <w:bCs/>
                <w:szCs w:val="24"/>
              </w:rPr>
            </w:pPr>
            <w:r w:rsidRPr="0088025E">
              <w:t>Communities are resilient and disaster prepared</w:t>
            </w:r>
            <w:r w:rsidRPr="00FD6521">
              <w:rPr>
                <w:b/>
                <w:bCs/>
                <w:szCs w:val="24"/>
              </w:rPr>
              <w:t>.</w:t>
            </w:r>
          </w:p>
        </w:tc>
        <w:tc>
          <w:tcPr>
            <w:tcW w:w="9244" w:type="dxa"/>
          </w:tcPr>
          <w:p w14:paraId="3B8684CC" w14:textId="7567B797" w:rsidR="0088025E" w:rsidRPr="00FD6521" w:rsidRDefault="0088025E" w:rsidP="002406C7">
            <w:pPr>
              <w:rPr>
                <w:szCs w:val="24"/>
              </w:rPr>
            </w:pPr>
            <w:r w:rsidRPr="00FD6521">
              <w:rPr>
                <w:szCs w:val="24"/>
              </w:rPr>
              <w:t>No mention of community resilience or disaster preparedness</w:t>
            </w:r>
          </w:p>
        </w:tc>
        <w:tc>
          <w:tcPr>
            <w:tcW w:w="1273" w:type="dxa"/>
          </w:tcPr>
          <w:p w14:paraId="32A15F6D" w14:textId="77777777" w:rsidR="0088025E" w:rsidRPr="00FD6521" w:rsidRDefault="0088025E" w:rsidP="002406C7">
            <w:pPr>
              <w:rPr>
                <w:szCs w:val="24"/>
              </w:rPr>
            </w:pPr>
          </w:p>
        </w:tc>
      </w:tr>
      <w:tr w:rsidR="0088025E" w:rsidRPr="00FD6521" w14:paraId="0B745C8B" w14:textId="77777777" w:rsidTr="006C11B3">
        <w:trPr>
          <w:trHeight w:val="172"/>
        </w:trPr>
        <w:tc>
          <w:tcPr>
            <w:tcW w:w="3048" w:type="dxa"/>
            <w:vMerge/>
          </w:tcPr>
          <w:p w14:paraId="50957647" w14:textId="77777777" w:rsidR="0088025E" w:rsidRPr="00FD6521" w:rsidRDefault="0088025E" w:rsidP="006632F0">
            <w:pPr>
              <w:rPr>
                <w:b/>
                <w:bCs/>
                <w:szCs w:val="24"/>
              </w:rPr>
            </w:pPr>
          </w:p>
        </w:tc>
        <w:tc>
          <w:tcPr>
            <w:tcW w:w="9244" w:type="dxa"/>
          </w:tcPr>
          <w:p w14:paraId="10E7617B" w14:textId="7042DB88" w:rsidR="0088025E" w:rsidRPr="00FD6521" w:rsidRDefault="0088025E" w:rsidP="002406C7">
            <w:pPr>
              <w:rPr>
                <w:szCs w:val="24"/>
              </w:rPr>
            </w:pPr>
            <w:proofErr w:type="gramStart"/>
            <w:r w:rsidRPr="00FD6521">
              <w:rPr>
                <w:szCs w:val="24"/>
              </w:rPr>
              <w:t>Mention of DIDRR</w:t>
            </w:r>
            <w:proofErr w:type="gramEnd"/>
            <w:r w:rsidRPr="00FD6521">
              <w:rPr>
                <w:szCs w:val="24"/>
              </w:rPr>
              <w:t xml:space="preserve"> in planning documents with no articulation of programmatic pathways contributing to resilient and disaster-prepared communities</w:t>
            </w:r>
          </w:p>
        </w:tc>
        <w:tc>
          <w:tcPr>
            <w:tcW w:w="1273" w:type="dxa"/>
          </w:tcPr>
          <w:p w14:paraId="17935D70" w14:textId="77777777" w:rsidR="0088025E" w:rsidRPr="00FD6521" w:rsidRDefault="0088025E" w:rsidP="002406C7">
            <w:pPr>
              <w:rPr>
                <w:szCs w:val="24"/>
              </w:rPr>
            </w:pPr>
          </w:p>
        </w:tc>
      </w:tr>
      <w:tr w:rsidR="0088025E" w:rsidRPr="00FD6521" w14:paraId="43F85FB2" w14:textId="77777777" w:rsidTr="006C11B3">
        <w:trPr>
          <w:trHeight w:val="172"/>
        </w:trPr>
        <w:tc>
          <w:tcPr>
            <w:tcW w:w="3048" w:type="dxa"/>
            <w:vMerge/>
          </w:tcPr>
          <w:p w14:paraId="7D55EABC" w14:textId="77777777" w:rsidR="0088025E" w:rsidRPr="00FD6521" w:rsidRDefault="0088025E" w:rsidP="006632F0">
            <w:pPr>
              <w:rPr>
                <w:b/>
                <w:bCs/>
                <w:szCs w:val="24"/>
              </w:rPr>
            </w:pPr>
          </w:p>
        </w:tc>
        <w:tc>
          <w:tcPr>
            <w:tcW w:w="9244" w:type="dxa"/>
          </w:tcPr>
          <w:p w14:paraId="641B24AF" w14:textId="320C30F4" w:rsidR="0088025E" w:rsidRPr="00FD6521" w:rsidRDefault="0088025E" w:rsidP="002406C7">
            <w:pPr>
              <w:rPr>
                <w:szCs w:val="24"/>
              </w:rPr>
            </w:pPr>
            <w:r w:rsidRPr="00FD6521">
              <w:rPr>
                <w:szCs w:val="24"/>
              </w:rPr>
              <w:t xml:space="preserve">Evidence of an understanding of the DIDRR framework in planning but </w:t>
            </w:r>
            <w:r w:rsidR="000F2A88">
              <w:rPr>
                <w:szCs w:val="24"/>
              </w:rPr>
              <w:t xml:space="preserve">the </w:t>
            </w:r>
            <w:r w:rsidRPr="00FD6521">
              <w:rPr>
                <w:szCs w:val="24"/>
              </w:rPr>
              <w:t>weak articulation of practical implementation of disaster risk reduction and climate change adaptation priorities</w:t>
            </w:r>
          </w:p>
        </w:tc>
        <w:tc>
          <w:tcPr>
            <w:tcW w:w="1273" w:type="dxa"/>
          </w:tcPr>
          <w:p w14:paraId="005B271E" w14:textId="77777777" w:rsidR="0088025E" w:rsidRPr="00FD6521" w:rsidRDefault="0088025E" w:rsidP="002406C7">
            <w:pPr>
              <w:rPr>
                <w:szCs w:val="24"/>
              </w:rPr>
            </w:pPr>
          </w:p>
        </w:tc>
      </w:tr>
      <w:tr w:rsidR="0088025E" w:rsidRPr="00FD6521" w14:paraId="43BE07C8" w14:textId="77777777" w:rsidTr="006C11B3">
        <w:trPr>
          <w:trHeight w:val="172"/>
        </w:trPr>
        <w:tc>
          <w:tcPr>
            <w:tcW w:w="3048" w:type="dxa"/>
            <w:vMerge/>
          </w:tcPr>
          <w:p w14:paraId="75EC9E3E" w14:textId="77777777" w:rsidR="0088025E" w:rsidRPr="00FD6521" w:rsidRDefault="0088025E" w:rsidP="006632F0">
            <w:pPr>
              <w:rPr>
                <w:b/>
                <w:bCs/>
                <w:szCs w:val="24"/>
              </w:rPr>
            </w:pPr>
          </w:p>
        </w:tc>
        <w:tc>
          <w:tcPr>
            <w:tcW w:w="9244" w:type="dxa"/>
          </w:tcPr>
          <w:p w14:paraId="117FABEF" w14:textId="0227E2C2" w:rsidR="0088025E" w:rsidRPr="00FD6521" w:rsidRDefault="0088025E" w:rsidP="002406C7">
            <w:pPr>
              <w:rPr>
                <w:szCs w:val="24"/>
              </w:rPr>
            </w:pPr>
            <w:r w:rsidRPr="00FD6521">
              <w:rPr>
                <w:szCs w:val="24"/>
              </w:rPr>
              <w:t xml:space="preserve">Articulated and measurable programmatic pathways and adaptability evidence a: the integration of Sendai Framework for Disaster Risk Reduction priorities in </w:t>
            </w:r>
            <w:r w:rsidR="00293D03">
              <w:rPr>
                <w:szCs w:val="24"/>
              </w:rPr>
              <w:t xml:space="preserve">the </w:t>
            </w:r>
            <w:r w:rsidRPr="00FD6521">
              <w:rPr>
                <w:szCs w:val="24"/>
              </w:rPr>
              <w:t>disaster management cycle and b: the integration of DIDRR and climate change adaptation in program activities</w:t>
            </w:r>
          </w:p>
        </w:tc>
        <w:tc>
          <w:tcPr>
            <w:tcW w:w="1273" w:type="dxa"/>
          </w:tcPr>
          <w:p w14:paraId="69F3A997" w14:textId="77777777" w:rsidR="0088025E" w:rsidRPr="00FD6521" w:rsidRDefault="0088025E" w:rsidP="002406C7">
            <w:pPr>
              <w:rPr>
                <w:szCs w:val="24"/>
              </w:rPr>
            </w:pPr>
          </w:p>
        </w:tc>
      </w:tr>
      <w:tr w:rsidR="0088025E" w:rsidRPr="00FD6521" w14:paraId="61D13660" w14:textId="77777777" w:rsidTr="006C11B3">
        <w:trPr>
          <w:trHeight w:val="175"/>
        </w:trPr>
        <w:tc>
          <w:tcPr>
            <w:tcW w:w="3048" w:type="dxa"/>
            <w:vMerge w:val="restart"/>
          </w:tcPr>
          <w:p w14:paraId="2C0F7029" w14:textId="608858DC" w:rsidR="0088025E" w:rsidRPr="00FD6521" w:rsidRDefault="0088025E" w:rsidP="0088025E">
            <w:pPr>
              <w:pStyle w:val="Numbering"/>
            </w:pPr>
            <w:r w:rsidRPr="00FD6521">
              <w:t xml:space="preserve">Thought Leadership and Influence: </w:t>
            </w:r>
          </w:p>
          <w:p w14:paraId="487CC214" w14:textId="3CBDF8DA" w:rsidR="0088025E" w:rsidRPr="00FD6521" w:rsidRDefault="0088025E" w:rsidP="006632F0">
            <w:pPr>
              <w:rPr>
                <w:b/>
                <w:bCs/>
                <w:szCs w:val="24"/>
              </w:rPr>
            </w:pPr>
            <w:r w:rsidRPr="0088025E">
              <w:t xml:space="preserve">CBM is established as </w:t>
            </w:r>
            <w:r w:rsidR="001F19DF">
              <w:t xml:space="preserve">a </w:t>
            </w:r>
            <w:r w:rsidRPr="0088025E">
              <w:t>global thought leader in CBID.</w:t>
            </w:r>
          </w:p>
        </w:tc>
        <w:tc>
          <w:tcPr>
            <w:tcW w:w="9244" w:type="dxa"/>
          </w:tcPr>
          <w:p w14:paraId="752E453D" w14:textId="26DB8F50" w:rsidR="0088025E" w:rsidRPr="00FD6521" w:rsidRDefault="0088025E" w:rsidP="002406C7">
            <w:pPr>
              <w:rPr>
                <w:szCs w:val="24"/>
              </w:rPr>
            </w:pPr>
            <w:r w:rsidRPr="00FD6521">
              <w:rPr>
                <w:szCs w:val="24"/>
              </w:rPr>
              <w:t xml:space="preserve">No involvement in relevant local/national networks with </w:t>
            </w:r>
            <w:r w:rsidR="00293D03">
              <w:rPr>
                <w:szCs w:val="24"/>
              </w:rPr>
              <w:t xml:space="preserve">the </w:t>
            </w:r>
            <w:r w:rsidRPr="00FD6521">
              <w:rPr>
                <w:szCs w:val="24"/>
              </w:rPr>
              <w:t xml:space="preserve">aim </w:t>
            </w:r>
            <w:proofErr w:type="gramStart"/>
            <w:r w:rsidRPr="00FD6521">
              <w:rPr>
                <w:szCs w:val="24"/>
              </w:rPr>
              <w:t>to influence</w:t>
            </w:r>
            <w:proofErr w:type="gramEnd"/>
            <w:r w:rsidRPr="00FD6521">
              <w:rPr>
                <w:szCs w:val="24"/>
              </w:rPr>
              <w:t xml:space="preserve"> CBID policy and practice</w:t>
            </w:r>
          </w:p>
        </w:tc>
        <w:tc>
          <w:tcPr>
            <w:tcW w:w="1273" w:type="dxa"/>
          </w:tcPr>
          <w:p w14:paraId="0B233C69" w14:textId="77777777" w:rsidR="0088025E" w:rsidRPr="00FD6521" w:rsidRDefault="0088025E" w:rsidP="002406C7">
            <w:pPr>
              <w:rPr>
                <w:szCs w:val="24"/>
              </w:rPr>
            </w:pPr>
          </w:p>
        </w:tc>
      </w:tr>
      <w:tr w:rsidR="0088025E" w:rsidRPr="00FD6521" w14:paraId="7DD91B18" w14:textId="77777777" w:rsidTr="006C11B3">
        <w:trPr>
          <w:trHeight w:val="172"/>
        </w:trPr>
        <w:tc>
          <w:tcPr>
            <w:tcW w:w="3048" w:type="dxa"/>
            <w:vMerge/>
          </w:tcPr>
          <w:p w14:paraId="4587DB37" w14:textId="77777777" w:rsidR="0088025E" w:rsidRPr="00FD6521" w:rsidRDefault="0088025E" w:rsidP="006632F0">
            <w:pPr>
              <w:rPr>
                <w:b/>
                <w:bCs/>
                <w:szCs w:val="24"/>
              </w:rPr>
            </w:pPr>
          </w:p>
        </w:tc>
        <w:tc>
          <w:tcPr>
            <w:tcW w:w="9244" w:type="dxa"/>
          </w:tcPr>
          <w:p w14:paraId="07F19DAF" w14:textId="48CD8BAB" w:rsidR="0088025E" w:rsidRPr="00FD6521" w:rsidRDefault="0088025E" w:rsidP="002406C7">
            <w:pPr>
              <w:rPr>
                <w:szCs w:val="24"/>
              </w:rPr>
            </w:pPr>
            <w:r w:rsidRPr="00FD6521">
              <w:rPr>
                <w:szCs w:val="24"/>
              </w:rPr>
              <w:t>Evidence of involvement in relevant local/national networks to influence CBID policy and practice but no evidence of a project learning component to support this involvement</w:t>
            </w:r>
          </w:p>
        </w:tc>
        <w:tc>
          <w:tcPr>
            <w:tcW w:w="1273" w:type="dxa"/>
          </w:tcPr>
          <w:p w14:paraId="5B3AE7BD" w14:textId="77777777" w:rsidR="0088025E" w:rsidRPr="00FD6521" w:rsidRDefault="0088025E" w:rsidP="002406C7">
            <w:pPr>
              <w:rPr>
                <w:szCs w:val="24"/>
              </w:rPr>
            </w:pPr>
          </w:p>
        </w:tc>
      </w:tr>
      <w:tr w:rsidR="0088025E" w:rsidRPr="00FD6521" w14:paraId="5F5DE26B" w14:textId="77777777" w:rsidTr="006C11B3">
        <w:trPr>
          <w:trHeight w:val="172"/>
        </w:trPr>
        <w:tc>
          <w:tcPr>
            <w:tcW w:w="3048" w:type="dxa"/>
            <w:vMerge/>
          </w:tcPr>
          <w:p w14:paraId="21555B47" w14:textId="77777777" w:rsidR="0088025E" w:rsidRPr="00FD6521" w:rsidRDefault="0088025E" w:rsidP="006632F0">
            <w:pPr>
              <w:rPr>
                <w:b/>
                <w:bCs/>
                <w:szCs w:val="24"/>
              </w:rPr>
            </w:pPr>
          </w:p>
        </w:tc>
        <w:tc>
          <w:tcPr>
            <w:tcW w:w="9244" w:type="dxa"/>
          </w:tcPr>
          <w:p w14:paraId="629B7A93" w14:textId="748F1553" w:rsidR="0088025E" w:rsidRPr="00FD6521" w:rsidRDefault="0088025E" w:rsidP="002406C7">
            <w:pPr>
              <w:rPr>
                <w:szCs w:val="24"/>
              </w:rPr>
            </w:pPr>
            <w:r w:rsidRPr="00FD6521">
              <w:rPr>
                <w:szCs w:val="24"/>
              </w:rPr>
              <w:t>Evidence of a learning component and articulation of methods in which learning informs and influences relevant local/national networks</w:t>
            </w:r>
          </w:p>
        </w:tc>
        <w:tc>
          <w:tcPr>
            <w:tcW w:w="1273" w:type="dxa"/>
          </w:tcPr>
          <w:p w14:paraId="01BA33B2" w14:textId="77777777" w:rsidR="0088025E" w:rsidRPr="00FD6521" w:rsidRDefault="0088025E" w:rsidP="002406C7">
            <w:pPr>
              <w:rPr>
                <w:szCs w:val="24"/>
              </w:rPr>
            </w:pPr>
          </w:p>
        </w:tc>
      </w:tr>
      <w:tr w:rsidR="0088025E" w:rsidRPr="00FD6521" w14:paraId="7EDB188C" w14:textId="77777777" w:rsidTr="006C11B3">
        <w:trPr>
          <w:trHeight w:val="172"/>
        </w:trPr>
        <w:tc>
          <w:tcPr>
            <w:tcW w:w="3048" w:type="dxa"/>
            <w:vMerge/>
          </w:tcPr>
          <w:p w14:paraId="0EBCA409" w14:textId="77777777" w:rsidR="0088025E" w:rsidRPr="00FD6521" w:rsidRDefault="0088025E" w:rsidP="006632F0">
            <w:pPr>
              <w:rPr>
                <w:b/>
                <w:bCs/>
                <w:szCs w:val="24"/>
              </w:rPr>
            </w:pPr>
          </w:p>
        </w:tc>
        <w:tc>
          <w:tcPr>
            <w:tcW w:w="9244" w:type="dxa"/>
          </w:tcPr>
          <w:p w14:paraId="75ED9AD3" w14:textId="31B7AE4F" w:rsidR="0088025E" w:rsidRPr="00FD6521" w:rsidRDefault="0088025E" w:rsidP="002406C7">
            <w:pPr>
              <w:rPr>
                <w:szCs w:val="24"/>
              </w:rPr>
            </w:pPr>
            <w:r w:rsidRPr="00FD6521">
              <w:rPr>
                <w:szCs w:val="24"/>
              </w:rPr>
              <w:t>Clear articulation of applying and contributing to the evidence base for CBID and measurable involvement in relevant networks</w:t>
            </w:r>
          </w:p>
        </w:tc>
        <w:tc>
          <w:tcPr>
            <w:tcW w:w="1273" w:type="dxa"/>
          </w:tcPr>
          <w:p w14:paraId="37597B47" w14:textId="77777777" w:rsidR="0088025E" w:rsidRPr="00FD6521" w:rsidRDefault="0088025E" w:rsidP="002406C7">
            <w:pPr>
              <w:rPr>
                <w:szCs w:val="24"/>
              </w:rPr>
            </w:pPr>
          </w:p>
        </w:tc>
      </w:tr>
      <w:tr w:rsidR="0088025E" w:rsidRPr="00FD6521" w14:paraId="2CF49FC1" w14:textId="77777777" w:rsidTr="006C11B3">
        <w:trPr>
          <w:trHeight w:val="288"/>
        </w:trPr>
        <w:tc>
          <w:tcPr>
            <w:tcW w:w="3048" w:type="dxa"/>
            <w:vMerge w:val="restart"/>
          </w:tcPr>
          <w:p w14:paraId="115D3B3B" w14:textId="3B8CEE79" w:rsidR="0088025E" w:rsidRPr="00FD6521" w:rsidRDefault="0088025E" w:rsidP="0088025E">
            <w:pPr>
              <w:pStyle w:val="Numbering"/>
            </w:pPr>
            <w:r w:rsidRPr="00FD6521">
              <w:t>Replicability and scalability:</w:t>
            </w:r>
          </w:p>
          <w:p w14:paraId="0B80CB5F" w14:textId="3107EB97" w:rsidR="0088025E" w:rsidRPr="00FD6521" w:rsidRDefault="0088025E" w:rsidP="0088025E">
            <w:r w:rsidRPr="00FD6521">
              <w:lastRenderedPageBreak/>
              <w:t>Projects are replicable to other catchment areas (new project implemented elsewhere) or can be scaled up (same project with expanded geographic or technical areas)</w:t>
            </w:r>
          </w:p>
        </w:tc>
        <w:tc>
          <w:tcPr>
            <w:tcW w:w="9244" w:type="dxa"/>
          </w:tcPr>
          <w:p w14:paraId="6706AF83" w14:textId="1134FFD7" w:rsidR="0088025E" w:rsidRPr="00FD6521" w:rsidRDefault="0088025E" w:rsidP="002406C7">
            <w:pPr>
              <w:rPr>
                <w:szCs w:val="24"/>
              </w:rPr>
            </w:pPr>
            <w:r w:rsidRPr="00FD6521">
              <w:rPr>
                <w:szCs w:val="24"/>
              </w:rPr>
              <w:lastRenderedPageBreak/>
              <w:t>No articulation of replicability or scalability of project</w:t>
            </w:r>
          </w:p>
        </w:tc>
        <w:tc>
          <w:tcPr>
            <w:tcW w:w="1273" w:type="dxa"/>
          </w:tcPr>
          <w:p w14:paraId="068810AE" w14:textId="77777777" w:rsidR="0088025E" w:rsidRPr="00FD6521" w:rsidRDefault="0088025E" w:rsidP="002406C7">
            <w:pPr>
              <w:rPr>
                <w:szCs w:val="24"/>
              </w:rPr>
            </w:pPr>
          </w:p>
        </w:tc>
      </w:tr>
      <w:tr w:rsidR="0088025E" w:rsidRPr="00FD6521" w14:paraId="49456C16" w14:textId="77777777" w:rsidTr="006C11B3">
        <w:trPr>
          <w:trHeight w:val="287"/>
        </w:trPr>
        <w:tc>
          <w:tcPr>
            <w:tcW w:w="3048" w:type="dxa"/>
            <w:vMerge/>
          </w:tcPr>
          <w:p w14:paraId="07C80A72" w14:textId="77777777" w:rsidR="0088025E" w:rsidRPr="00FD6521" w:rsidRDefault="0088025E" w:rsidP="006632F0">
            <w:pPr>
              <w:rPr>
                <w:szCs w:val="24"/>
              </w:rPr>
            </w:pPr>
          </w:p>
        </w:tc>
        <w:tc>
          <w:tcPr>
            <w:tcW w:w="9244" w:type="dxa"/>
          </w:tcPr>
          <w:p w14:paraId="20457C93" w14:textId="2EDA73FB" w:rsidR="0088025E" w:rsidRPr="00FD6521" w:rsidRDefault="0088025E" w:rsidP="002406C7">
            <w:pPr>
              <w:rPr>
                <w:szCs w:val="24"/>
              </w:rPr>
            </w:pPr>
            <w:r w:rsidRPr="00FD6521">
              <w:rPr>
                <w:szCs w:val="24"/>
              </w:rPr>
              <w:t>Articulation of replicability or scalability of project limited to activities to be undertaken solely by implementing partner</w:t>
            </w:r>
          </w:p>
        </w:tc>
        <w:tc>
          <w:tcPr>
            <w:tcW w:w="1273" w:type="dxa"/>
          </w:tcPr>
          <w:p w14:paraId="24C8DFFB" w14:textId="77777777" w:rsidR="0088025E" w:rsidRPr="00FD6521" w:rsidRDefault="0088025E" w:rsidP="002406C7">
            <w:pPr>
              <w:rPr>
                <w:szCs w:val="24"/>
              </w:rPr>
            </w:pPr>
          </w:p>
        </w:tc>
      </w:tr>
      <w:tr w:rsidR="0088025E" w:rsidRPr="00FD6521" w14:paraId="1411B7F7" w14:textId="77777777" w:rsidTr="006C11B3">
        <w:trPr>
          <w:trHeight w:val="287"/>
        </w:trPr>
        <w:tc>
          <w:tcPr>
            <w:tcW w:w="3048" w:type="dxa"/>
            <w:vMerge/>
          </w:tcPr>
          <w:p w14:paraId="31C8D9EC" w14:textId="77777777" w:rsidR="0088025E" w:rsidRPr="00FD6521" w:rsidRDefault="0088025E" w:rsidP="006632F0">
            <w:pPr>
              <w:rPr>
                <w:szCs w:val="24"/>
              </w:rPr>
            </w:pPr>
          </w:p>
        </w:tc>
        <w:tc>
          <w:tcPr>
            <w:tcW w:w="9244" w:type="dxa"/>
          </w:tcPr>
          <w:p w14:paraId="015D0802" w14:textId="5D7D9D9D" w:rsidR="0088025E" w:rsidRPr="00FD6521" w:rsidRDefault="0088025E" w:rsidP="002406C7">
            <w:pPr>
              <w:rPr>
                <w:szCs w:val="24"/>
              </w:rPr>
            </w:pPr>
            <w:r w:rsidRPr="00FD6521">
              <w:rPr>
                <w:szCs w:val="24"/>
              </w:rPr>
              <w:t xml:space="preserve">Articulation of replicability and scalability includes budget and programmatic responsibilities of at least one other </w:t>
            </w:r>
            <w:r w:rsidR="005B5331" w:rsidRPr="00FD6521">
              <w:rPr>
                <w:szCs w:val="24"/>
              </w:rPr>
              <w:t>organization</w:t>
            </w:r>
            <w:r w:rsidRPr="00FD6521">
              <w:rPr>
                <w:szCs w:val="24"/>
              </w:rPr>
              <w:t xml:space="preserve"> but does not involve duty bearers</w:t>
            </w:r>
          </w:p>
        </w:tc>
        <w:tc>
          <w:tcPr>
            <w:tcW w:w="1273" w:type="dxa"/>
          </w:tcPr>
          <w:p w14:paraId="6908DCF6" w14:textId="77777777" w:rsidR="0088025E" w:rsidRPr="00FD6521" w:rsidRDefault="0088025E" w:rsidP="002406C7">
            <w:pPr>
              <w:rPr>
                <w:szCs w:val="24"/>
              </w:rPr>
            </w:pPr>
          </w:p>
        </w:tc>
      </w:tr>
      <w:tr w:rsidR="0088025E" w:rsidRPr="00FD6521" w14:paraId="155815B0" w14:textId="77777777" w:rsidTr="006C11B3">
        <w:trPr>
          <w:trHeight w:val="287"/>
        </w:trPr>
        <w:tc>
          <w:tcPr>
            <w:tcW w:w="3048" w:type="dxa"/>
            <w:vMerge/>
          </w:tcPr>
          <w:p w14:paraId="3E9F326A" w14:textId="77777777" w:rsidR="0088025E" w:rsidRPr="00FD6521" w:rsidRDefault="0088025E" w:rsidP="006632F0">
            <w:pPr>
              <w:rPr>
                <w:szCs w:val="24"/>
              </w:rPr>
            </w:pPr>
          </w:p>
        </w:tc>
        <w:tc>
          <w:tcPr>
            <w:tcW w:w="9244" w:type="dxa"/>
          </w:tcPr>
          <w:p w14:paraId="7C5DE512" w14:textId="60FA877C" w:rsidR="0088025E" w:rsidRPr="00FD6521" w:rsidRDefault="0088025E" w:rsidP="002406C7">
            <w:pPr>
              <w:rPr>
                <w:szCs w:val="24"/>
              </w:rPr>
            </w:pPr>
            <w:r w:rsidRPr="00FD6521">
              <w:rPr>
                <w:szCs w:val="24"/>
              </w:rPr>
              <w:t>Evidence of replicability and scalability with measurable results involving budgetary and programmatic responsibilities of at least one duty bearer</w:t>
            </w:r>
          </w:p>
        </w:tc>
        <w:tc>
          <w:tcPr>
            <w:tcW w:w="1273" w:type="dxa"/>
          </w:tcPr>
          <w:p w14:paraId="3929D834" w14:textId="77777777" w:rsidR="0088025E" w:rsidRPr="00FD6521" w:rsidRDefault="0088025E" w:rsidP="002406C7">
            <w:pPr>
              <w:rPr>
                <w:szCs w:val="24"/>
              </w:rPr>
            </w:pPr>
          </w:p>
        </w:tc>
      </w:tr>
      <w:tr w:rsidR="0088025E" w:rsidRPr="00FD6521" w14:paraId="6E6A559E" w14:textId="77777777" w:rsidTr="006C11B3">
        <w:trPr>
          <w:trHeight w:val="288"/>
        </w:trPr>
        <w:tc>
          <w:tcPr>
            <w:tcW w:w="3048" w:type="dxa"/>
            <w:vMerge w:val="restart"/>
          </w:tcPr>
          <w:p w14:paraId="36FCF385" w14:textId="77777777" w:rsidR="0088025E" w:rsidRDefault="0088025E" w:rsidP="0088025E">
            <w:pPr>
              <w:pStyle w:val="Numbering"/>
            </w:pPr>
            <w:r w:rsidRPr="0088025E">
              <w:t>Gender Equality:</w:t>
            </w:r>
            <w:r w:rsidRPr="00FD6521">
              <w:t xml:space="preserve"> </w:t>
            </w:r>
          </w:p>
          <w:p w14:paraId="31B6D9D5" w14:textId="537E7FE2" w:rsidR="0088025E" w:rsidRPr="00FD6521" w:rsidRDefault="0088025E" w:rsidP="0088025E">
            <w:r w:rsidRPr="00FD6521">
              <w:t>CBID projects take measures to ensure gender equality in access to resources and opportunities and gender equity in benefitting from the project</w:t>
            </w:r>
          </w:p>
        </w:tc>
        <w:tc>
          <w:tcPr>
            <w:tcW w:w="9244" w:type="dxa"/>
          </w:tcPr>
          <w:p w14:paraId="4ECF9592" w14:textId="183F9145" w:rsidR="0088025E" w:rsidRPr="00FD6521" w:rsidRDefault="0088025E" w:rsidP="002406C7">
            <w:pPr>
              <w:rPr>
                <w:szCs w:val="24"/>
              </w:rPr>
            </w:pPr>
            <w:r w:rsidRPr="00FD6521">
              <w:rPr>
                <w:szCs w:val="24"/>
              </w:rPr>
              <w:t>No specific measures in place to ensure equal access to resources and opportunities for girls and women with disabilities</w:t>
            </w:r>
          </w:p>
        </w:tc>
        <w:tc>
          <w:tcPr>
            <w:tcW w:w="1273" w:type="dxa"/>
          </w:tcPr>
          <w:p w14:paraId="0CA9F00A" w14:textId="77777777" w:rsidR="0088025E" w:rsidRPr="00FD6521" w:rsidRDefault="0088025E" w:rsidP="002406C7">
            <w:pPr>
              <w:rPr>
                <w:szCs w:val="24"/>
              </w:rPr>
            </w:pPr>
          </w:p>
        </w:tc>
      </w:tr>
      <w:tr w:rsidR="0088025E" w:rsidRPr="00FD6521" w14:paraId="41068991" w14:textId="77777777" w:rsidTr="006C11B3">
        <w:trPr>
          <w:trHeight w:val="287"/>
        </w:trPr>
        <w:tc>
          <w:tcPr>
            <w:tcW w:w="3048" w:type="dxa"/>
            <w:vMerge/>
          </w:tcPr>
          <w:p w14:paraId="15340590" w14:textId="77777777" w:rsidR="0088025E" w:rsidRPr="00FD6521" w:rsidRDefault="0088025E" w:rsidP="002406C7">
            <w:pPr>
              <w:rPr>
                <w:szCs w:val="24"/>
              </w:rPr>
            </w:pPr>
          </w:p>
        </w:tc>
        <w:tc>
          <w:tcPr>
            <w:tcW w:w="9244" w:type="dxa"/>
          </w:tcPr>
          <w:p w14:paraId="07C6133F" w14:textId="689A9F14" w:rsidR="0088025E" w:rsidRPr="00FD6521" w:rsidRDefault="0088025E" w:rsidP="002406C7">
            <w:pPr>
              <w:rPr>
                <w:szCs w:val="24"/>
              </w:rPr>
            </w:pPr>
            <w:r w:rsidRPr="00FD6521">
              <w:rPr>
                <w:szCs w:val="24"/>
              </w:rPr>
              <w:t>Gender equality measures are limited to collection of gender disaggregated data</w:t>
            </w:r>
          </w:p>
        </w:tc>
        <w:tc>
          <w:tcPr>
            <w:tcW w:w="1273" w:type="dxa"/>
          </w:tcPr>
          <w:p w14:paraId="54DD18A0" w14:textId="77777777" w:rsidR="0088025E" w:rsidRPr="00FD6521" w:rsidRDefault="0088025E" w:rsidP="002406C7">
            <w:pPr>
              <w:rPr>
                <w:szCs w:val="24"/>
              </w:rPr>
            </w:pPr>
          </w:p>
        </w:tc>
      </w:tr>
      <w:tr w:rsidR="0088025E" w:rsidRPr="00FD6521" w14:paraId="2B4E8FAB" w14:textId="77777777" w:rsidTr="006C11B3">
        <w:trPr>
          <w:trHeight w:val="287"/>
        </w:trPr>
        <w:tc>
          <w:tcPr>
            <w:tcW w:w="3048" w:type="dxa"/>
            <w:vMerge/>
          </w:tcPr>
          <w:p w14:paraId="30C9904F" w14:textId="77777777" w:rsidR="0088025E" w:rsidRPr="00FD6521" w:rsidRDefault="0088025E" w:rsidP="002406C7">
            <w:pPr>
              <w:rPr>
                <w:szCs w:val="24"/>
              </w:rPr>
            </w:pPr>
          </w:p>
        </w:tc>
        <w:tc>
          <w:tcPr>
            <w:tcW w:w="9244" w:type="dxa"/>
          </w:tcPr>
          <w:p w14:paraId="3FB1E8F0" w14:textId="46381D5D" w:rsidR="0088025E" w:rsidRPr="00FD6521" w:rsidRDefault="0088025E" w:rsidP="002406C7">
            <w:pPr>
              <w:rPr>
                <w:szCs w:val="24"/>
              </w:rPr>
            </w:pPr>
            <w:r w:rsidRPr="00FD6521">
              <w:rPr>
                <w:szCs w:val="24"/>
              </w:rPr>
              <w:t>Analysis of the disadvantages experienced by women and girls with disabilities has informed the design of the project and the choice of activities</w:t>
            </w:r>
          </w:p>
        </w:tc>
        <w:tc>
          <w:tcPr>
            <w:tcW w:w="1273" w:type="dxa"/>
          </w:tcPr>
          <w:p w14:paraId="2742088B" w14:textId="77777777" w:rsidR="0088025E" w:rsidRPr="00FD6521" w:rsidRDefault="0088025E" w:rsidP="002406C7">
            <w:pPr>
              <w:rPr>
                <w:szCs w:val="24"/>
              </w:rPr>
            </w:pPr>
          </w:p>
        </w:tc>
      </w:tr>
      <w:tr w:rsidR="0088025E" w:rsidRPr="00FD6521" w14:paraId="046B07F4" w14:textId="77777777" w:rsidTr="006C11B3">
        <w:trPr>
          <w:trHeight w:val="287"/>
        </w:trPr>
        <w:tc>
          <w:tcPr>
            <w:tcW w:w="3048" w:type="dxa"/>
            <w:vMerge/>
          </w:tcPr>
          <w:p w14:paraId="5D354420" w14:textId="77777777" w:rsidR="0088025E" w:rsidRPr="00FD6521" w:rsidRDefault="0088025E" w:rsidP="002406C7">
            <w:pPr>
              <w:rPr>
                <w:szCs w:val="24"/>
              </w:rPr>
            </w:pPr>
          </w:p>
        </w:tc>
        <w:tc>
          <w:tcPr>
            <w:tcW w:w="9244" w:type="dxa"/>
          </w:tcPr>
          <w:p w14:paraId="5F83793B" w14:textId="2195DBF1" w:rsidR="0088025E" w:rsidRPr="00FD6521" w:rsidRDefault="0088025E" w:rsidP="002406C7">
            <w:pPr>
              <w:rPr>
                <w:szCs w:val="24"/>
              </w:rPr>
            </w:pPr>
            <w:r w:rsidRPr="00FD6521">
              <w:rPr>
                <w:szCs w:val="24"/>
              </w:rPr>
              <w:t>Women and girls, men and boys with disabilities have equal access to resources and opportunities. They participate equally and have equal control in the project</w:t>
            </w:r>
          </w:p>
        </w:tc>
        <w:tc>
          <w:tcPr>
            <w:tcW w:w="1273" w:type="dxa"/>
          </w:tcPr>
          <w:p w14:paraId="51CEC511" w14:textId="77777777" w:rsidR="0088025E" w:rsidRPr="00FD6521" w:rsidRDefault="0088025E" w:rsidP="002406C7">
            <w:pPr>
              <w:rPr>
                <w:szCs w:val="24"/>
              </w:rPr>
            </w:pPr>
          </w:p>
        </w:tc>
      </w:tr>
    </w:tbl>
    <w:p w14:paraId="39A6A216" w14:textId="049BFFE5" w:rsidR="002406C7" w:rsidRPr="00FD6521" w:rsidRDefault="002406C7" w:rsidP="002406C7">
      <w:pPr>
        <w:rPr>
          <w:szCs w:val="24"/>
        </w:rPr>
      </w:pPr>
    </w:p>
    <w:p w14:paraId="6FB49FB9" w14:textId="69EDE591" w:rsidR="00387DC7" w:rsidRPr="00FD6521" w:rsidRDefault="00387DC7">
      <w:pPr>
        <w:spacing w:after="160" w:line="259" w:lineRule="auto"/>
        <w:rPr>
          <w:szCs w:val="24"/>
        </w:rPr>
      </w:pPr>
      <w:r w:rsidRPr="00FD6521">
        <w:rPr>
          <w:szCs w:val="24"/>
        </w:rPr>
        <w:br w:type="page"/>
      </w:r>
    </w:p>
    <w:p w14:paraId="1CF32CFA" w14:textId="38112253" w:rsidR="00FD6521" w:rsidRPr="00FD6521" w:rsidRDefault="00387DC7" w:rsidP="00FD6521">
      <w:pPr>
        <w:pStyle w:val="Heading3"/>
        <w:spacing w:after="240"/>
      </w:pPr>
      <w:r w:rsidRPr="00FD6521">
        <w:lastRenderedPageBreak/>
        <w:t xml:space="preserve">Part 2: Provide a one sentence comment on the standards from CBM </w:t>
      </w:r>
      <w:proofErr w:type="spellStart"/>
      <w:r w:rsidRPr="00FD6521">
        <w:t>programme</w:t>
      </w:r>
      <w:proofErr w:type="spellEnd"/>
      <w:r w:rsidRPr="00FD6521">
        <w:t xml:space="preserve"> quality standards</w:t>
      </w:r>
    </w:p>
    <w:tbl>
      <w:tblPr>
        <w:tblStyle w:val="TableGrid"/>
        <w:tblW w:w="0" w:type="auto"/>
        <w:tblLook w:val="04A0" w:firstRow="1" w:lastRow="0" w:firstColumn="1" w:lastColumn="0" w:noHBand="0" w:noVBand="1"/>
      </w:tblPr>
      <w:tblGrid>
        <w:gridCol w:w="6255"/>
        <w:gridCol w:w="7024"/>
      </w:tblGrid>
      <w:tr w:rsidR="008850B6" w:rsidRPr="008850B6" w14:paraId="29C216BA" w14:textId="77777777" w:rsidTr="00FD6521">
        <w:trPr>
          <w:trHeight w:val="305"/>
        </w:trPr>
        <w:tc>
          <w:tcPr>
            <w:tcW w:w="7479" w:type="dxa"/>
            <w:hideMark/>
          </w:tcPr>
          <w:p w14:paraId="46B82E2D" w14:textId="52460EFC" w:rsidR="008850B6" w:rsidRPr="008850B6" w:rsidRDefault="008850B6" w:rsidP="00FD6521">
            <w:pPr>
              <w:spacing w:after="240"/>
              <w:rPr>
                <w:rFonts w:eastAsia="Times New Roman" w:cs="Calibri"/>
                <w:b/>
                <w:bCs/>
                <w:color w:val="000000"/>
                <w:szCs w:val="24"/>
                <w:lang w:val="en-GB" w:eastAsia="en-GB"/>
              </w:rPr>
            </w:pPr>
            <w:r w:rsidRPr="008850B6">
              <w:rPr>
                <w:rFonts w:eastAsia="Times New Roman" w:cs="Calibri"/>
                <w:b/>
                <w:bCs/>
                <w:color w:val="000000"/>
                <w:szCs w:val="24"/>
                <w:lang w:val="en-GB" w:eastAsia="en-GB"/>
              </w:rPr>
              <w:t>Standard</w:t>
            </w:r>
            <w:r w:rsidRPr="008850B6">
              <w:rPr>
                <w:rFonts w:eastAsia="Times New Roman" w:cs="Calibri"/>
                <w:color w:val="000000"/>
                <w:szCs w:val="24"/>
                <w:lang w:val="en-GB" w:eastAsia="en-GB"/>
              </w:rPr>
              <w:t xml:space="preserve"> </w:t>
            </w:r>
          </w:p>
        </w:tc>
        <w:tc>
          <w:tcPr>
            <w:tcW w:w="7024" w:type="dxa"/>
            <w:hideMark/>
          </w:tcPr>
          <w:p w14:paraId="22D03D08" w14:textId="03B3DDB3" w:rsidR="008850B6" w:rsidRPr="008850B6" w:rsidRDefault="00FD6521" w:rsidP="00FD6521">
            <w:pPr>
              <w:spacing w:after="240"/>
              <w:rPr>
                <w:rFonts w:eastAsia="Times New Roman" w:cs="Calibri"/>
                <w:b/>
                <w:bCs/>
                <w:color w:val="000000"/>
                <w:szCs w:val="24"/>
                <w:lang w:val="en-GB" w:eastAsia="en-GB"/>
              </w:rPr>
            </w:pPr>
            <w:r>
              <w:rPr>
                <w:rFonts w:eastAsia="Times New Roman" w:cs="Calibri"/>
                <w:b/>
                <w:bCs/>
                <w:color w:val="000000"/>
                <w:szCs w:val="24"/>
                <w:lang w:val="en-GB" w:eastAsia="en-GB"/>
              </w:rPr>
              <w:t>C</w:t>
            </w:r>
            <w:r w:rsidR="008850B6" w:rsidRPr="008850B6">
              <w:rPr>
                <w:rFonts w:eastAsia="Times New Roman" w:cs="Calibri"/>
                <w:b/>
                <w:bCs/>
                <w:color w:val="000000"/>
                <w:szCs w:val="24"/>
                <w:lang w:val="en-GB" w:eastAsia="en-GB"/>
              </w:rPr>
              <w:t>omment</w:t>
            </w:r>
            <w:r>
              <w:rPr>
                <w:rFonts w:eastAsia="Times New Roman" w:cs="Calibri"/>
                <w:b/>
                <w:bCs/>
                <w:color w:val="000000"/>
                <w:szCs w:val="24"/>
                <w:lang w:val="en-GB" w:eastAsia="en-GB"/>
              </w:rPr>
              <w:t xml:space="preserve"> (one sentence)</w:t>
            </w:r>
          </w:p>
        </w:tc>
      </w:tr>
      <w:tr w:rsidR="008850B6" w:rsidRPr="008850B6" w14:paraId="4BF8CC63" w14:textId="77777777" w:rsidTr="00B1751A">
        <w:trPr>
          <w:trHeight w:val="992"/>
        </w:trPr>
        <w:tc>
          <w:tcPr>
            <w:tcW w:w="7479" w:type="dxa"/>
            <w:hideMark/>
          </w:tcPr>
          <w:p w14:paraId="15EEA79A" w14:textId="77777777" w:rsidR="008850B6" w:rsidRPr="008850B6" w:rsidRDefault="008850B6" w:rsidP="008850B6">
            <w:pPr>
              <w:rPr>
                <w:rFonts w:eastAsia="Times New Roman" w:cs="Calibri"/>
                <w:color w:val="000000"/>
                <w:szCs w:val="24"/>
                <w:lang w:val="en-GB" w:eastAsia="en-GB"/>
              </w:rPr>
            </w:pPr>
            <w:r w:rsidRPr="008850B6">
              <w:rPr>
                <w:rFonts w:eastAsia="Times New Roman" w:cs="Calibri"/>
                <w:b/>
                <w:bCs/>
                <w:color w:val="000000"/>
                <w:szCs w:val="24"/>
                <w:lang w:val="en-GB" w:eastAsia="en-GB"/>
              </w:rPr>
              <w:t>Justice</w:t>
            </w:r>
            <w:r w:rsidRPr="008850B6">
              <w:rPr>
                <w:rFonts w:eastAsia="Times New Roman" w:cs="Calibri"/>
                <w:color w:val="000000"/>
                <w:szCs w:val="24"/>
                <w:lang w:val="en-GB" w:eastAsia="en-GB"/>
              </w:rPr>
              <w:br/>
              <w:t xml:space="preserve">We uphold non-discrimination: People with disabilities are recognised as citizens who contribute to society on an equal basis with others. </w:t>
            </w:r>
          </w:p>
        </w:tc>
        <w:tc>
          <w:tcPr>
            <w:tcW w:w="7024" w:type="dxa"/>
            <w:noWrap/>
            <w:hideMark/>
          </w:tcPr>
          <w:p w14:paraId="7FA0841A" w14:textId="77777777" w:rsidR="008850B6" w:rsidRPr="008850B6" w:rsidRDefault="008850B6" w:rsidP="00B1751A">
            <w:pPr>
              <w:rPr>
                <w:rFonts w:eastAsia="Times New Roman" w:cs="Calibri"/>
                <w:color w:val="000000"/>
                <w:szCs w:val="24"/>
                <w:lang w:val="en-GB" w:eastAsia="en-GB"/>
              </w:rPr>
            </w:pPr>
            <w:r w:rsidRPr="008850B6">
              <w:rPr>
                <w:rFonts w:eastAsia="Times New Roman" w:cs="Calibri"/>
                <w:color w:val="000000"/>
                <w:szCs w:val="24"/>
                <w:lang w:val="en-GB" w:eastAsia="en-GB"/>
              </w:rPr>
              <w:t> </w:t>
            </w:r>
          </w:p>
        </w:tc>
      </w:tr>
      <w:tr w:rsidR="008850B6" w:rsidRPr="008850B6" w14:paraId="7CAE8BBB" w14:textId="77777777" w:rsidTr="00B1751A">
        <w:trPr>
          <w:trHeight w:val="977"/>
        </w:trPr>
        <w:tc>
          <w:tcPr>
            <w:tcW w:w="7479" w:type="dxa"/>
            <w:hideMark/>
          </w:tcPr>
          <w:p w14:paraId="22C5BE05" w14:textId="77777777" w:rsidR="008850B6" w:rsidRPr="008850B6" w:rsidRDefault="008850B6" w:rsidP="008850B6">
            <w:pPr>
              <w:rPr>
                <w:rFonts w:eastAsia="Times New Roman" w:cs="Calibri"/>
                <w:color w:val="000000"/>
                <w:szCs w:val="24"/>
                <w:lang w:val="en-GB" w:eastAsia="en-GB"/>
              </w:rPr>
            </w:pPr>
            <w:r w:rsidRPr="008850B6">
              <w:rPr>
                <w:rFonts w:eastAsia="Times New Roman" w:cs="Calibri"/>
                <w:b/>
                <w:bCs/>
                <w:color w:val="000000"/>
                <w:szCs w:val="24"/>
                <w:lang w:val="en-GB" w:eastAsia="en-GB"/>
              </w:rPr>
              <w:t>Accountability</w:t>
            </w:r>
            <w:r w:rsidRPr="008850B6">
              <w:rPr>
                <w:rFonts w:eastAsia="Times New Roman" w:cs="Calibri"/>
                <w:color w:val="000000"/>
                <w:szCs w:val="24"/>
                <w:lang w:val="en-GB" w:eastAsia="en-GB"/>
              </w:rPr>
              <w:br/>
              <w:t xml:space="preserve">We ensure people with disabilities and their organisations are engaged in every stage of inclusive project cycle management. </w:t>
            </w:r>
          </w:p>
        </w:tc>
        <w:tc>
          <w:tcPr>
            <w:tcW w:w="7024" w:type="dxa"/>
            <w:noWrap/>
            <w:hideMark/>
          </w:tcPr>
          <w:p w14:paraId="1717874E" w14:textId="77777777" w:rsidR="008850B6" w:rsidRPr="008850B6" w:rsidRDefault="008850B6" w:rsidP="00B1751A">
            <w:pPr>
              <w:rPr>
                <w:rFonts w:eastAsia="Times New Roman" w:cs="Calibri"/>
                <w:color w:val="000000"/>
                <w:szCs w:val="24"/>
                <w:lang w:val="en-GB" w:eastAsia="en-GB"/>
              </w:rPr>
            </w:pPr>
            <w:r w:rsidRPr="008850B6">
              <w:rPr>
                <w:rFonts w:eastAsia="Times New Roman" w:cs="Calibri"/>
                <w:color w:val="000000"/>
                <w:szCs w:val="24"/>
                <w:lang w:val="en-GB" w:eastAsia="en-GB"/>
              </w:rPr>
              <w:t> </w:t>
            </w:r>
          </w:p>
        </w:tc>
      </w:tr>
      <w:tr w:rsidR="008850B6" w:rsidRPr="008850B6" w14:paraId="1AA8D3EF" w14:textId="77777777" w:rsidTr="00B1751A">
        <w:trPr>
          <w:trHeight w:val="859"/>
        </w:trPr>
        <w:tc>
          <w:tcPr>
            <w:tcW w:w="7479" w:type="dxa"/>
            <w:hideMark/>
          </w:tcPr>
          <w:p w14:paraId="4F338150" w14:textId="77777777" w:rsidR="008850B6" w:rsidRPr="008850B6" w:rsidRDefault="008850B6" w:rsidP="008850B6">
            <w:pPr>
              <w:rPr>
                <w:rFonts w:eastAsia="Times New Roman" w:cs="Calibri"/>
                <w:color w:val="000000"/>
                <w:szCs w:val="24"/>
                <w:lang w:val="en-GB" w:eastAsia="en-GB"/>
              </w:rPr>
            </w:pPr>
            <w:r w:rsidRPr="008850B6">
              <w:rPr>
                <w:rFonts w:eastAsia="Times New Roman" w:cs="Calibri"/>
                <w:b/>
                <w:bCs/>
                <w:color w:val="000000"/>
                <w:szCs w:val="24"/>
                <w:lang w:val="en-GB" w:eastAsia="en-GB"/>
              </w:rPr>
              <w:t xml:space="preserve">Participatory Programme Management </w:t>
            </w:r>
            <w:r w:rsidRPr="008850B6">
              <w:rPr>
                <w:rFonts w:eastAsia="Times New Roman" w:cs="Calibri"/>
                <w:color w:val="000000"/>
                <w:szCs w:val="24"/>
                <w:lang w:val="en-GB" w:eastAsia="en-GB"/>
              </w:rPr>
              <w:br/>
              <w:t xml:space="preserve">We ensure that local communities are actively involved in programme design by applying participatory approaches. </w:t>
            </w:r>
          </w:p>
        </w:tc>
        <w:tc>
          <w:tcPr>
            <w:tcW w:w="7024" w:type="dxa"/>
            <w:noWrap/>
            <w:hideMark/>
          </w:tcPr>
          <w:p w14:paraId="05F4C7FC" w14:textId="77777777" w:rsidR="008850B6" w:rsidRPr="008850B6" w:rsidRDefault="008850B6" w:rsidP="00B1751A">
            <w:pPr>
              <w:rPr>
                <w:rFonts w:eastAsia="Times New Roman" w:cs="Calibri"/>
                <w:color w:val="000000"/>
                <w:szCs w:val="24"/>
                <w:lang w:val="en-GB" w:eastAsia="en-GB"/>
              </w:rPr>
            </w:pPr>
            <w:r w:rsidRPr="008850B6">
              <w:rPr>
                <w:rFonts w:eastAsia="Times New Roman" w:cs="Calibri"/>
                <w:color w:val="000000"/>
                <w:szCs w:val="24"/>
                <w:lang w:val="en-GB" w:eastAsia="en-GB"/>
              </w:rPr>
              <w:t> </w:t>
            </w:r>
          </w:p>
        </w:tc>
      </w:tr>
      <w:tr w:rsidR="008850B6" w:rsidRPr="008850B6" w14:paraId="7A3E962D" w14:textId="77777777" w:rsidTr="00B1751A">
        <w:trPr>
          <w:trHeight w:val="845"/>
        </w:trPr>
        <w:tc>
          <w:tcPr>
            <w:tcW w:w="7479" w:type="dxa"/>
            <w:hideMark/>
          </w:tcPr>
          <w:p w14:paraId="59D732F1" w14:textId="77777777" w:rsidR="008850B6" w:rsidRPr="008850B6" w:rsidRDefault="008850B6" w:rsidP="008850B6">
            <w:pPr>
              <w:rPr>
                <w:rFonts w:eastAsia="Times New Roman" w:cs="Calibri"/>
                <w:color w:val="000000"/>
                <w:szCs w:val="24"/>
                <w:lang w:val="en-GB" w:eastAsia="en-GB"/>
              </w:rPr>
            </w:pPr>
            <w:r w:rsidRPr="008850B6">
              <w:rPr>
                <w:rFonts w:eastAsia="Times New Roman" w:cs="Calibri"/>
                <w:b/>
                <w:bCs/>
                <w:color w:val="000000"/>
                <w:szCs w:val="24"/>
                <w:lang w:val="en-GB" w:eastAsia="en-GB"/>
              </w:rPr>
              <w:t>Sustainability</w:t>
            </w:r>
            <w:r w:rsidRPr="008850B6">
              <w:rPr>
                <w:rFonts w:eastAsia="Times New Roman" w:cs="Calibri"/>
                <w:color w:val="000000"/>
                <w:szCs w:val="24"/>
                <w:lang w:val="en-GB" w:eastAsia="en-GB"/>
              </w:rPr>
              <w:br/>
              <w:t xml:space="preserve">We strengthen local systems to ensure that governments (duty bearers) and communities take their responsibilities. </w:t>
            </w:r>
          </w:p>
        </w:tc>
        <w:tc>
          <w:tcPr>
            <w:tcW w:w="7024" w:type="dxa"/>
            <w:noWrap/>
            <w:hideMark/>
          </w:tcPr>
          <w:p w14:paraId="2FCA2D74" w14:textId="77777777" w:rsidR="008850B6" w:rsidRPr="008850B6" w:rsidRDefault="008850B6" w:rsidP="00B1751A">
            <w:pPr>
              <w:rPr>
                <w:rFonts w:eastAsia="Times New Roman" w:cs="Calibri"/>
                <w:color w:val="000000"/>
                <w:szCs w:val="24"/>
                <w:lang w:val="en-GB" w:eastAsia="en-GB"/>
              </w:rPr>
            </w:pPr>
            <w:r w:rsidRPr="008850B6">
              <w:rPr>
                <w:rFonts w:eastAsia="Times New Roman" w:cs="Calibri"/>
                <w:color w:val="000000"/>
                <w:szCs w:val="24"/>
                <w:lang w:val="en-GB" w:eastAsia="en-GB"/>
              </w:rPr>
              <w:t> </w:t>
            </w:r>
          </w:p>
        </w:tc>
      </w:tr>
      <w:tr w:rsidR="008850B6" w:rsidRPr="008850B6" w14:paraId="6175FF7D" w14:textId="77777777" w:rsidTr="00B1751A">
        <w:trPr>
          <w:trHeight w:val="979"/>
        </w:trPr>
        <w:tc>
          <w:tcPr>
            <w:tcW w:w="7479" w:type="dxa"/>
            <w:hideMark/>
          </w:tcPr>
          <w:p w14:paraId="4E1430C9" w14:textId="77777777" w:rsidR="008850B6" w:rsidRPr="008850B6" w:rsidRDefault="008850B6" w:rsidP="008850B6">
            <w:pPr>
              <w:rPr>
                <w:rFonts w:eastAsia="Times New Roman" w:cs="Calibri"/>
                <w:color w:val="000000"/>
                <w:szCs w:val="24"/>
                <w:lang w:val="en-GB" w:eastAsia="en-GB"/>
              </w:rPr>
            </w:pPr>
            <w:r w:rsidRPr="008850B6">
              <w:rPr>
                <w:rFonts w:eastAsia="Times New Roman" w:cs="Calibri"/>
                <w:b/>
                <w:bCs/>
                <w:color w:val="000000"/>
                <w:szCs w:val="24"/>
                <w:lang w:val="en-GB" w:eastAsia="en-GB"/>
              </w:rPr>
              <w:t>Partnership</w:t>
            </w:r>
            <w:r w:rsidRPr="008850B6">
              <w:rPr>
                <w:rFonts w:eastAsia="Times New Roman" w:cs="Calibri"/>
                <w:color w:val="000000"/>
                <w:szCs w:val="24"/>
                <w:lang w:val="en-GB" w:eastAsia="en-GB"/>
              </w:rPr>
              <w:br/>
              <w:t xml:space="preserve">We commit to genuine partnership with our partners and the people they represent as driving actors of change in their communities. </w:t>
            </w:r>
          </w:p>
        </w:tc>
        <w:tc>
          <w:tcPr>
            <w:tcW w:w="7024" w:type="dxa"/>
            <w:noWrap/>
            <w:hideMark/>
          </w:tcPr>
          <w:p w14:paraId="77A07358" w14:textId="77777777" w:rsidR="008850B6" w:rsidRPr="008850B6" w:rsidRDefault="008850B6" w:rsidP="00B1751A">
            <w:pPr>
              <w:rPr>
                <w:rFonts w:eastAsia="Times New Roman" w:cs="Calibri"/>
                <w:color w:val="000000"/>
                <w:szCs w:val="24"/>
                <w:lang w:val="en-GB" w:eastAsia="en-GB"/>
              </w:rPr>
            </w:pPr>
            <w:r w:rsidRPr="008850B6">
              <w:rPr>
                <w:rFonts w:eastAsia="Times New Roman" w:cs="Calibri"/>
                <w:color w:val="000000"/>
                <w:szCs w:val="24"/>
                <w:lang w:val="en-GB" w:eastAsia="en-GB"/>
              </w:rPr>
              <w:t> </w:t>
            </w:r>
          </w:p>
        </w:tc>
      </w:tr>
      <w:tr w:rsidR="008850B6" w:rsidRPr="008850B6" w14:paraId="7A7D09BF" w14:textId="77777777" w:rsidTr="00B1751A">
        <w:trPr>
          <w:trHeight w:val="850"/>
        </w:trPr>
        <w:tc>
          <w:tcPr>
            <w:tcW w:w="7479" w:type="dxa"/>
            <w:hideMark/>
          </w:tcPr>
          <w:p w14:paraId="06D73674" w14:textId="77777777" w:rsidR="008850B6" w:rsidRPr="008850B6" w:rsidRDefault="008850B6" w:rsidP="008850B6">
            <w:pPr>
              <w:rPr>
                <w:rFonts w:eastAsia="Times New Roman" w:cs="Calibri"/>
                <w:color w:val="000000"/>
                <w:szCs w:val="24"/>
                <w:lang w:val="en-GB" w:eastAsia="en-GB"/>
              </w:rPr>
            </w:pPr>
            <w:r w:rsidRPr="008850B6">
              <w:rPr>
                <w:rFonts w:eastAsia="Times New Roman" w:cs="Calibri"/>
                <w:b/>
                <w:bCs/>
                <w:color w:val="000000"/>
                <w:szCs w:val="24"/>
                <w:lang w:val="en-GB" w:eastAsia="en-GB"/>
              </w:rPr>
              <w:t>Technical Quality</w:t>
            </w:r>
            <w:r w:rsidRPr="008850B6">
              <w:rPr>
                <w:rFonts w:eastAsia="Times New Roman" w:cs="Calibri"/>
                <w:color w:val="000000"/>
                <w:szCs w:val="24"/>
                <w:lang w:val="en-GB" w:eastAsia="en-GB"/>
              </w:rPr>
              <w:br/>
              <w:t xml:space="preserve">We design and implement CBID programmes to be compliant with international and national standards and frameworks. </w:t>
            </w:r>
          </w:p>
        </w:tc>
        <w:tc>
          <w:tcPr>
            <w:tcW w:w="7024" w:type="dxa"/>
            <w:noWrap/>
            <w:hideMark/>
          </w:tcPr>
          <w:p w14:paraId="0950C408" w14:textId="77777777" w:rsidR="008850B6" w:rsidRPr="008850B6" w:rsidRDefault="008850B6" w:rsidP="00B1751A">
            <w:pPr>
              <w:rPr>
                <w:rFonts w:eastAsia="Times New Roman" w:cs="Calibri"/>
                <w:color w:val="000000"/>
                <w:szCs w:val="24"/>
                <w:lang w:val="en-GB" w:eastAsia="en-GB"/>
              </w:rPr>
            </w:pPr>
            <w:r w:rsidRPr="008850B6">
              <w:rPr>
                <w:rFonts w:eastAsia="Times New Roman" w:cs="Calibri"/>
                <w:color w:val="000000"/>
                <w:szCs w:val="24"/>
                <w:lang w:val="en-GB" w:eastAsia="en-GB"/>
              </w:rPr>
              <w:t> </w:t>
            </w:r>
          </w:p>
        </w:tc>
      </w:tr>
      <w:tr w:rsidR="008850B6" w:rsidRPr="008850B6" w14:paraId="71D3C27F" w14:textId="77777777" w:rsidTr="00B1751A">
        <w:trPr>
          <w:trHeight w:val="992"/>
        </w:trPr>
        <w:tc>
          <w:tcPr>
            <w:tcW w:w="7479" w:type="dxa"/>
            <w:hideMark/>
          </w:tcPr>
          <w:p w14:paraId="29EBCFFC" w14:textId="77777777" w:rsidR="008850B6" w:rsidRPr="008850B6" w:rsidRDefault="008850B6" w:rsidP="008850B6">
            <w:pPr>
              <w:rPr>
                <w:rFonts w:eastAsia="Times New Roman" w:cs="Calibri"/>
                <w:color w:val="000000"/>
                <w:szCs w:val="24"/>
                <w:lang w:val="en-GB" w:eastAsia="en-GB"/>
              </w:rPr>
            </w:pPr>
            <w:r w:rsidRPr="008850B6">
              <w:rPr>
                <w:rFonts w:eastAsia="Times New Roman" w:cs="Calibri"/>
                <w:b/>
                <w:bCs/>
                <w:color w:val="000000"/>
                <w:szCs w:val="24"/>
                <w:lang w:val="en-GB" w:eastAsia="en-GB"/>
              </w:rPr>
              <w:t>Accessibility and Universal Design</w:t>
            </w:r>
            <w:r w:rsidRPr="008850B6">
              <w:rPr>
                <w:rFonts w:eastAsia="Times New Roman" w:cs="Calibri"/>
                <w:color w:val="000000"/>
                <w:szCs w:val="24"/>
                <w:lang w:val="en-GB" w:eastAsia="en-GB"/>
              </w:rPr>
              <w:br/>
              <w:t>We ensure that information, communication, facilities and services are accessible to all people with disabilities.</w:t>
            </w:r>
            <w:r w:rsidRPr="008850B6">
              <w:rPr>
                <w:rFonts w:eastAsia="Times New Roman" w:cs="Calibri"/>
                <w:b/>
                <w:bCs/>
                <w:color w:val="000000"/>
                <w:szCs w:val="24"/>
                <w:lang w:val="en-GB" w:eastAsia="en-GB"/>
              </w:rPr>
              <w:t xml:space="preserve"> </w:t>
            </w:r>
          </w:p>
        </w:tc>
        <w:tc>
          <w:tcPr>
            <w:tcW w:w="7024" w:type="dxa"/>
            <w:noWrap/>
            <w:hideMark/>
          </w:tcPr>
          <w:p w14:paraId="5696CA17" w14:textId="77777777" w:rsidR="008850B6" w:rsidRPr="008850B6" w:rsidRDefault="008850B6" w:rsidP="00B1751A">
            <w:pPr>
              <w:rPr>
                <w:rFonts w:eastAsia="Times New Roman" w:cs="Calibri"/>
                <w:color w:val="000000"/>
                <w:szCs w:val="24"/>
                <w:lang w:val="en-GB" w:eastAsia="en-GB"/>
              </w:rPr>
            </w:pPr>
            <w:r w:rsidRPr="008850B6">
              <w:rPr>
                <w:rFonts w:eastAsia="Times New Roman" w:cs="Calibri"/>
                <w:color w:val="000000"/>
                <w:szCs w:val="24"/>
                <w:lang w:val="en-GB" w:eastAsia="en-GB"/>
              </w:rPr>
              <w:t> </w:t>
            </w:r>
          </w:p>
        </w:tc>
      </w:tr>
      <w:tr w:rsidR="008850B6" w:rsidRPr="008850B6" w14:paraId="58687965" w14:textId="77777777" w:rsidTr="00B1751A">
        <w:trPr>
          <w:trHeight w:val="1133"/>
        </w:trPr>
        <w:tc>
          <w:tcPr>
            <w:tcW w:w="7479" w:type="dxa"/>
            <w:hideMark/>
          </w:tcPr>
          <w:p w14:paraId="63D982C9" w14:textId="7BADDA8C" w:rsidR="008850B6" w:rsidRPr="008850B6" w:rsidRDefault="008850B6" w:rsidP="008850B6">
            <w:pPr>
              <w:rPr>
                <w:rFonts w:eastAsia="Times New Roman" w:cs="Calibri"/>
                <w:b/>
                <w:bCs/>
                <w:color w:val="000000"/>
                <w:szCs w:val="24"/>
                <w:lang w:val="en-GB" w:eastAsia="en-GB"/>
              </w:rPr>
            </w:pPr>
            <w:r w:rsidRPr="008850B6">
              <w:rPr>
                <w:rFonts w:eastAsia="Times New Roman" w:cs="Calibri"/>
                <w:b/>
                <w:bCs/>
                <w:color w:val="000000"/>
                <w:szCs w:val="24"/>
                <w:lang w:val="en-GB" w:eastAsia="en-GB"/>
              </w:rPr>
              <w:lastRenderedPageBreak/>
              <w:t>Diversity of humanity</w:t>
            </w:r>
            <w:r w:rsidRPr="008850B6">
              <w:rPr>
                <w:rFonts w:eastAsia="Times New Roman" w:cs="Calibri"/>
                <w:color w:val="000000"/>
                <w:szCs w:val="24"/>
                <w:lang w:val="en-GB" w:eastAsia="en-GB"/>
              </w:rPr>
              <w:br/>
              <w:t>We ensure that our CBID projects and programmes respect the diversity of humanity with regards</w:t>
            </w:r>
            <w:r w:rsidRPr="008850B6">
              <w:rPr>
                <w:rFonts w:eastAsia="Times New Roman" w:cs="Calibri"/>
                <w:b/>
                <w:bCs/>
                <w:color w:val="000000"/>
                <w:szCs w:val="24"/>
                <w:lang w:val="en-GB" w:eastAsia="en-GB"/>
              </w:rPr>
              <w:t xml:space="preserve"> </w:t>
            </w:r>
            <w:r w:rsidRPr="008850B6">
              <w:rPr>
                <w:rFonts w:eastAsia="Times New Roman" w:cs="Calibri"/>
                <w:color w:val="000000"/>
                <w:szCs w:val="24"/>
                <w:lang w:val="en-GB" w:eastAsia="en-GB"/>
              </w:rPr>
              <w:t>to gender, race, social class, ethnicity, impairment type, geographical location and other markers of difference and disadvantage</w:t>
            </w:r>
            <w:r w:rsidRPr="008850B6">
              <w:rPr>
                <w:rFonts w:eastAsia="Times New Roman" w:cs="Calibri"/>
                <w:b/>
                <w:bCs/>
                <w:color w:val="000000"/>
                <w:szCs w:val="24"/>
                <w:lang w:val="en-GB" w:eastAsia="en-GB"/>
              </w:rPr>
              <w:t>.</w:t>
            </w:r>
          </w:p>
        </w:tc>
        <w:tc>
          <w:tcPr>
            <w:tcW w:w="7024" w:type="dxa"/>
            <w:noWrap/>
            <w:hideMark/>
          </w:tcPr>
          <w:p w14:paraId="2A7B5494" w14:textId="77777777" w:rsidR="008850B6" w:rsidRPr="008850B6" w:rsidRDefault="008850B6" w:rsidP="00B1751A">
            <w:pPr>
              <w:rPr>
                <w:rFonts w:eastAsia="Times New Roman" w:cs="Calibri"/>
                <w:color w:val="000000"/>
                <w:szCs w:val="24"/>
                <w:lang w:val="en-GB" w:eastAsia="en-GB"/>
              </w:rPr>
            </w:pPr>
            <w:r w:rsidRPr="008850B6">
              <w:rPr>
                <w:rFonts w:eastAsia="Times New Roman" w:cs="Calibri"/>
                <w:color w:val="000000"/>
                <w:szCs w:val="24"/>
                <w:lang w:val="en-GB" w:eastAsia="en-GB"/>
              </w:rPr>
              <w:t> </w:t>
            </w:r>
          </w:p>
        </w:tc>
      </w:tr>
    </w:tbl>
    <w:p w14:paraId="58966EF7" w14:textId="77777777" w:rsidR="008850B6" w:rsidRPr="00FD6521" w:rsidRDefault="008850B6" w:rsidP="00B1751A">
      <w:pPr>
        <w:rPr>
          <w:szCs w:val="24"/>
          <w:lang w:val="en-GB"/>
        </w:rPr>
      </w:pPr>
    </w:p>
    <w:sectPr w:rsidR="008850B6" w:rsidRPr="00FD6521" w:rsidSect="00CF236E">
      <w:headerReference w:type="default" r:id="rId10"/>
      <w:footerReference w:type="default" r:id="rId11"/>
      <w:pgSz w:w="15840" w:h="12240" w:orient="landscape" w:code="1"/>
      <w:pgMar w:top="1417" w:right="1134" w:bottom="1417" w:left="1417" w:header="567"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F420A1" w14:textId="77777777" w:rsidR="004C34FE" w:rsidRDefault="004C34FE" w:rsidP="00312F74">
      <w:r>
        <w:separator/>
      </w:r>
    </w:p>
  </w:endnote>
  <w:endnote w:type="continuationSeparator" w:id="0">
    <w:p w14:paraId="57489B5E" w14:textId="77777777" w:rsidR="004C34FE" w:rsidRDefault="004C34FE" w:rsidP="00312F74">
      <w:r>
        <w:continuationSeparator/>
      </w:r>
    </w:p>
  </w:endnote>
  <w:endnote w:type="continuationNotice" w:id="1">
    <w:p w14:paraId="3BA3F90C" w14:textId="77777777" w:rsidR="004C34FE" w:rsidRDefault="004C34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Arial"/>
    <w:panose1 w:val="020B0503030403020204"/>
    <w:charset w:val="00"/>
    <w:family w:val="swiss"/>
    <w:notTrueType/>
    <w:pitch w:val="variable"/>
    <w:sig w:usb0="600002F7" w:usb1="02000001"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4760"/>
      <w:gridCol w:w="4760"/>
      <w:gridCol w:w="4760"/>
    </w:tblGrid>
    <w:tr w:rsidR="2BEC1EC6" w14:paraId="5008A7A9" w14:textId="77777777" w:rsidTr="2BEC1EC6">
      <w:trPr>
        <w:trHeight w:val="300"/>
      </w:trPr>
      <w:tc>
        <w:tcPr>
          <w:tcW w:w="4760" w:type="dxa"/>
        </w:tcPr>
        <w:p w14:paraId="5AF9E800" w14:textId="2631CD5A" w:rsidR="2BEC1EC6" w:rsidRDefault="2BEC1EC6" w:rsidP="2BEC1EC6">
          <w:pPr>
            <w:pStyle w:val="Header"/>
            <w:ind w:left="-115"/>
          </w:pPr>
        </w:p>
      </w:tc>
      <w:tc>
        <w:tcPr>
          <w:tcW w:w="4760" w:type="dxa"/>
        </w:tcPr>
        <w:p w14:paraId="56BB872A" w14:textId="386A9715" w:rsidR="2BEC1EC6" w:rsidRDefault="2BEC1EC6" w:rsidP="2BEC1EC6">
          <w:pPr>
            <w:pStyle w:val="Header"/>
            <w:jc w:val="center"/>
          </w:pPr>
        </w:p>
      </w:tc>
      <w:tc>
        <w:tcPr>
          <w:tcW w:w="4760" w:type="dxa"/>
        </w:tcPr>
        <w:p w14:paraId="10A12DB2" w14:textId="1623A5CD" w:rsidR="2BEC1EC6" w:rsidRDefault="2BEC1EC6" w:rsidP="2BEC1EC6">
          <w:pPr>
            <w:pStyle w:val="Header"/>
            <w:ind w:right="-115"/>
            <w:jc w:val="right"/>
          </w:pPr>
        </w:p>
      </w:tc>
    </w:tr>
  </w:tbl>
  <w:p w14:paraId="3F047A95" w14:textId="3D73F9C2" w:rsidR="2BEC1EC6" w:rsidRDefault="2BEC1EC6" w:rsidP="2BEC1E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7DF729" w14:textId="77777777" w:rsidR="004C34FE" w:rsidRDefault="004C34FE" w:rsidP="00312F74">
      <w:r>
        <w:separator/>
      </w:r>
    </w:p>
  </w:footnote>
  <w:footnote w:type="continuationSeparator" w:id="0">
    <w:p w14:paraId="54ABEB78" w14:textId="77777777" w:rsidR="004C34FE" w:rsidRDefault="004C34FE" w:rsidP="00312F74">
      <w:r>
        <w:continuationSeparator/>
      </w:r>
    </w:p>
  </w:footnote>
  <w:footnote w:type="continuationNotice" w:id="1">
    <w:p w14:paraId="4404E808" w14:textId="77777777" w:rsidR="004C34FE" w:rsidRDefault="004C34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32E45" w14:textId="7610C0DF" w:rsidR="00312F74" w:rsidRDefault="00312F74">
    <w:pPr>
      <w:pStyle w:val="Header"/>
    </w:pPr>
    <w:r>
      <w:rPr>
        <w:noProof/>
        <w:lang w:val="en-GB" w:eastAsia="en-GB"/>
      </w:rPr>
      <w:drawing>
        <wp:anchor distT="0" distB="0" distL="114300" distR="114300" simplePos="0" relativeHeight="251658240" behindDoc="0" locked="0" layoutInCell="1" allowOverlap="1" wp14:anchorId="7BE8159A" wp14:editId="44CAD78D">
          <wp:simplePos x="0" y="0"/>
          <wp:positionH relativeFrom="column">
            <wp:posOffset>7439025</wp:posOffset>
          </wp:positionH>
          <wp:positionV relativeFrom="paragraph">
            <wp:posOffset>-226695</wp:posOffset>
          </wp:positionV>
          <wp:extent cx="1126800" cy="705600"/>
          <wp:effectExtent l="0" t="0" r="0" b="0"/>
          <wp:wrapNone/>
          <wp:docPr id="2" name="Picture 2" descr="CBM Logo">
            <a:extLst xmlns:a="http://schemas.openxmlformats.org/drawingml/2006/main">
              <a:ext uri="{FF2B5EF4-FFF2-40B4-BE49-F238E27FC236}">
                <a16:creationId xmlns:a16="http://schemas.microsoft.com/office/drawing/2014/main" id="{3094186E-5381-426A-9DBD-CF87C140B6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CBM Logo">
                    <a:extLst>
                      <a:ext uri="{FF2B5EF4-FFF2-40B4-BE49-F238E27FC236}">
                        <a16:creationId xmlns:a16="http://schemas.microsoft.com/office/drawing/2014/main" id="{3094186E-5381-426A-9DBD-CF87C140B69C}"/>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26800" cy="705600"/>
                  </a:xfrm>
                  <a:prstGeom prst="rect">
                    <a:avLst/>
                  </a:prstGeom>
                </pic:spPr>
              </pic:pic>
            </a:graphicData>
          </a:graphic>
          <wp14:sizeRelH relativeFrom="margin">
            <wp14:pctWidth>0</wp14:pctWidth>
          </wp14:sizeRelH>
          <wp14:sizeRelV relativeFrom="margin">
            <wp14:pctHeight>0</wp14:pctHeight>
          </wp14:sizeRelV>
        </wp:anchor>
      </w:drawing>
    </w:r>
    <w:r w:rsidR="2BEC1EC6" w:rsidRPr="00312F74">
      <w:rPr>
        <w:b/>
        <w:bCs/>
        <w:color w:val="C00000"/>
      </w:rPr>
      <w:t xml:space="preserve">CBID Initiative </w:t>
    </w:r>
    <w:r w:rsidRPr="00312F74">
      <w:rPr>
        <w:b/>
        <w:bCs/>
      </w:rPr>
      <w:ptab w:relativeTo="margin" w:alignment="center" w:leader="none"/>
    </w:r>
    <w:proofErr w:type="spellStart"/>
    <w:r w:rsidR="2BEC1EC6" w:rsidRPr="00312F74">
      <w:rPr>
        <w:b/>
        <w:bCs/>
      </w:rPr>
      <w:t>Programme</w:t>
    </w:r>
    <w:proofErr w:type="spellEnd"/>
    <w:r w:rsidR="2BEC1EC6" w:rsidRPr="00312F74">
      <w:rPr>
        <w:b/>
        <w:bCs/>
      </w:rPr>
      <w:t xml:space="preserve"> Quality Assessment Tool</w:t>
    </w:r>
    <w:r w:rsidRPr="00312F74">
      <w:rPr>
        <w:b/>
        <w:bCs/>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F35CC14C"/>
    <w:lvl w:ilvl="0">
      <w:start w:val="1"/>
      <w:numFmt w:val="decimal"/>
      <w:pStyle w:val="ListNumber"/>
      <w:lvlText w:val="%1."/>
      <w:lvlJc w:val="left"/>
      <w:pPr>
        <w:tabs>
          <w:tab w:val="num" w:pos="360"/>
        </w:tabs>
        <w:ind w:left="360" w:hanging="360"/>
      </w:pPr>
    </w:lvl>
  </w:abstractNum>
  <w:abstractNum w:abstractNumId="1" w15:restartNumberingAfterBreak="0">
    <w:nsid w:val="255452CE"/>
    <w:multiLevelType w:val="multilevel"/>
    <w:tmpl w:val="A8926BF4"/>
    <w:lvl w:ilvl="0">
      <w:start w:val="1"/>
      <w:numFmt w:val="decimal"/>
      <w:pStyle w:val="Numberi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023057E"/>
    <w:multiLevelType w:val="hybridMultilevel"/>
    <w:tmpl w:val="735ABFB4"/>
    <w:lvl w:ilvl="0" w:tplc="EDC0A1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09096976">
    <w:abstractNumId w:val="0"/>
  </w:num>
  <w:num w:numId="2" w16cid:durableId="965936982">
    <w:abstractNumId w:val="0"/>
  </w:num>
  <w:num w:numId="3" w16cid:durableId="1156846936">
    <w:abstractNumId w:val="1"/>
  </w:num>
  <w:num w:numId="4" w16cid:durableId="1577277838">
    <w:abstractNumId w:val="2"/>
  </w:num>
  <w:num w:numId="5" w16cid:durableId="1693528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F74"/>
    <w:rsid w:val="000044BF"/>
    <w:rsid w:val="00040993"/>
    <w:rsid w:val="000C1435"/>
    <w:rsid w:val="000D5ABB"/>
    <w:rsid w:val="000F2A88"/>
    <w:rsid w:val="00110DBF"/>
    <w:rsid w:val="00152035"/>
    <w:rsid w:val="00164CCC"/>
    <w:rsid w:val="001776B5"/>
    <w:rsid w:val="001B36E3"/>
    <w:rsid w:val="001C5EE4"/>
    <w:rsid w:val="001F19DF"/>
    <w:rsid w:val="00213904"/>
    <w:rsid w:val="002406C7"/>
    <w:rsid w:val="00293D03"/>
    <w:rsid w:val="002A5426"/>
    <w:rsid w:val="002C4A74"/>
    <w:rsid w:val="002E6FE7"/>
    <w:rsid w:val="00312F74"/>
    <w:rsid w:val="00323CC2"/>
    <w:rsid w:val="003446D5"/>
    <w:rsid w:val="00374F26"/>
    <w:rsid w:val="00387DC7"/>
    <w:rsid w:val="003A3556"/>
    <w:rsid w:val="003C61B2"/>
    <w:rsid w:val="0044207B"/>
    <w:rsid w:val="004A6A89"/>
    <w:rsid w:val="004B719E"/>
    <w:rsid w:val="004C34FE"/>
    <w:rsid w:val="004E0E69"/>
    <w:rsid w:val="0051786A"/>
    <w:rsid w:val="005358D1"/>
    <w:rsid w:val="005911A3"/>
    <w:rsid w:val="005B5331"/>
    <w:rsid w:val="005C0954"/>
    <w:rsid w:val="005E189D"/>
    <w:rsid w:val="005F1C43"/>
    <w:rsid w:val="005F5964"/>
    <w:rsid w:val="00600273"/>
    <w:rsid w:val="00634F19"/>
    <w:rsid w:val="00645D78"/>
    <w:rsid w:val="006632F0"/>
    <w:rsid w:val="00677F39"/>
    <w:rsid w:val="00696FD8"/>
    <w:rsid w:val="006C11B3"/>
    <w:rsid w:val="006C5ADE"/>
    <w:rsid w:val="007077A1"/>
    <w:rsid w:val="00746219"/>
    <w:rsid w:val="007541AE"/>
    <w:rsid w:val="007661EB"/>
    <w:rsid w:val="00774985"/>
    <w:rsid w:val="007D6FA9"/>
    <w:rsid w:val="008533DC"/>
    <w:rsid w:val="0088025E"/>
    <w:rsid w:val="008850B6"/>
    <w:rsid w:val="00886C25"/>
    <w:rsid w:val="008C3256"/>
    <w:rsid w:val="008C3DD4"/>
    <w:rsid w:val="008D0231"/>
    <w:rsid w:val="008E71AB"/>
    <w:rsid w:val="008F4ACE"/>
    <w:rsid w:val="009326CA"/>
    <w:rsid w:val="00936E9C"/>
    <w:rsid w:val="00946B10"/>
    <w:rsid w:val="00961BA2"/>
    <w:rsid w:val="00977CBC"/>
    <w:rsid w:val="009944C1"/>
    <w:rsid w:val="009B1D85"/>
    <w:rsid w:val="009E7F86"/>
    <w:rsid w:val="009F5D72"/>
    <w:rsid w:val="00A25F71"/>
    <w:rsid w:val="00A2665E"/>
    <w:rsid w:val="00A60F6C"/>
    <w:rsid w:val="00A61C28"/>
    <w:rsid w:val="00A646D4"/>
    <w:rsid w:val="00AB2E3E"/>
    <w:rsid w:val="00AB5002"/>
    <w:rsid w:val="00AB785F"/>
    <w:rsid w:val="00AD418D"/>
    <w:rsid w:val="00B1751A"/>
    <w:rsid w:val="00B47703"/>
    <w:rsid w:val="00B56CD7"/>
    <w:rsid w:val="00B6526C"/>
    <w:rsid w:val="00B81028"/>
    <w:rsid w:val="00B90971"/>
    <w:rsid w:val="00B910B1"/>
    <w:rsid w:val="00C02863"/>
    <w:rsid w:val="00C02D61"/>
    <w:rsid w:val="00C07124"/>
    <w:rsid w:val="00C67F31"/>
    <w:rsid w:val="00C8486E"/>
    <w:rsid w:val="00CC1F70"/>
    <w:rsid w:val="00CC5C85"/>
    <w:rsid w:val="00CC7702"/>
    <w:rsid w:val="00CF236E"/>
    <w:rsid w:val="00D67042"/>
    <w:rsid w:val="00D73629"/>
    <w:rsid w:val="00D961CD"/>
    <w:rsid w:val="00DB31C8"/>
    <w:rsid w:val="00DE26E7"/>
    <w:rsid w:val="00DE287B"/>
    <w:rsid w:val="00E06D80"/>
    <w:rsid w:val="00E17938"/>
    <w:rsid w:val="00E26920"/>
    <w:rsid w:val="00E81FE1"/>
    <w:rsid w:val="00EA2D1F"/>
    <w:rsid w:val="00EA3431"/>
    <w:rsid w:val="00ED2492"/>
    <w:rsid w:val="00EF5B87"/>
    <w:rsid w:val="00F44227"/>
    <w:rsid w:val="00F54243"/>
    <w:rsid w:val="00F86C05"/>
    <w:rsid w:val="00F91DCA"/>
    <w:rsid w:val="00FC2A76"/>
    <w:rsid w:val="00FD6521"/>
    <w:rsid w:val="2BEC1EC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0AEF0"/>
  <w15:chartTrackingRefBased/>
  <w15:docId w15:val="{25BE3A61-F750-42BF-B137-9D69A9655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1A3"/>
    <w:pPr>
      <w:spacing w:after="0" w:line="240" w:lineRule="auto"/>
    </w:pPr>
    <w:rPr>
      <w:rFonts w:ascii="Source Sans Pro" w:eastAsia="Batang" w:hAnsi="Source Sans Pro" w:cs="Times New Roman"/>
      <w:sz w:val="24"/>
      <w:lang w:val="en-US" w:eastAsia="ko-KR"/>
    </w:rPr>
  </w:style>
  <w:style w:type="paragraph" w:styleId="Heading1">
    <w:name w:val="heading 1"/>
    <w:basedOn w:val="Normal"/>
    <w:next w:val="Normal"/>
    <w:link w:val="Heading1Char"/>
    <w:autoRedefine/>
    <w:uiPriority w:val="9"/>
    <w:qFormat/>
    <w:rsid w:val="000044BF"/>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044BF"/>
    <w:pPr>
      <w:spacing w:before="240" w:line="276" w:lineRule="auto"/>
      <w:ind w:left="720" w:hanging="720"/>
      <w:outlineLvl w:val="1"/>
    </w:pPr>
    <w:rPr>
      <w:rFonts w:cs="Arial"/>
      <w:b/>
      <w:bCs/>
      <w:color w:val="C00000"/>
      <w:sz w:val="26"/>
      <w:szCs w:val="24"/>
    </w:rPr>
  </w:style>
  <w:style w:type="paragraph" w:styleId="Heading3">
    <w:name w:val="heading 3"/>
    <w:basedOn w:val="Normal"/>
    <w:next w:val="Normal"/>
    <w:link w:val="Heading3Char"/>
    <w:uiPriority w:val="9"/>
    <w:unhideWhenUsed/>
    <w:qFormat/>
    <w:rsid w:val="000044BF"/>
    <w:pPr>
      <w:keepNext/>
      <w:keepLines/>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2406C7"/>
    <w:pPr>
      <w:keepNext/>
      <w:keepLines/>
      <w:spacing w:before="4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M">
    <w:name w:val="CBM"/>
    <w:basedOn w:val="Normal"/>
    <w:next w:val="Heading2"/>
    <w:link w:val="CBMZchn"/>
    <w:autoRedefine/>
    <w:qFormat/>
    <w:rsid w:val="00B90971"/>
    <w:pPr>
      <w:spacing w:after="200" w:line="276" w:lineRule="auto"/>
      <w:jc w:val="center"/>
    </w:pPr>
    <w:rPr>
      <w:b/>
      <w:color w:val="C00000"/>
      <w:sz w:val="28"/>
      <w:szCs w:val="28"/>
      <w:u w:val="single"/>
    </w:rPr>
  </w:style>
  <w:style w:type="character" w:customStyle="1" w:styleId="CBMZchn">
    <w:name w:val="CBM Zchn"/>
    <w:basedOn w:val="DefaultParagraphFont"/>
    <w:link w:val="CBM"/>
    <w:rsid w:val="00B90971"/>
    <w:rPr>
      <w:rFonts w:ascii="Source Sans Pro" w:hAnsi="Source Sans Pro"/>
      <w:b/>
      <w:color w:val="C00000"/>
      <w:sz w:val="28"/>
      <w:szCs w:val="28"/>
      <w:u w:val="single"/>
    </w:rPr>
  </w:style>
  <w:style w:type="character" w:customStyle="1" w:styleId="Heading1Char">
    <w:name w:val="Heading 1 Char"/>
    <w:basedOn w:val="DefaultParagraphFont"/>
    <w:link w:val="Heading1"/>
    <w:uiPriority w:val="9"/>
    <w:rsid w:val="000044BF"/>
    <w:rPr>
      <w:rFonts w:ascii="Source Sans Pro" w:eastAsiaTheme="majorEastAsia" w:hAnsi="Source Sans Pro" w:cstheme="majorBidi"/>
      <w:b/>
      <w:sz w:val="28"/>
      <w:szCs w:val="32"/>
    </w:rPr>
  </w:style>
  <w:style w:type="paragraph" w:styleId="Title">
    <w:name w:val="Title"/>
    <w:basedOn w:val="Normal"/>
    <w:next w:val="Normal"/>
    <w:link w:val="TitleChar"/>
    <w:autoRedefine/>
    <w:uiPriority w:val="10"/>
    <w:qFormat/>
    <w:rsid w:val="00936E9C"/>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36E9C"/>
    <w:rPr>
      <w:rFonts w:ascii="Source Sans Pro" w:eastAsiaTheme="majorEastAsia" w:hAnsi="Source Sans Pro" w:cstheme="majorBidi"/>
      <w:spacing w:val="-10"/>
      <w:kern w:val="28"/>
      <w:sz w:val="56"/>
      <w:szCs w:val="56"/>
    </w:rPr>
  </w:style>
  <w:style w:type="character" w:customStyle="1" w:styleId="Heading2Char">
    <w:name w:val="Heading 2 Char"/>
    <w:basedOn w:val="DefaultParagraphFont"/>
    <w:link w:val="Heading2"/>
    <w:uiPriority w:val="9"/>
    <w:rsid w:val="000044BF"/>
    <w:rPr>
      <w:rFonts w:ascii="Source Sans Pro" w:hAnsi="Source Sans Pro" w:cs="Arial"/>
      <w:b/>
      <w:bCs/>
      <w:color w:val="C00000"/>
      <w:sz w:val="26"/>
      <w:szCs w:val="24"/>
    </w:rPr>
  </w:style>
  <w:style w:type="paragraph" w:customStyle="1" w:styleId="Formatvorlage1">
    <w:name w:val="Formatvorlage1"/>
    <w:basedOn w:val="Normal"/>
    <w:next w:val="Heading3"/>
    <w:link w:val="Formatvorlage1Zchn"/>
    <w:autoRedefine/>
    <w:qFormat/>
    <w:rsid w:val="00B90971"/>
    <w:rPr>
      <w:b/>
      <w:szCs w:val="24"/>
    </w:rPr>
  </w:style>
  <w:style w:type="character" w:customStyle="1" w:styleId="Formatvorlage1Zchn">
    <w:name w:val="Formatvorlage1 Zchn"/>
    <w:basedOn w:val="DefaultParagraphFont"/>
    <w:link w:val="Formatvorlage1"/>
    <w:rsid w:val="00B90971"/>
    <w:rPr>
      <w:rFonts w:ascii="Source Sans Pro" w:hAnsi="Source Sans Pro"/>
      <w:b/>
      <w:sz w:val="24"/>
      <w:szCs w:val="24"/>
    </w:rPr>
  </w:style>
  <w:style w:type="character" w:customStyle="1" w:styleId="Heading3Char">
    <w:name w:val="Heading 3 Char"/>
    <w:basedOn w:val="DefaultParagraphFont"/>
    <w:link w:val="Heading3"/>
    <w:uiPriority w:val="9"/>
    <w:rsid w:val="000044BF"/>
    <w:rPr>
      <w:rFonts w:ascii="Source Sans Pro" w:eastAsiaTheme="majorEastAsia" w:hAnsi="Source Sans Pro" w:cstheme="majorBidi"/>
      <w:b/>
      <w:color w:val="000000" w:themeColor="text1"/>
      <w:sz w:val="24"/>
      <w:szCs w:val="24"/>
      <w:lang w:val="de-DE"/>
    </w:rPr>
  </w:style>
  <w:style w:type="paragraph" w:styleId="ListParagraph">
    <w:name w:val="List Paragraph"/>
    <w:basedOn w:val="Normal"/>
    <w:autoRedefine/>
    <w:uiPriority w:val="34"/>
    <w:qFormat/>
    <w:rsid w:val="00A2665E"/>
    <w:pPr>
      <w:ind w:left="720"/>
      <w:contextualSpacing/>
    </w:pPr>
  </w:style>
  <w:style w:type="paragraph" w:styleId="NoSpacing">
    <w:name w:val="No Spacing"/>
    <w:uiPriority w:val="1"/>
    <w:qFormat/>
    <w:rsid w:val="005911A3"/>
    <w:pPr>
      <w:spacing w:before="120" w:after="120" w:line="240" w:lineRule="auto"/>
    </w:pPr>
    <w:rPr>
      <w:rFonts w:ascii="Source Sans Pro" w:eastAsia="Batang" w:hAnsi="Source Sans Pro" w:cs="Times New Roman"/>
      <w:lang w:val="en-US" w:eastAsia="ko-KR"/>
    </w:rPr>
  </w:style>
  <w:style w:type="paragraph" w:customStyle="1" w:styleId="Numbering">
    <w:name w:val="Numbering"/>
    <w:basedOn w:val="ListNumber"/>
    <w:link w:val="NumberingChar"/>
    <w:autoRedefine/>
    <w:qFormat/>
    <w:rsid w:val="0088025E"/>
    <w:pPr>
      <w:numPr>
        <w:numId w:val="3"/>
      </w:numPr>
    </w:pPr>
    <w:rPr>
      <w:b/>
      <w:sz w:val="22"/>
    </w:rPr>
  </w:style>
  <w:style w:type="character" w:customStyle="1" w:styleId="NumberingChar">
    <w:name w:val="Numbering Char"/>
    <w:basedOn w:val="DefaultParagraphFont"/>
    <w:link w:val="Numbering"/>
    <w:rsid w:val="0088025E"/>
    <w:rPr>
      <w:rFonts w:ascii="Source Sans Pro" w:eastAsia="Batang" w:hAnsi="Source Sans Pro" w:cs="Times New Roman"/>
      <w:b/>
      <w:lang w:val="en-US" w:eastAsia="ko-KR"/>
    </w:rPr>
  </w:style>
  <w:style w:type="paragraph" w:styleId="ListNumber">
    <w:name w:val="List Number"/>
    <w:basedOn w:val="Normal"/>
    <w:uiPriority w:val="99"/>
    <w:semiHidden/>
    <w:unhideWhenUsed/>
    <w:rsid w:val="00AB5002"/>
    <w:pPr>
      <w:numPr>
        <w:numId w:val="2"/>
      </w:numPr>
      <w:contextualSpacing/>
    </w:pPr>
  </w:style>
  <w:style w:type="paragraph" w:styleId="Header">
    <w:name w:val="header"/>
    <w:basedOn w:val="Normal"/>
    <w:link w:val="HeaderChar"/>
    <w:uiPriority w:val="99"/>
    <w:unhideWhenUsed/>
    <w:rsid w:val="00312F74"/>
    <w:pPr>
      <w:tabs>
        <w:tab w:val="center" w:pos="4536"/>
        <w:tab w:val="right" w:pos="9072"/>
      </w:tabs>
    </w:pPr>
  </w:style>
  <w:style w:type="character" w:customStyle="1" w:styleId="HeaderChar">
    <w:name w:val="Header Char"/>
    <w:basedOn w:val="DefaultParagraphFont"/>
    <w:link w:val="Header"/>
    <w:uiPriority w:val="99"/>
    <w:rsid w:val="00312F74"/>
    <w:rPr>
      <w:rFonts w:ascii="Source Sans Pro" w:eastAsia="Batang" w:hAnsi="Source Sans Pro" w:cs="Times New Roman"/>
      <w:sz w:val="24"/>
      <w:lang w:val="en-US" w:eastAsia="ko-KR"/>
    </w:rPr>
  </w:style>
  <w:style w:type="paragraph" w:styleId="Footer">
    <w:name w:val="footer"/>
    <w:basedOn w:val="Normal"/>
    <w:link w:val="FooterChar"/>
    <w:uiPriority w:val="99"/>
    <w:unhideWhenUsed/>
    <w:rsid w:val="00312F74"/>
    <w:pPr>
      <w:tabs>
        <w:tab w:val="center" w:pos="4536"/>
        <w:tab w:val="right" w:pos="9072"/>
      </w:tabs>
    </w:pPr>
  </w:style>
  <w:style w:type="character" w:customStyle="1" w:styleId="FooterChar">
    <w:name w:val="Footer Char"/>
    <w:basedOn w:val="DefaultParagraphFont"/>
    <w:link w:val="Footer"/>
    <w:uiPriority w:val="99"/>
    <w:rsid w:val="00312F74"/>
    <w:rPr>
      <w:rFonts w:ascii="Source Sans Pro" w:eastAsia="Batang" w:hAnsi="Source Sans Pro" w:cs="Times New Roman"/>
      <w:sz w:val="24"/>
      <w:lang w:val="en-US" w:eastAsia="ko-KR"/>
    </w:rPr>
  </w:style>
  <w:style w:type="character" w:customStyle="1" w:styleId="Heading4Char">
    <w:name w:val="Heading 4 Char"/>
    <w:basedOn w:val="DefaultParagraphFont"/>
    <w:link w:val="Heading4"/>
    <w:uiPriority w:val="9"/>
    <w:rsid w:val="002406C7"/>
    <w:rPr>
      <w:rFonts w:ascii="Source Sans Pro" w:eastAsiaTheme="majorEastAsia" w:hAnsi="Source Sans Pro" w:cstheme="majorBidi"/>
      <w:iCs/>
      <w:sz w:val="24"/>
      <w:lang w:val="en-US" w:eastAsia="ko-KR"/>
    </w:rPr>
  </w:style>
  <w:style w:type="table" w:styleId="TableGrid">
    <w:name w:val="Table Grid"/>
    <w:basedOn w:val="TableNormal"/>
    <w:uiPriority w:val="39"/>
    <w:rsid w:val="00240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2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1e736c5-95ad-4650-bf48-08c723b4bc6c">
      <Value>217</Value>
      <Value>376</Value>
      <Value>227</Value>
      <Value>740</Value>
      <Value>105</Value>
    </TaxCatchAll>
    <SharedWithUsers xmlns="f1e736c5-95ad-4650-bf48-08c723b4bc6c">
      <UserInfo>
        <DisplayName>Heinicke-Motsch, Karen</DisplayName>
        <AccountId>204</AccountId>
        <AccountType/>
      </UserInfo>
      <UserInfo>
        <DisplayName>Weber, Joerg</DisplayName>
        <AccountId>18</AccountId>
        <AccountType/>
      </UserInfo>
      <UserInfo>
        <DisplayName>Rule, Sarah</DisplayName>
        <AccountId>450</AccountId>
        <AccountType/>
      </UserInfo>
      <UserInfo>
        <DisplayName>Fengler, Susanne</DisplayName>
        <AccountId>47</AccountId>
        <AccountType/>
      </UserInfo>
      <UserInfo>
        <DisplayName>Meande-Baltussen, Marjolein</DisplayName>
        <AccountId>42</AccountId>
        <AccountType/>
      </UserInfo>
      <UserInfo>
        <DisplayName>Braun, Barbara</DisplayName>
        <AccountId>1121</AccountId>
        <AccountType/>
      </UserInfo>
    </SharedWithUsers>
    <i9f2da93fcc74e869d070fd34a0597c4 xmlns="f1e736c5-95ad-4650-bf48-08c723b4bc6c">
      <Terms xmlns="http://schemas.microsoft.com/office/infopath/2007/PartnerControls">
        <TermInfo xmlns="http://schemas.microsoft.com/office/infopath/2007/PartnerControls">
          <TermName xmlns="http://schemas.microsoft.com/office/infopath/2007/PartnerControls">Tool/Template</TermName>
          <TermId xmlns="http://schemas.microsoft.com/office/infopath/2007/PartnerControls">d85e95f7-257c-4456-a5f7-49f9a082e789</TermId>
        </TermInfo>
      </Terms>
    </i9f2da93fcc74e869d070fd34a0597c4>
    <NGOOnlineSortOrder xmlns="f1e736c5-95ad-4650-bf48-08c723b4bc6c" xsi:nil="true"/>
    <NGOOnlineShowInNewFromTemplate xmlns="f1e736c5-95ad-4650-bf48-08c723b4bc6c">true</NGOOnlineShowInNewFromTemplate>
    <p75d8c1866154d169f9787e2f8ad3758 xmlns="f1e736c5-95ad-4650-bf48-08c723b4bc6c">
      <Terms xmlns="http://schemas.microsoft.com/office/infopath/2007/PartnerControls"/>
    </p75d8c1866154d169f9787e2f8ad3758>
    <cc92bdb0fa944447acf309642a11bf0d xmlns="f1e736c5-95ad-4650-bf48-08c723b4bc6c">
      <Terms xmlns="http://schemas.microsoft.com/office/infopath/2007/PartnerControls">
        <TermInfo xmlns="http://schemas.microsoft.com/office/infopath/2007/PartnerControls">
          <TermName xmlns="http://schemas.microsoft.com/office/infopath/2007/PartnerControls">CBID</TermName>
          <TermId xmlns="http://schemas.microsoft.com/office/infopath/2007/PartnerControls">73a0cfbc-969e-4e61-a5f0-a7662b95bfce</TermId>
        </TermInfo>
        <TermInfo xmlns="http://schemas.microsoft.com/office/infopath/2007/PartnerControls">
          <TermName xmlns="http://schemas.microsoft.com/office/infopath/2007/PartnerControls">Project Visit</TermName>
          <TermId xmlns="http://schemas.microsoft.com/office/infopath/2007/PartnerControls">602770c3-bbdd-4bb6-b503-d07005748001</TermId>
        </TermInfo>
        <TermInfo xmlns="http://schemas.microsoft.com/office/infopath/2007/PartnerControls">
          <TermName xmlns="http://schemas.microsoft.com/office/infopath/2007/PartnerControls">Programmatic Monitoring and Reporting</TermName>
          <TermId xmlns="http://schemas.microsoft.com/office/infopath/2007/PartnerControls">38d641e3-9cb9-4d1d-8670-67d72ec5a190</TermId>
        </TermInfo>
        <TermInfo xmlns="http://schemas.microsoft.com/office/infopath/2007/PartnerControls">
          <TermName xmlns="http://schemas.microsoft.com/office/infopath/2007/PartnerControls">Technical assessment</TermName>
          <TermId xmlns="http://schemas.microsoft.com/office/infopath/2007/PartnerControls">05ccfbfa-5e5e-44ae-8da9-373412300578</TermId>
        </TermInfo>
      </Terms>
    </cc92bdb0fa944447acf309642a11bf0d>
    <NGOOnlineDocumentOwner xmlns="f1e736c5-95ad-4650-bf48-08c723b4bc6c">{"Id":100284,"Name":"Weber, Joerg","Guid":"00000000-0000-0000-0000-000000000000"}</NGOOnlineDocumentOwne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NGOOnlineGuidanceTemplate" ma:contentTypeID="0x010100B55474DA9735C494339AB5204D2F6D3600506F0C9B753D4042A676D3B4BD21ED3A" ma:contentTypeVersion="13" ma:contentTypeDescription="Create a new document." ma:contentTypeScope="" ma:versionID="2b51fdd5082b98ba9ffad6cc2f2813ec">
  <xsd:schema xmlns:xsd="http://www.w3.org/2001/XMLSchema" xmlns:xs="http://www.w3.org/2001/XMLSchema" xmlns:p="http://schemas.microsoft.com/office/2006/metadata/properties" xmlns:ns2="f1e736c5-95ad-4650-bf48-08c723b4bc6c" xmlns:ns3="34c2d733-5a3b-46b4-8675-8241d81f68c4" targetNamespace="http://schemas.microsoft.com/office/2006/metadata/properties" ma:root="true" ma:fieldsID="75ad193465087cc6e3fe263248d2f47a" ns2:_="" ns3:_="">
    <xsd:import namespace="f1e736c5-95ad-4650-bf48-08c723b4bc6c"/>
    <xsd:import namespace="34c2d733-5a3b-46b4-8675-8241d81f68c4"/>
    <xsd:element name="properties">
      <xsd:complexType>
        <xsd:sequence>
          <xsd:element name="documentManagement">
            <xsd:complexType>
              <xsd:all>
                <xsd:element ref="ns2:p75d8c1866154d169f9787e2f8ad3758" minOccurs="0"/>
                <xsd:element ref="ns2:TaxCatchAll" minOccurs="0"/>
                <xsd:element ref="ns2:TaxCatchAllLabel" minOccurs="0"/>
                <xsd:element ref="ns2:NGOOnlineSortOrder" minOccurs="0"/>
                <xsd:element ref="ns2:NGOOnlineDocumentOwner" minOccurs="0"/>
                <xsd:element ref="ns2:NGOOnlineShowInNewFromTemplate" minOccurs="0"/>
                <xsd:element ref="ns2:i9f2da93fcc74e869d070fd34a0597c4" minOccurs="0"/>
                <xsd:element ref="ns2:cc92bdb0fa944447acf309642a11bf0d" minOccurs="0"/>
                <xsd:element ref="ns3:MediaServiceMetadata" minOccurs="0"/>
                <xsd:element ref="ns3:MediaServiceFastMetadata" minOccurs="0"/>
                <xsd:element ref="ns3:MediaServiceObjectDetectorVersions" minOccurs="0"/>
                <xsd:element ref="ns3:MediaServiceSearchPropertie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p75d8c1866154d169f9787e2f8ad3758" ma:index="8" nillable="true" ma:taxonomy="true" ma:internalName="p75d8c1866154d169f9787e2f8ad3758" ma:taxonomyFieldName="NGOOnlinePriorityGroup" ma:displayName="Priority group" ma:fieldId="{975d8c18-6615-4d16-9f97-87e2f8ad3758}" ma:sspId="b69ac89d-c854-4607-917b-9d787df66d5f" ma:termSetId="09c409db-d561-4642-916b-a7fa4c28f958" ma:anchorId="00000000-0000-0000-0000-000000000000" ma:open="true" ma:isKeyword="false">
      <xsd:complexType>
        <xsd:sequence>
          <xsd:element ref="pc:Terms" minOccurs="0" maxOccurs="1"/>
        </xsd:sequence>
      </xsd:complexType>
    </xsd:element>
    <xsd:element name="TaxCatchAll" ma:index="9"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NGOOnlineSortOrder" ma:index="12" nillable="true" ma:displayName="Sort order" ma:hidden="true" ma:internalName="NGOOnlineSortOrder">
      <xsd:simpleType>
        <xsd:restriction base="dms:Number"/>
      </xsd:simpleType>
    </xsd:element>
    <xsd:element name="NGOOnlineDocumentOwner" ma:index="13" nillable="true" ma:displayName="Owner" ma:description="" ma:hidden="true" ma:internalName="NGOOnlineDocumentOwner">
      <xsd:simpleType>
        <xsd:restriction base="dms:Text"/>
      </xsd:simpleType>
    </xsd:element>
    <xsd:element name="NGOOnlineShowInNewFromTemplate" ma:index="14" nillable="true" ma:displayName="Show as template" ma:hidden="true" ma:internalName="NGOOnlineShowInNewFromTemplate">
      <xsd:simpleType>
        <xsd:restriction base="dms:Boolean"/>
      </xsd:simpleType>
    </xsd:element>
    <xsd:element name="i9f2da93fcc74e869d070fd34a0597c4" ma:index="15"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cc92bdb0fa944447acf309642a11bf0d" ma:index="17"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c2d733-5a3b-46b4-8675-8241d81f68c4" elementFormDefault="qualified">
    <xsd:import namespace="http://schemas.microsoft.com/office/2006/documentManagement/types"/>
    <xsd:import namespace="http://schemas.microsoft.com/office/infopath/2007/PartnerControls"/>
    <xsd:element name="MediaServiceMetadata" ma:index="19" nillable="true" ma:displayName="MediaServiceMetadata" ma:hidden="true" ma:internalName="MediaServiceMetadata" ma:readOnly="true">
      <xsd:simpleType>
        <xsd:restriction base="dms:Note"/>
      </xsd:simpleType>
    </xsd:element>
    <xsd:element name="MediaServiceFastMetadata" ma:index="20" nillable="true" ma:displayName="MediaServiceFastMetadata" ma:hidden="true" ma:internalName="MediaServiceFastMetadata"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E3A077-F491-4285-AB97-A703969810E7}">
  <ds:schemaRefs>
    <ds:schemaRef ds:uri="http://schemas.microsoft.com/office/2006/metadata/properties"/>
    <ds:schemaRef ds:uri="http://schemas.microsoft.com/office/infopath/2007/PartnerControls"/>
    <ds:schemaRef ds:uri="http://schemas.microsoft.com/sharepoint/v3"/>
    <ds:schemaRef ds:uri="54f1cc58-934b-4382-96f3-312af0a7c1a9"/>
    <ds:schemaRef ds:uri="e9bb3495-6a27-470c-b155-034a6a307984"/>
  </ds:schemaRefs>
</ds:datastoreItem>
</file>

<file path=customXml/itemProps2.xml><?xml version="1.0" encoding="utf-8"?>
<ds:datastoreItem xmlns:ds="http://schemas.openxmlformats.org/officeDocument/2006/customXml" ds:itemID="{18A4FD33-EF63-476B-AD8B-FFC3C3525BA2}">
  <ds:schemaRefs>
    <ds:schemaRef ds:uri="http://schemas.microsoft.com/sharepoint/v3/contenttype/forms"/>
  </ds:schemaRefs>
</ds:datastoreItem>
</file>

<file path=customXml/itemProps3.xml><?xml version="1.0" encoding="utf-8"?>
<ds:datastoreItem xmlns:ds="http://schemas.openxmlformats.org/officeDocument/2006/customXml" ds:itemID="{B0B69812-4238-49C4-B34E-F96005C3175B}"/>
</file>

<file path=docProps/app.xml><?xml version="1.0" encoding="utf-8"?>
<Properties xmlns="http://schemas.openxmlformats.org/officeDocument/2006/extended-properties" xmlns:vt="http://schemas.openxmlformats.org/officeDocument/2006/docPropsVTypes">
  <Template>Normal.dotm</Template>
  <TotalTime>31</TotalTime>
  <Pages>5</Pages>
  <Words>1020</Words>
  <Characters>5819</Characters>
  <Application>Microsoft Office Word</Application>
  <DocSecurity>0</DocSecurity>
  <Lines>48</Lines>
  <Paragraphs>13</Paragraphs>
  <ScaleCrop>false</ScaleCrop>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Fengler, Susanne</dc:creator>
  <cp:keywords/>
  <dc:description/>
  <cp:lastModifiedBy>Pariot, Luc</cp:lastModifiedBy>
  <cp:revision>33</cp:revision>
  <cp:lastPrinted>2024-10-30T13:18:00Z</cp:lastPrinted>
  <dcterms:created xsi:type="dcterms:W3CDTF">2022-09-15T04:38:00Z</dcterms:created>
  <dcterms:modified xsi:type="dcterms:W3CDTF">2024-11-01T21:50:00Z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0x010100B55474DA9735C494339AB5204D2F6D3600506F0C9B753D4042A676D3B4BD21ED3A</vt:lpwstr>
  </property>
  <property fmtid="{D5CDD505-2E9C-101B-9397-08002B2CF9AE}" pid="3" name="MediaServiceImageTags">
    <vt:lpwstr/>
  </property>
  <property fmtid="{D5CDD505-2E9C-101B-9397-08002B2CF9AE}" pid="4" name="GrammarlyDocumentId">
    <vt:lpwstr>d474bc79eae451dc343484d03532b2592f108fbfe537e4df5696342af0e6fdc4</vt:lpwstr>
  </property>
  <property fmtid="{D5CDD505-2E9C-101B-9397-08002B2CF9AE}" pid="5" name="NGOOnlineKeywords">
    <vt:lpwstr>376;#CBID|73a0cfbc-969e-4e61-a5f0-a7662b95bfce;#227;#Project Visit|602770c3-bbdd-4bb6-b503-d07005748001;#217;#Programmatic Monitoring and Reporting|38d641e3-9cb9-4d1d-8670-67d72ec5a190;#740;#Technical assessment|05ccfbfa-5e5e-44ae-8da9-373412300578</vt:lpwstr>
  </property>
  <property fmtid="{D5CDD505-2E9C-101B-9397-08002B2CF9AE}" pid="6" name="NGOOnlineDocumentType">
    <vt:lpwstr>105;#Tool/Template|d85e95f7-257c-4456-a5f7-49f9a082e789</vt:lpwstr>
  </property>
  <property fmtid="{D5CDD505-2E9C-101B-9397-08002B2CF9AE}" pid="7" name="NGOOnlinePriorityGroup">
    <vt:lpwstr/>
  </property>
</Properties>
</file>