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E9F65" w14:textId="77777777" w:rsidR="00E94D4D" w:rsidRPr="00E94D4D" w:rsidRDefault="00A83BCE">
      <w:pPr>
        <w:rPr>
          <w:rFonts w:ascii="Source Sans Pro" w:hAnsi="Source Sans Pro"/>
          <w:b/>
          <w:bCs/>
          <w:sz w:val="24"/>
          <w:szCs w:val="24"/>
        </w:rPr>
      </w:pPr>
      <w:r w:rsidRPr="00E94D4D">
        <w:rPr>
          <w:rFonts w:ascii="Source Sans Pro" w:hAnsi="Source Sans Pro"/>
          <w:b/>
          <w:bCs/>
          <w:sz w:val="24"/>
          <w:szCs w:val="24"/>
        </w:rPr>
        <w:t xml:space="preserve">Checklist for Quality </w:t>
      </w:r>
      <w:r w:rsidR="00362816" w:rsidRPr="00E94D4D">
        <w:rPr>
          <w:rFonts w:ascii="Source Sans Pro" w:hAnsi="Source Sans Pro"/>
          <w:b/>
          <w:bCs/>
          <w:sz w:val="24"/>
          <w:szCs w:val="24"/>
        </w:rPr>
        <w:t xml:space="preserve">of </w:t>
      </w:r>
      <w:r w:rsidR="00E94D4D" w:rsidRPr="00E94D4D">
        <w:rPr>
          <w:rFonts w:ascii="Source Sans Pro" w:hAnsi="Source Sans Pro"/>
          <w:b/>
          <w:bCs/>
          <w:sz w:val="24"/>
          <w:szCs w:val="24"/>
        </w:rPr>
        <w:t>Logframe and Tracker Data</w:t>
      </w:r>
    </w:p>
    <w:p w14:paraId="4B137C11" w14:textId="2EF96A58" w:rsidR="003B13C0" w:rsidRPr="00024E06" w:rsidRDefault="003B13C0">
      <w:pPr>
        <w:rPr>
          <w:rFonts w:ascii="Source Sans Pro" w:hAnsi="Source Sans Pro"/>
          <w:b/>
          <w:bCs/>
        </w:rPr>
      </w:pPr>
      <w:r w:rsidRPr="00024E06">
        <w:rPr>
          <w:rFonts w:ascii="Source Sans Pro" w:hAnsi="Source Sans Pro"/>
          <w:b/>
          <w:bCs/>
        </w:rPr>
        <w:t>General Considerations</w:t>
      </w:r>
      <w:r w:rsidR="00B70233">
        <w:rPr>
          <w:rFonts w:ascii="Source Sans Pro" w:hAnsi="Source Sans Pro"/>
          <w:b/>
          <w:bCs/>
        </w:rPr>
        <w:t xml:space="preserve"> for the logframe</w:t>
      </w:r>
      <w:r w:rsidRPr="00024E06">
        <w:rPr>
          <w:rFonts w:ascii="Source Sans Pro" w:hAnsi="Source Sans Pro"/>
          <w:b/>
          <w:bCs/>
        </w:rPr>
        <w:t>:</w:t>
      </w:r>
    </w:p>
    <w:p w14:paraId="3B5A877F" w14:textId="2E3C99C5" w:rsidR="005D157D" w:rsidRPr="005D157D" w:rsidRDefault="005D157D" w:rsidP="005D157D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>
        <w:rPr>
          <w:rFonts w:ascii="Source Sans Pro" w:hAnsi="Source Sans Pro"/>
          <w:b/>
          <w:bCs/>
        </w:rPr>
        <w:t xml:space="preserve">Develop and agree the logframe within the 3-way-working method: </w:t>
      </w:r>
      <w:r w:rsidRPr="005D157D">
        <w:rPr>
          <w:rFonts w:ascii="Source Sans Pro" w:hAnsi="Source Sans Pro"/>
        </w:rPr>
        <w:t>Country Office, Fund Ra</w:t>
      </w:r>
      <w:r w:rsidR="00A06A1C">
        <w:rPr>
          <w:rFonts w:ascii="Source Sans Pro" w:hAnsi="Source Sans Pro"/>
        </w:rPr>
        <w:t>i</w:t>
      </w:r>
      <w:r w:rsidRPr="005D157D">
        <w:rPr>
          <w:rFonts w:ascii="Source Sans Pro" w:hAnsi="Source Sans Pro"/>
        </w:rPr>
        <w:t>s</w:t>
      </w:r>
      <w:r w:rsidR="00A06A1C">
        <w:rPr>
          <w:rFonts w:ascii="Source Sans Pro" w:hAnsi="Source Sans Pro"/>
        </w:rPr>
        <w:t>i</w:t>
      </w:r>
      <w:r w:rsidRPr="005D157D">
        <w:rPr>
          <w:rFonts w:ascii="Source Sans Pro" w:hAnsi="Source Sans Pro"/>
        </w:rPr>
        <w:t>ng, Initiative</w:t>
      </w:r>
      <w:r w:rsidR="00A06A1C">
        <w:rPr>
          <w:rFonts w:ascii="Source Sans Pro" w:hAnsi="Source Sans Pro"/>
        </w:rPr>
        <w:t>s</w:t>
      </w:r>
      <w:r w:rsidRPr="005D157D">
        <w:rPr>
          <w:rFonts w:ascii="Source Sans Pro" w:hAnsi="Source Sans Pro"/>
        </w:rPr>
        <w:t xml:space="preserve">. </w:t>
      </w:r>
    </w:p>
    <w:p w14:paraId="6DBCAE97" w14:textId="77777777" w:rsidR="00A06A1C" w:rsidRDefault="00531088" w:rsidP="003B13C0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There must be an </w:t>
      </w:r>
      <w:r w:rsidRPr="00531088">
        <w:rPr>
          <w:rFonts w:ascii="Source Sans Pro" w:hAnsi="Source Sans Pro"/>
          <w:b/>
          <w:bCs/>
        </w:rPr>
        <w:t>approved Logframe in ProMIS</w:t>
      </w:r>
      <w:r>
        <w:rPr>
          <w:rFonts w:ascii="Source Sans Pro" w:hAnsi="Source Sans Pro"/>
        </w:rPr>
        <w:t xml:space="preserve">, which has the adequate and must-have CBM Standard Indicators. </w:t>
      </w:r>
    </w:p>
    <w:p w14:paraId="264E3FC8" w14:textId="74ABB6CD" w:rsidR="00531088" w:rsidRDefault="00531088" w:rsidP="003B13C0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Only those IND that are in the Logframe will appear in the Tracker. </w:t>
      </w:r>
      <w:r w:rsidR="00A06A1C">
        <w:rPr>
          <w:rFonts w:ascii="Source Sans Pro" w:hAnsi="Source Sans Pro"/>
        </w:rPr>
        <w:t xml:space="preserve">Only if Standard IND are used, CBM can collect this data for its Report of Activities. </w:t>
      </w:r>
    </w:p>
    <w:p w14:paraId="738BDDD1" w14:textId="6A91D905" w:rsidR="00A06A1C" w:rsidRPr="00A06A1C" w:rsidRDefault="00A06A1C" w:rsidP="00A06A1C">
      <w:pPr>
        <w:rPr>
          <w:rFonts w:ascii="Source Sans Pro" w:hAnsi="Source Sans Pro"/>
          <w:b/>
          <w:bCs/>
        </w:rPr>
      </w:pPr>
      <w:r w:rsidRPr="00A06A1C">
        <w:rPr>
          <w:rFonts w:ascii="Source Sans Pro" w:hAnsi="Source Sans Pro"/>
          <w:b/>
          <w:bCs/>
        </w:rPr>
        <w:t>Detailed Check of the Logframe:</w:t>
      </w:r>
    </w:p>
    <w:p w14:paraId="2376958A" w14:textId="30131708" w:rsidR="00A06A1C" w:rsidRDefault="00A06A1C" w:rsidP="00A06A1C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When using one Indicator several times, a</w:t>
      </w:r>
      <w:r w:rsidR="00B70233">
        <w:rPr>
          <w:rFonts w:ascii="Source Sans Pro" w:hAnsi="Source Sans Pro"/>
        </w:rPr>
        <w:t>void the risk of double counting</w:t>
      </w:r>
      <w:r>
        <w:rPr>
          <w:rFonts w:ascii="Source Sans Pro" w:hAnsi="Source Sans Pro"/>
        </w:rPr>
        <w:t xml:space="preserve">. </w:t>
      </w:r>
      <w:r>
        <w:rPr>
          <w:rFonts w:ascii="Source Sans Pro" w:hAnsi="Source Sans Pro"/>
        </w:rPr>
        <w:t xml:space="preserve">Do not use one Indicator in the specific objective and again in the output. </w:t>
      </w:r>
    </w:p>
    <w:p w14:paraId="676A2B48" w14:textId="4C44D3F3" w:rsidR="00B70233" w:rsidRDefault="00A06A1C" w:rsidP="00A06A1C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</w:t>
      </w:r>
      <w:r w:rsidR="00B70233">
        <w:rPr>
          <w:rFonts w:ascii="Source Sans Pro" w:hAnsi="Source Sans Pro"/>
        </w:rPr>
        <w:t>nsure the correct association of IND</w:t>
      </w:r>
      <w:r>
        <w:rPr>
          <w:rFonts w:ascii="Source Sans Pro" w:hAnsi="Source Sans Pro"/>
        </w:rPr>
        <w:t xml:space="preserve"> - the measurement unit must be the same in the custom and in the associated IND</w:t>
      </w:r>
      <w:r w:rsidR="00B70233">
        <w:rPr>
          <w:rFonts w:ascii="Source Sans Pro" w:hAnsi="Source Sans Pro"/>
        </w:rPr>
        <w:t xml:space="preserve">. </w:t>
      </w:r>
    </w:p>
    <w:p w14:paraId="096E6852" w14:textId="667330D2" w:rsidR="00E94D4D" w:rsidRDefault="00E94D4D" w:rsidP="00A06A1C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Limit the number of IND as much as possible – enhance efficiency of data reporting. </w:t>
      </w:r>
    </w:p>
    <w:p w14:paraId="5FD324C8" w14:textId="60B0C10D" w:rsidR="00531088" w:rsidRPr="00024E06" w:rsidRDefault="00531088" w:rsidP="00531088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531088">
        <w:rPr>
          <w:rFonts w:ascii="Source Sans Pro" w:hAnsi="Source Sans Pro"/>
          <w:b/>
          <w:bCs/>
        </w:rPr>
        <w:t>Target values per year</w:t>
      </w:r>
      <w:r>
        <w:rPr>
          <w:rFonts w:ascii="Source Sans Pro" w:hAnsi="Source Sans Pro"/>
        </w:rPr>
        <w:t xml:space="preserve"> must be included in the Logframe. This is crucial for our Annual Report of Activities and “Forward Reporting” for the coming year</w:t>
      </w:r>
      <w:r w:rsidR="00E94D4D">
        <w:rPr>
          <w:rFonts w:ascii="Source Sans Pro" w:hAnsi="Source Sans Pro"/>
        </w:rPr>
        <w:t>s</w:t>
      </w:r>
      <w:r>
        <w:rPr>
          <w:rFonts w:ascii="Source Sans Pro" w:hAnsi="Source Sans Pro"/>
        </w:rPr>
        <w:t xml:space="preserve">. </w:t>
      </w:r>
      <w:r w:rsidR="00B70233">
        <w:rPr>
          <w:rFonts w:ascii="Source Sans Pro" w:hAnsi="Source Sans Pro"/>
        </w:rPr>
        <w:t xml:space="preserve">Progress can only be monitored by comparing actuals with targets. </w:t>
      </w:r>
    </w:p>
    <w:p w14:paraId="2A437B2A" w14:textId="424B0EEF" w:rsidR="003B13C0" w:rsidRPr="00A06A1C" w:rsidRDefault="003B13C0" w:rsidP="00A06A1C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024E06">
        <w:rPr>
          <w:rFonts w:ascii="Source Sans Pro" w:hAnsi="Source Sans Pro"/>
        </w:rPr>
        <w:t xml:space="preserve">Baseline, </w:t>
      </w:r>
      <w:r w:rsidR="00024E06" w:rsidRPr="00024E06">
        <w:rPr>
          <w:rFonts w:ascii="Source Sans Pro" w:hAnsi="Source Sans Pro"/>
        </w:rPr>
        <w:t>target,</w:t>
      </w:r>
      <w:r w:rsidRPr="00024E06">
        <w:rPr>
          <w:rFonts w:ascii="Source Sans Pro" w:hAnsi="Source Sans Pro"/>
        </w:rPr>
        <w:t xml:space="preserve"> and all actual values are reported for all activities and results that are </w:t>
      </w:r>
      <w:r w:rsidRPr="00024E06">
        <w:rPr>
          <w:rFonts w:ascii="Source Sans Pro" w:hAnsi="Source Sans Pro"/>
          <w:b/>
          <w:bCs/>
        </w:rPr>
        <w:t>within the scope of CBM's project contract.</w:t>
      </w:r>
      <w:r w:rsidR="00D22958">
        <w:rPr>
          <w:rFonts w:ascii="Source Sans Pro" w:hAnsi="Source Sans Pro"/>
          <w:b/>
          <w:bCs/>
        </w:rPr>
        <w:t xml:space="preserve"> </w:t>
      </w:r>
    </w:p>
    <w:p w14:paraId="207D28B3" w14:textId="448E0F88" w:rsidR="00A06A1C" w:rsidRPr="00A06A1C" w:rsidRDefault="00A06A1C" w:rsidP="00A06A1C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A06A1C">
        <w:rPr>
          <w:rFonts w:ascii="Source Sans Pro" w:hAnsi="Source Sans Pro"/>
        </w:rPr>
        <w:t>Ensure you set the correct reporting frequency for custom IND. For all IND besides NTD, the semi-annual reporting applies, for all NTD Indicators, the annual reporting applies.</w:t>
      </w:r>
    </w:p>
    <w:p w14:paraId="2246F45A" w14:textId="6002E51E" w:rsidR="003B13C0" w:rsidRPr="00024E06" w:rsidRDefault="003B13C0" w:rsidP="003B13C0">
      <w:pPr>
        <w:rPr>
          <w:rFonts w:ascii="Source Sans Pro" w:hAnsi="Source Sans Pro"/>
          <w:b/>
          <w:bCs/>
        </w:rPr>
      </w:pPr>
      <w:r w:rsidRPr="00024E06">
        <w:rPr>
          <w:rFonts w:ascii="Source Sans Pro" w:hAnsi="Source Sans Pro"/>
          <w:b/>
          <w:bCs/>
        </w:rPr>
        <w:t>Detailed Checks</w:t>
      </w:r>
      <w:r w:rsidR="00531088">
        <w:rPr>
          <w:rFonts w:ascii="Source Sans Pro" w:hAnsi="Source Sans Pro"/>
          <w:b/>
          <w:bCs/>
        </w:rPr>
        <w:t xml:space="preserve"> of the Indicator Tracker</w:t>
      </w:r>
      <w:r w:rsidRPr="00024E06">
        <w:rPr>
          <w:rFonts w:ascii="Source Sans Pro" w:hAnsi="Source Sans Pro"/>
          <w:b/>
          <w:bCs/>
        </w:rPr>
        <w:t>:</w:t>
      </w:r>
    </w:p>
    <w:p w14:paraId="64BC3A9F" w14:textId="4BC3C450" w:rsidR="00E94D4D" w:rsidRDefault="00E94D4D" w:rsidP="00A83BCE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Confirm that data have been provided </w:t>
      </w:r>
      <w:r w:rsidR="00C27A4B">
        <w:rPr>
          <w:rFonts w:ascii="Source Sans Pro" w:hAnsi="Source Sans Pro"/>
        </w:rPr>
        <w:t xml:space="preserve">for the correct project and </w:t>
      </w:r>
      <w:r>
        <w:rPr>
          <w:rFonts w:ascii="Source Sans Pro" w:hAnsi="Source Sans Pro"/>
        </w:rPr>
        <w:t>in the correct reporting period.</w:t>
      </w:r>
    </w:p>
    <w:p w14:paraId="5783E799" w14:textId="77777777" w:rsidR="00E94D4D" w:rsidRDefault="00E94D4D" w:rsidP="00A83BCE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Confirm that the data is complete:</w:t>
      </w:r>
    </w:p>
    <w:p w14:paraId="47D2B7BA" w14:textId="79DF2FB0" w:rsidR="00A06A1C" w:rsidRDefault="00E94D4D" w:rsidP="00E94D4D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Gender and age disaggregated data needs to be inserted for almost </w:t>
      </w:r>
      <w:r w:rsidR="00C27A4B">
        <w:rPr>
          <w:rFonts w:ascii="Source Sans Pro" w:hAnsi="Source Sans Pro"/>
        </w:rPr>
        <w:t>all</w:t>
      </w:r>
      <w:r>
        <w:rPr>
          <w:rFonts w:ascii="Source Sans Pro" w:hAnsi="Source Sans Pro"/>
        </w:rPr>
        <w:t xml:space="preserve"> IND. </w:t>
      </w:r>
    </w:p>
    <w:p w14:paraId="70A9D55F" w14:textId="023559F8" w:rsidR="00E94D4D" w:rsidRDefault="00A06A1C" w:rsidP="00E94D4D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T</w:t>
      </w:r>
      <w:r w:rsidR="00E94D4D">
        <w:rPr>
          <w:rFonts w:ascii="Source Sans Pro" w:hAnsi="Source Sans Pro"/>
        </w:rPr>
        <w:t xml:space="preserve">ake care of the third gender/other category – this can only be reported in a few countries. </w:t>
      </w:r>
    </w:p>
    <w:p w14:paraId="154D3CB7" w14:textId="3FCCAE4C" w:rsidR="00E94D4D" w:rsidRPr="00E94D4D" w:rsidRDefault="00C27A4B" w:rsidP="00E94D4D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Ensure that the number of</w:t>
      </w:r>
      <w:r w:rsidR="00E94D4D" w:rsidRPr="00E94D4D">
        <w:rPr>
          <w:rFonts w:ascii="Source Sans Pro" w:hAnsi="Source Sans Pro"/>
        </w:rPr>
        <w:t xml:space="preserve"> “</w:t>
      </w:r>
      <w:r>
        <w:rPr>
          <w:rFonts w:ascii="Source Sans Pro" w:hAnsi="Source Sans Pro"/>
        </w:rPr>
        <w:t>p</w:t>
      </w:r>
      <w:r w:rsidR="00E94D4D" w:rsidRPr="00E94D4D">
        <w:rPr>
          <w:rFonts w:ascii="Source Sans Pro" w:hAnsi="Source Sans Pro"/>
        </w:rPr>
        <w:t xml:space="preserve">ersons with and without disabilities” </w:t>
      </w:r>
      <w:r>
        <w:rPr>
          <w:rFonts w:ascii="Source Sans Pro" w:hAnsi="Source Sans Pro"/>
        </w:rPr>
        <w:t>is equal or higher than the number of</w:t>
      </w:r>
      <w:r w:rsidR="00E94D4D" w:rsidRPr="00E94D4D">
        <w:rPr>
          <w:rFonts w:ascii="Source Sans Pro" w:hAnsi="Source Sans Pro"/>
        </w:rPr>
        <w:t xml:space="preserve"> “persons with disabilities”. </w:t>
      </w:r>
    </w:p>
    <w:p w14:paraId="7D97B224" w14:textId="05D511C8" w:rsidR="005F6EE5" w:rsidRDefault="005F6EE5" w:rsidP="00E94D4D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 w:rsidRPr="00024E06">
        <w:rPr>
          <w:rFonts w:ascii="Source Sans Pro" w:hAnsi="Source Sans Pro"/>
        </w:rPr>
        <w:t xml:space="preserve">For IEH it will </w:t>
      </w:r>
      <w:r w:rsidR="003B13C0" w:rsidRPr="00024E06">
        <w:rPr>
          <w:rFonts w:ascii="Source Sans Pro" w:hAnsi="Source Sans Pro"/>
        </w:rPr>
        <w:t xml:space="preserve">mostly </w:t>
      </w:r>
      <w:r w:rsidRPr="00024E06">
        <w:rPr>
          <w:rFonts w:ascii="Source Sans Pro" w:hAnsi="Source Sans Pro"/>
        </w:rPr>
        <w:t>only be possible to provide numbers for persons with disabilit</w:t>
      </w:r>
      <w:r w:rsidR="00C27A4B">
        <w:rPr>
          <w:rFonts w:ascii="Source Sans Pro" w:hAnsi="Source Sans Pro"/>
        </w:rPr>
        <w:t>ies</w:t>
      </w:r>
      <w:r w:rsidRPr="00024E06">
        <w:rPr>
          <w:rFonts w:ascii="Source Sans Pro" w:hAnsi="Source Sans Pro"/>
        </w:rPr>
        <w:t xml:space="preserve"> </w:t>
      </w:r>
      <w:r w:rsidR="00E94D4D">
        <w:rPr>
          <w:rFonts w:ascii="Source Sans Pro" w:hAnsi="Source Sans Pro"/>
        </w:rPr>
        <w:t>for</w:t>
      </w:r>
      <w:r w:rsidRPr="00024E06">
        <w:rPr>
          <w:rFonts w:ascii="Source Sans Pro" w:hAnsi="Source Sans Pro"/>
        </w:rPr>
        <w:t xml:space="preserve"> </w:t>
      </w:r>
      <w:r w:rsidR="00E94D4D">
        <w:rPr>
          <w:rFonts w:ascii="Source Sans Pro" w:hAnsi="Source Sans Pro"/>
        </w:rPr>
        <w:t>IND1000 “</w:t>
      </w:r>
      <w:r w:rsidRPr="00024E06">
        <w:rPr>
          <w:rFonts w:ascii="Source Sans Pro" w:hAnsi="Source Sans Pro"/>
        </w:rPr>
        <w:t>Total Number of persons reached in IEH</w:t>
      </w:r>
      <w:r w:rsidR="00E94D4D">
        <w:rPr>
          <w:rFonts w:ascii="Source Sans Pro" w:hAnsi="Source Sans Pro"/>
        </w:rPr>
        <w:t>”</w:t>
      </w:r>
      <w:r w:rsidRPr="00024E06">
        <w:rPr>
          <w:rFonts w:ascii="Source Sans Pro" w:hAnsi="Source Sans Pro"/>
        </w:rPr>
        <w:t xml:space="preserve">. </w:t>
      </w:r>
    </w:p>
    <w:p w14:paraId="5F0329C2" w14:textId="0244C380" w:rsidR="00C27A4B" w:rsidRPr="00024E06" w:rsidRDefault="00C27A4B" w:rsidP="00E94D4D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Ensure that in case nothing can be reported in the respective period, partners insert a “0”.</w:t>
      </w:r>
    </w:p>
    <w:p w14:paraId="782B8A99" w14:textId="14CDAA78" w:rsidR="003B13C0" w:rsidRDefault="00E94D4D" w:rsidP="00A83BCE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E</w:t>
      </w:r>
      <w:r w:rsidR="003B13C0" w:rsidRPr="00024E06">
        <w:rPr>
          <w:rFonts w:ascii="Source Sans Pro" w:hAnsi="Source Sans Pro"/>
        </w:rPr>
        <w:t xml:space="preserve">nsure that </w:t>
      </w:r>
      <w:r>
        <w:rPr>
          <w:rFonts w:ascii="Source Sans Pro" w:hAnsi="Source Sans Pro"/>
        </w:rPr>
        <w:t>comments</w:t>
      </w:r>
      <w:r w:rsidR="003B13C0" w:rsidRPr="00024E06">
        <w:rPr>
          <w:rFonts w:ascii="Source Sans Pro" w:hAnsi="Source Sans Pro"/>
        </w:rPr>
        <w:t xml:space="preserve"> are given as needed and that they make sense</w:t>
      </w:r>
      <w:r>
        <w:rPr>
          <w:rFonts w:ascii="Source Sans Pro" w:hAnsi="Source Sans Pro"/>
        </w:rPr>
        <w:t>:</w:t>
      </w:r>
    </w:p>
    <w:p w14:paraId="7C02E35C" w14:textId="20B364BE" w:rsidR="00E94D4D" w:rsidRDefault="00A75515" w:rsidP="00A75515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An explanation is expected if a value of zero “0” is inserted</w:t>
      </w:r>
      <w:r w:rsidR="00C27A4B">
        <w:rPr>
          <w:rFonts w:ascii="Source Sans Pro" w:hAnsi="Source Sans Pro"/>
        </w:rPr>
        <w:t xml:space="preserve"> although there is a target value</w:t>
      </w:r>
      <w:r w:rsidR="00E94D4D">
        <w:rPr>
          <w:rFonts w:ascii="Source Sans Pro" w:hAnsi="Source Sans Pro"/>
        </w:rPr>
        <w:t>.</w:t>
      </w:r>
    </w:p>
    <w:p w14:paraId="1C542E35" w14:textId="1D2C81A0" w:rsidR="00A75515" w:rsidRPr="00A75515" w:rsidRDefault="00E94D4D" w:rsidP="00A75515">
      <w:pPr>
        <w:pStyle w:val="ListParagraph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A comment is needed if the agreed target value is over- or underreported. </w:t>
      </w:r>
    </w:p>
    <w:sectPr w:rsidR="00A75515" w:rsidRPr="00A75515" w:rsidSect="00024E06">
      <w:headerReference w:type="default" r:id="rId10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5AEEE" w14:textId="77777777" w:rsidR="00362816" w:rsidRDefault="00362816" w:rsidP="00362816">
      <w:pPr>
        <w:spacing w:after="0" w:line="240" w:lineRule="auto"/>
      </w:pPr>
      <w:r>
        <w:separator/>
      </w:r>
    </w:p>
  </w:endnote>
  <w:endnote w:type="continuationSeparator" w:id="0">
    <w:p w14:paraId="3BE1565E" w14:textId="77777777" w:rsidR="00362816" w:rsidRDefault="00362816" w:rsidP="00362816">
      <w:pPr>
        <w:spacing w:after="0" w:line="240" w:lineRule="auto"/>
      </w:pPr>
      <w:r>
        <w:continuationSeparator/>
      </w:r>
    </w:p>
  </w:endnote>
  <w:endnote w:type="continuationNotice" w:id="1">
    <w:p w14:paraId="7BE06B99" w14:textId="77777777" w:rsidR="00156598" w:rsidRDefault="001565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Cascadia Code ExtraLight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FCD35" w14:textId="77777777" w:rsidR="00362816" w:rsidRDefault="00362816" w:rsidP="00362816">
      <w:pPr>
        <w:spacing w:after="0" w:line="240" w:lineRule="auto"/>
      </w:pPr>
      <w:r>
        <w:separator/>
      </w:r>
    </w:p>
  </w:footnote>
  <w:footnote w:type="continuationSeparator" w:id="0">
    <w:p w14:paraId="528C6636" w14:textId="77777777" w:rsidR="00362816" w:rsidRDefault="00362816" w:rsidP="00362816">
      <w:pPr>
        <w:spacing w:after="0" w:line="240" w:lineRule="auto"/>
      </w:pPr>
      <w:r>
        <w:continuationSeparator/>
      </w:r>
    </w:p>
  </w:footnote>
  <w:footnote w:type="continuationNotice" w:id="1">
    <w:p w14:paraId="1EF01E58" w14:textId="77777777" w:rsidR="00156598" w:rsidRDefault="001565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3705B" w14:textId="478219B2" w:rsidR="00362816" w:rsidRDefault="00362816" w:rsidP="00362816">
    <w:pPr>
      <w:pStyle w:val="Header"/>
      <w:jc w:val="right"/>
    </w:pPr>
    <w:r>
      <w:rPr>
        <w:noProof/>
      </w:rPr>
      <w:drawing>
        <wp:inline distT="0" distB="0" distL="0" distR="0" wp14:anchorId="65208A7E" wp14:editId="5627AC46">
          <wp:extent cx="1021080" cy="727630"/>
          <wp:effectExtent l="0" t="0" r="7620" b="0"/>
          <wp:docPr id="1794346893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4346893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2729" cy="7359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0495"/>
    <w:multiLevelType w:val="hybridMultilevel"/>
    <w:tmpl w:val="C980E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56F9"/>
    <w:multiLevelType w:val="hybridMultilevel"/>
    <w:tmpl w:val="B9D81C2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506D0"/>
    <w:multiLevelType w:val="hybridMultilevel"/>
    <w:tmpl w:val="B9D81C2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414"/>
    <w:multiLevelType w:val="hybridMultilevel"/>
    <w:tmpl w:val="D4881D80"/>
    <w:lvl w:ilvl="0" w:tplc="E84076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94321"/>
    <w:multiLevelType w:val="hybridMultilevel"/>
    <w:tmpl w:val="B98CC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56382">
    <w:abstractNumId w:val="4"/>
  </w:num>
  <w:num w:numId="2" w16cid:durableId="1355838905">
    <w:abstractNumId w:val="0"/>
  </w:num>
  <w:num w:numId="3" w16cid:durableId="1902590408">
    <w:abstractNumId w:val="3"/>
  </w:num>
  <w:num w:numId="4" w16cid:durableId="1513491328">
    <w:abstractNumId w:val="1"/>
  </w:num>
  <w:num w:numId="5" w16cid:durableId="138574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CE"/>
    <w:rsid w:val="00024E06"/>
    <w:rsid w:val="000D264E"/>
    <w:rsid w:val="00156598"/>
    <w:rsid w:val="0026163B"/>
    <w:rsid w:val="00362816"/>
    <w:rsid w:val="003B13C0"/>
    <w:rsid w:val="00531088"/>
    <w:rsid w:val="005945BD"/>
    <w:rsid w:val="005D157D"/>
    <w:rsid w:val="005F6EE5"/>
    <w:rsid w:val="006D1097"/>
    <w:rsid w:val="00741AA3"/>
    <w:rsid w:val="008043CA"/>
    <w:rsid w:val="00813B54"/>
    <w:rsid w:val="00A06A1C"/>
    <w:rsid w:val="00A3722F"/>
    <w:rsid w:val="00A5261E"/>
    <w:rsid w:val="00A75515"/>
    <w:rsid w:val="00A83BCE"/>
    <w:rsid w:val="00AA4DE3"/>
    <w:rsid w:val="00B70233"/>
    <w:rsid w:val="00C27A4B"/>
    <w:rsid w:val="00C30C3E"/>
    <w:rsid w:val="00C964EA"/>
    <w:rsid w:val="00CE7E0D"/>
    <w:rsid w:val="00D22958"/>
    <w:rsid w:val="00DC20A4"/>
    <w:rsid w:val="00DD332A"/>
    <w:rsid w:val="00DE7063"/>
    <w:rsid w:val="00DF243B"/>
    <w:rsid w:val="00DF55B0"/>
    <w:rsid w:val="00E94D4D"/>
    <w:rsid w:val="00F21D04"/>
    <w:rsid w:val="00F36379"/>
    <w:rsid w:val="00F52692"/>
    <w:rsid w:val="00F62F5A"/>
    <w:rsid w:val="00FD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354F"/>
  <w15:chartTrackingRefBased/>
  <w15:docId w15:val="{501905E9-4FF3-44CF-B1FD-64F2723E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5B0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163B"/>
    <w:pPr>
      <w:keepNext/>
      <w:keepLines/>
      <w:spacing w:before="240" w:after="0"/>
      <w:outlineLvl w:val="0"/>
    </w:pPr>
    <w:rPr>
      <w:rFonts w:eastAsiaTheme="majorEastAsia" w:cstheme="majorBidi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63B"/>
    <w:rPr>
      <w:rFonts w:ascii="Verdana" w:eastAsiaTheme="majorEastAsia" w:hAnsi="Verdana" w:cstheme="majorBidi"/>
      <w:sz w:val="20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A83B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26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1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362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16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358</Value>
      <Value>142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Guidance Note</TermName>
          <TermId xmlns="http://schemas.microsoft.com/office/infopath/2007/PartnerControls">21491579-0ac9-4daf-b6f1-f480af9104ff</TermId>
        </TermInfo>
      </Terms>
    </i9f2da93fcc74e869d070fd34a0597c4>
    <NGOOnlineSortOrder xmlns="f1e736c5-95ad-4650-bf48-08c723b4bc6c" xsi:nil="true"/>
    <NGOOnlineShowInNewFromTemplate xmlns="f1e736c5-95ad-4650-bf48-08c723b4bc6c">false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CBM Standard Indicators</TermName>
          <TermId xmlns="http://schemas.microsoft.com/office/infopath/2007/PartnerControls">e9da00e8-d8e8-4611-9e61-5897366d4c2c</TermId>
        </TermInfo>
      </Terms>
    </cc92bdb0fa944447acf309642a11bf0d>
    <NGOOnlineDocumentOwner xmlns="f1e736c5-95ad-4650-bf48-08c723b4bc6c">{"Id":100230,"Name":"Kiel, Petra","Guid":"00000000-0000-0000-0000-000000000000"}</NGOOnlineDocument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AED8B0-412C-4796-9BC5-1B2B926658D8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34c2d733-5a3b-46b4-8675-8241d81f68c4"/>
    <ds:schemaRef ds:uri="f1e736c5-95ad-4650-bf48-08c723b4bc6c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5FB7AB4-600A-43F0-8A61-8F1942235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50E49-F926-4C96-9A17-77A6F8708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736c5-95ad-4650-bf48-08c723b4bc6c"/>
    <ds:schemaRef ds:uri="34c2d733-5a3b-46b4-8675-8241d81f6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Kiel, Petra</dc:creator>
  <cp:keywords/>
  <dc:description/>
  <cp:lastModifiedBy>Kiel, Petra</cp:lastModifiedBy>
  <cp:revision>3</cp:revision>
  <cp:lastPrinted>2024-01-29T10:48:00Z</cp:lastPrinted>
  <dcterms:created xsi:type="dcterms:W3CDTF">2024-06-12T14:56:00Z</dcterms:created>
  <dcterms:modified xsi:type="dcterms:W3CDTF">2024-07-31T14:18:00Z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MediaServiceImageTags">
    <vt:lpwstr/>
  </property>
  <property fmtid="{D5CDD505-2E9C-101B-9397-08002B2CF9AE}" pid="4" name="NGOOnlinePriorityGroup">
    <vt:lpwstr/>
  </property>
  <property fmtid="{D5CDD505-2E9C-101B-9397-08002B2CF9AE}" pid="5" name="NGOOnlineKeywords">
    <vt:lpwstr>358;#CBM Standard Indicators|e9da00e8-d8e8-4611-9e61-5897366d4c2c</vt:lpwstr>
  </property>
  <property fmtid="{D5CDD505-2E9C-101B-9397-08002B2CF9AE}" pid="6" name="NGOOnlineDocumentType">
    <vt:lpwstr>142;#Guidance Note|21491579-0ac9-4daf-b6f1-f480af9104ff</vt:lpwstr>
  </property>
</Properties>
</file>