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0D2E4E"/>
          <w:sz w:val="72"/>
          <w:szCs w:val="72"/>
        </w:rPr>
        <w:t xml:space="preserve">Redhawk</w:t>
      </w:r>
    </w:p>
    <w:p>
      <w:pPr>
        <w:spacing w:before="0" w:after="80"/>
      </w:pPr>
      <w:r>
        <w:rPr>
          <w:rFonts w:ascii="Arial" w:cs="Arial" w:eastAsia="Arial" w:hAnsi="Arial"/>
          <w:color w:val="1F5C99"/>
          <w:sz w:val="32"/>
          <w:szCs w:val="32"/>
        </w:rPr>
        <w:t xml:space="preserve">Redhawk</w:t>
      </w:r>
    </w:p>
    <w:p>
      <w:pPr>
        <w:pBdr>
          <w:bottom w:val="single" w:color="1F5C99" w:sz="10" w:space="4"/>
        </w:pBdr>
        <w:spacing w:before="0" w:after="200"/>
      </w:pPr>
      <w:r>
        <w:rPr>
          <w:rFonts w:ascii="Arial" w:cs="Arial" w:eastAsia="Arial" w:hAnsi="Arial"/>
          <w:i/>
          <w:iCs/>
          <w:color w:val="555555"/>
          <w:sz w:val="24"/>
          <w:szCs w:val="24"/>
        </w:rPr>
        <w:t xml:space="preserve">Team Reference Overview</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5C99" w:sz="3"/>
              <w:left w:val="single" w:color="1F5C99" w:sz="3"/>
              <w:bottom w:val="single" w:color="1F5C99" w:sz="3"/>
              <w:right w:val="single" w:color="1F5C99" w:sz="3"/>
            </w:tcBorders>
            <w:shd w:fill="D6E4F0" w:val="clear"/>
            <w:tcMar>
              <w:top w:type="dxa" w:w="120"/>
              <w:left w:type="dxa" w:w="160"/>
              <w:bottom w:type="dxa" w:w="120"/>
              <w:right w:type="dxa" w:w="160"/>
            </w:tcMar>
          </w:tcPr>
          <w:p>
            <w:r>
              <w:rPr>
                <w:rFonts w:ascii="Arial" w:cs="Arial" w:eastAsia="Arial" w:hAnsi="Arial"/>
                <w:b/>
                <w:bCs/>
                <w:color w:val="0D2E4E"/>
                <w:sz w:val="20"/>
                <w:szCs w:val="20"/>
              </w:rPr>
              <w:t xml:space="preserve">Platform</w:t>
            </w:r>
          </w:p>
          <w:p>
            <w:pPr>
              <w:spacing w:before="40" w:after="0"/>
            </w:pPr>
            <w:r>
              <w:rPr>
                <w:rFonts w:ascii="Arial" w:cs="Arial" w:eastAsia="Arial" w:hAnsi="Arial"/>
                <w:color w:val="444444"/>
                <w:sz w:val="18"/>
                <w:szCs w:val="18"/>
              </w:rPr>
              <w:t xml:space="preserve">Blazor WASM PWA</w:t>
            </w:r>
          </w:p>
        </w:tc>
        <w:tc>
          <w:tcPr>
            <w:tcW w:type="dxa" w:w="4680"/>
            <w:tcBorders>
              <w:top w:val="single" w:color="1F5C99" w:sz="3"/>
              <w:left w:val="single" w:color="1F5C99" w:sz="3"/>
              <w:bottom w:val="single" w:color="1F5C99" w:sz="3"/>
              <w:right w:val="single" w:color="1F5C99" w:sz="3"/>
            </w:tcBorders>
            <w:shd w:fill="D6E4F0" w:val="clear"/>
            <w:tcMar>
              <w:top w:type="dxa" w:w="120"/>
              <w:left w:type="dxa" w:w="160"/>
              <w:bottom w:type="dxa" w:w="120"/>
              <w:right w:type="dxa" w:w="160"/>
            </w:tcMar>
          </w:tcPr>
          <w:p>
            <w:r>
              <w:rPr>
                <w:rFonts w:ascii="Arial" w:cs="Arial" w:eastAsia="Arial" w:hAnsi="Arial"/>
                <w:b/>
                <w:bCs/>
                <w:color w:val="0D2E4E"/>
                <w:sz w:val="20"/>
                <w:szCs w:val="20"/>
              </w:rPr>
              <w:t xml:space="preserve">Deployment</w:t>
            </w:r>
          </w:p>
          <w:p>
            <w:pPr>
              <w:spacing w:before="40" w:after="0"/>
            </w:pPr>
            <w:r>
              <w:rPr>
                <w:rFonts w:ascii="Arial" w:cs="Arial" w:eastAsia="Arial" w:hAnsi="Arial"/>
                <w:color w:val="444444"/>
                <w:sz w:val="18"/>
                <w:szCs w:val="18"/>
              </w:rPr>
              <w:t xml:space="preserve">Web (cross-platform)</w:t>
            </w:r>
          </w:p>
        </w:tc>
      </w:tr>
      <w:tr>
        <w:tc>
          <w:tcPr>
            <w:tcW w:type="dxa" w:w="4680"/>
            <w:tcBorders>
              <w:top w:val="single" w:color="1F5C99" w:sz="3"/>
              <w:left w:val="single" w:color="1F5C99" w:sz="3"/>
              <w:bottom w:val="single" w:color="1F5C99" w:sz="3"/>
              <w:right w:val="single" w:color="1F5C99" w:sz="3"/>
            </w:tcBorders>
            <w:shd w:fill="D6E4F0" w:val="clear"/>
            <w:tcMar>
              <w:top w:type="dxa" w:w="120"/>
              <w:left w:type="dxa" w:w="160"/>
              <w:bottom w:type="dxa" w:w="120"/>
              <w:right w:type="dxa" w:w="160"/>
            </w:tcMar>
          </w:tcPr>
          <w:p>
            <w:r>
              <w:rPr>
                <w:rFonts w:ascii="Arial" w:cs="Arial" w:eastAsia="Arial" w:hAnsi="Arial"/>
                <w:b/>
                <w:bCs/>
                <w:color w:val="0D2E4E"/>
                <w:sz w:val="20"/>
                <w:szCs w:val="20"/>
              </w:rPr>
              <w:t xml:space="preserve">Users</w:t>
            </w:r>
          </w:p>
          <w:p>
            <w:pPr>
              <w:spacing w:before="40" w:after="0"/>
            </w:pPr>
            <w:r>
              <w:rPr>
                <w:rFonts w:ascii="Arial" w:cs="Arial" w:eastAsia="Arial" w:hAnsi="Arial"/>
                <w:color w:val="444444"/>
                <w:sz w:val="18"/>
                <w:szCs w:val="18"/>
              </w:rPr>
              <w:t xml:space="preserve">Insurance Agents (agent-facing)</w:t>
            </w:r>
          </w:p>
        </w:tc>
        <w:tc>
          <w:tcPr>
            <w:tcW w:type="dxa" w:w="4680"/>
            <w:tcBorders>
              <w:top w:val="single" w:color="1F5C99" w:sz="3"/>
              <w:left w:val="single" w:color="1F5C99" w:sz="3"/>
              <w:bottom w:val="single" w:color="1F5C99" w:sz="3"/>
              <w:right w:val="single" w:color="1F5C99" w:sz="3"/>
            </w:tcBorders>
            <w:shd w:fill="D6E4F0" w:val="clear"/>
            <w:tcMar>
              <w:top w:type="dxa" w:w="120"/>
              <w:left w:type="dxa" w:w="160"/>
              <w:bottom w:type="dxa" w:w="120"/>
              <w:right w:type="dxa" w:w="160"/>
            </w:tcMar>
          </w:tcPr>
          <w:p>
            <w:r>
              <w:rPr>
                <w:rFonts w:ascii="Arial" w:cs="Arial" w:eastAsia="Arial" w:hAnsi="Arial"/>
                <w:b/>
                <w:bCs/>
                <w:color w:val="0D2E4E"/>
                <w:sz w:val="20"/>
                <w:szCs w:val="20"/>
              </w:rPr>
              <w:t xml:space="preserve">AI Provider</w:t>
            </w:r>
          </w:p>
          <w:p>
            <w:pPr>
              <w:spacing w:before="40" w:after="0"/>
            </w:pPr>
            <w:r>
              <w:rPr>
                <w:rFonts w:ascii="Arial" w:cs="Arial" w:eastAsia="Arial" w:hAnsi="Arial"/>
                <w:color w:val="444444"/>
                <w:sz w:val="18"/>
                <w:szCs w:val="18"/>
              </w:rPr>
              <w:t xml:space="preserve">Azure AI Foundry (GPT-4o)</w:t>
            </w:r>
          </w:p>
        </w:tc>
      </w:tr>
      <w:tr>
        <w:tc>
          <w:tcPr>
            <w:tcW w:type="dxa" w:w="4680"/>
            <w:tcBorders>
              <w:top w:val="single" w:color="1F5C99" w:sz="3"/>
              <w:left w:val="single" w:color="1F5C99" w:sz="3"/>
              <w:bottom w:val="single" w:color="1F5C99" w:sz="3"/>
              <w:right w:val="single" w:color="1F5C99" w:sz="3"/>
            </w:tcBorders>
            <w:shd w:fill="D6E4F0" w:val="clear"/>
            <w:tcMar>
              <w:top w:type="dxa" w:w="120"/>
              <w:left w:type="dxa" w:w="160"/>
              <w:bottom w:type="dxa" w:w="120"/>
              <w:right w:type="dxa" w:w="160"/>
            </w:tcMar>
          </w:tcPr>
          <w:p>
            <w:r>
              <w:rPr>
                <w:rFonts w:ascii="Arial" w:cs="Arial" w:eastAsia="Arial" w:hAnsi="Arial"/>
                <w:b/>
                <w:bCs/>
                <w:color w:val="0D2E4E"/>
                <w:sz w:val="20"/>
                <w:szCs w:val="20"/>
              </w:rPr>
              <w:t xml:space="preserve">Auth</w:t>
            </w:r>
          </w:p>
          <w:p>
            <w:pPr>
              <w:spacing w:before="40" w:after="0"/>
            </w:pPr>
            <w:r>
              <w:rPr>
                <w:rFonts w:ascii="Arial" w:cs="Arial" w:eastAsia="Arial" w:hAnsi="Arial"/>
                <w:color w:val="444444"/>
                <w:sz w:val="18"/>
                <w:szCs w:val="18"/>
              </w:rPr>
              <w:t xml:space="preserve">Microsoft Entra ID</w:t>
            </w:r>
          </w:p>
        </w:tc>
        <w:tc>
          <w:tcPr>
            <w:tcW w:type="dxa" w:w="4680"/>
            <w:tcBorders>
              <w:top w:val="single" w:color="1F5C99" w:sz="3"/>
              <w:left w:val="single" w:color="1F5C99" w:sz="3"/>
              <w:bottom w:val="single" w:color="1F5C99" w:sz="3"/>
              <w:right w:val="single" w:color="1F5C99" w:sz="3"/>
            </w:tcBorders>
            <w:shd w:fill="D6E4F0" w:val="clear"/>
            <w:tcMar>
              <w:top w:type="dxa" w:w="120"/>
              <w:left w:type="dxa" w:w="160"/>
              <w:bottom w:type="dxa" w:w="120"/>
              <w:right w:type="dxa" w:w="160"/>
            </w:tcMar>
          </w:tcPr>
          <w:p>
            <w:r>
              <w:rPr>
                <w:rFonts w:ascii="Arial" w:cs="Arial" w:eastAsia="Arial" w:hAnsi="Arial"/>
                <w:b/>
                <w:bCs/>
                <w:color w:val="0D2E4E"/>
                <w:sz w:val="20"/>
                <w:szCs w:val="20"/>
              </w:rPr>
              <w:t xml:space="preserve">Speech</w:t>
            </w:r>
          </w:p>
          <w:p>
            <w:pPr>
              <w:spacing w:before="40" w:after="0"/>
            </w:pPr>
            <w:r>
              <w:rPr>
                <w:rFonts w:ascii="Arial" w:cs="Arial" w:eastAsia="Arial" w:hAnsi="Arial"/>
                <w:color w:val="444444"/>
                <w:sz w:val="18"/>
                <w:szCs w:val="18"/>
              </w:rPr>
              <w:t xml:space="preserve">Azure Cognitive Services</w:t>
            </w:r>
          </w:p>
        </w:tc>
      </w:tr>
    </w:tbl>
    <w:p>
      <w:pPr>
        <w:spacing w:before="0" w:after="200"/>
      </w:pPr>
      <w:r>
        <w:t xml:space="preserve"/>
      </w:r>
    </w:p>
    <w:p>
      <w:pPr>
        <w:pStyle w:val="Heading1"/>
        <w:pBdr>
          <w:bottom w:val="single" w:color="1F5C99" w:sz="6" w:space="4"/>
        </w:pBdr>
        <w:spacing w:before="320" w:after="100"/>
      </w:pPr>
      <w:r>
        <w:rPr>
          <w:rFonts w:ascii="Arial" w:cs="Arial" w:eastAsia="Arial" w:hAnsi="Arial"/>
          <w:b/>
          <w:bCs/>
          <w:color w:val="0D2E4E"/>
          <w:sz w:val="30"/>
          <w:szCs w:val="30"/>
        </w:rPr>
        <w:t xml:space="preserve">1. What We Are Building</w:t>
      </w:r>
    </w:p>
    <w:p>
      <w:pPr>
        <w:spacing w:before="60" w:after="80"/>
      </w:pPr>
      <w:r>
        <w:rPr>
          <w:rFonts w:ascii="Arial" w:cs="Arial" w:eastAsia="Arial" w:hAnsi="Arial"/>
          <w:sz w:val="20"/>
          <w:szCs w:val="20"/>
        </w:rPr>
        <w:t xml:space="preserve">Redhawk is a Progressive Web Application that allows insurance agents to complete life insurance applications with customers. Agents log in with their company credentials and work through application forms that adapt dynamically based on the customer's answers.</w:t>
      </w:r>
    </w:p>
    <w:p>
      <w:pPr>
        <w:spacing w:before="60" w:after="80"/>
      </w:pPr>
      <w:r>
        <w:rPr>
          <w:rFonts w:ascii="Arial" w:cs="Arial" w:eastAsia="Arial" w:hAnsi="Arial"/>
          <w:sz w:val="20"/>
          <w:szCs w:val="20"/>
        </w:rPr>
        <w:t xml:space="preserve">The system has two modes: when online, a voice-enabled AI assistant helps the agent fill out the form by listening to responses and extracting answers automatically. When offline, the form works entirely without a connection using locally cached rules, and syncs when connectivity is restored.</w:t>
      </w:r>
    </w:p>
    <w:p>
      <w:pPr>
        <w:spacing w:before="0" w:after="80"/>
      </w:pPr>
      <w:r>
        <w:t xml:space="preserve"/>
      </w:r>
    </w:p>
    <w:p>
      <w:pPr>
        <w:pStyle w:val="Heading1"/>
        <w:pBdr>
          <w:bottom w:val="single" w:color="1F5C99" w:sz="6" w:space="4"/>
        </w:pBdr>
        <w:spacing w:before="320" w:after="100"/>
      </w:pPr>
      <w:r>
        <w:rPr>
          <w:rFonts w:ascii="Arial" w:cs="Arial" w:eastAsia="Arial" w:hAnsi="Arial"/>
          <w:b/>
          <w:bCs/>
          <w:color w:val="0D2E4E"/>
          <w:sz w:val="30"/>
          <w:szCs w:val="30"/>
        </w:rPr>
        <w:t xml:space="preserve">2. Technology Stack</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2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16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Frontend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Blazor WebAssembly (.NET 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Runs in browser, true offline via PWA service worker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State Management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Fluxor (Redux for Blazor)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Single controlled state mutation path for all consumers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Rules Engine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Microsoft RulesEngine (NuGet)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Client-side, evaluates underwriting/navigation logic offline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Local 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IndexedDB (via JS interop)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Persists in-progress applications encrypted on device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AI Orchestration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Azure AI Foundry Prompt Flow</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Manages LLM calls, context assembly, response shaping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Model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GPT-4o (via Foundry)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Extracts structured field values from voice/text utterances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Speech STT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Azure Cognitive Services Speech</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Converts agent speech to text transcript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Speech TTS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Azure Neural TTS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Reads AI assistant responses aloud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Authentication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Microsoft Entra ID + MSAL.js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Agent identity and session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Backend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.NET 10 Minimal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Rules versioning endpoint, application submission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Encryption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Web Crypto API (AES-GCM)</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PII encrypted at rest in IndexedDB</w:t>
            </w:r>
          </w:p>
        </w:tc>
      </w:tr>
    </w:tbl>
    <w:p>
      <w:pPr>
        <w:spacing w:before="0" w:after="80"/>
      </w:pPr>
      <w:r>
        <w:t xml:space="preserve"/>
      </w:r>
    </w:p>
    <w:p>
      <w:r>
        <w:br w:type="page"/>
      </w:r>
    </w:p>
    <w:p>
      <w:pPr>
        <w:pStyle w:val="Heading1"/>
        <w:pBdr>
          <w:bottom w:val="single" w:color="1F5C99" w:sz="6" w:space="4"/>
        </w:pBdr>
        <w:spacing w:before="320" w:after="100"/>
      </w:pPr>
      <w:r>
        <w:rPr>
          <w:rFonts w:ascii="Arial" w:cs="Arial" w:eastAsia="Arial" w:hAnsi="Arial"/>
          <w:b/>
          <w:bCs/>
          <w:color w:val="0D2E4E"/>
          <w:sz w:val="30"/>
          <w:szCs w:val="30"/>
        </w:rPr>
        <w:t xml:space="preserve">3. System Architecture</w:t>
      </w:r>
    </w:p>
    <w:p>
      <w:pPr>
        <w:pStyle w:val="Heading2"/>
        <w:spacing w:before="240" w:after="80"/>
      </w:pPr>
      <w:r>
        <w:rPr>
          <w:rFonts w:ascii="Arial" w:cs="Arial" w:eastAsia="Arial" w:hAnsi="Arial"/>
          <w:b/>
          <w:bCs/>
          <w:color w:val="1F5C99"/>
          <w:sz w:val="24"/>
          <w:szCs w:val="24"/>
        </w:rPr>
        <w:t xml:space="preserve">3.1 The Central Concept — Shared State Document</w:t>
      </w:r>
    </w:p>
    <w:p>
      <w:pPr>
        <w:spacing w:before="60" w:after="80"/>
      </w:pPr>
      <w:r>
        <w:rPr>
          <w:rFonts w:ascii="Arial" w:cs="Arial" w:eastAsia="Arial" w:hAnsi="Arial"/>
          <w:sz w:val="20"/>
          <w:szCs w:val="20"/>
        </w:rPr>
        <w:t xml:space="preserve">Every part of the system reads from and writes to a single JSON application state document. Three consumers interact with it through controlled paths: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rPr>
          <w:tblHeader/>
        </w:trPr>
        <w:tc>
          <w:tcPr>
            <w:tcW w:type="dxa" w:w="18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Consumer</w:t>
            </w:r>
          </w:p>
        </w:tc>
        <w:tc>
          <w:tcPr>
            <w:tcW w:type="dxa" w:w="516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4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When Active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Rules Engine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Reads full state. Determines the next question and which fields are relevant context for the AI. May skip questions or entire sections based on prior answers.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Always (online + offline)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Assistant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Reads only the relevant context slice the rules engine selects — never the full document. Proposes field value patches from the agent's speech.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Online only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Blazor UI</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Reads full state via Fluxor store. Re-renders reactively whenever state changes, regardless of what caused the change.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Always</w:t>
            </w:r>
          </w:p>
        </w:tc>
      </w:tr>
    </w:tbl>
    <w:p>
      <w:pPr>
        <w:spacing w:before="0" w:after="120"/>
      </w:pPr>
      <w:r>
        <w:t xml:space="preserve"/>
      </w:r>
    </w:p>
    <w:p>
      <w:pPr>
        <w:pStyle w:val="Heading2"/>
        <w:spacing w:before="240" w:after="80"/>
      </w:pPr>
      <w:r>
        <w:rPr>
          <w:rFonts w:ascii="Arial" w:cs="Arial" w:eastAsia="Arial" w:hAnsi="Arial"/>
          <w:b/>
          <w:bCs/>
          <w:color w:val="1F5C99"/>
          <w:sz w:val="24"/>
          <w:szCs w:val="24"/>
        </w:rPr>
        <w:t xml:space="preserve">3.2 Online Mode Flow</w:t>
      </w:r>
    </w:p>
    <w:p>
      <w:pPr>
        <w:pStyle w:val="ListParagraph"/>
        <w:numPr>
          <w:ilvl w:val="0"/>
          <w:numId w:val="2"/>
        </w:numPr>
        <w:spacing w:before="40" w:after="40"/>
      </w:pPr>
      <w:r>
        <w:rPr>
          <w:rFonts w:ascii="Arial" w:cs="Arial" w:eastAsia="Arial" w:hAnsi="Arial"/>
          <w:sz w:val="20"/>
          <w:szCs w:val="20"/>
        </w:rPr>
        <w:t xml:space="preserve">Agent presses mic button → Azure STT captures speech → transcript sent to Azure AI Foundry</w:t>
      </w:r>
    </w:p>
    <w:p>
      <w:pPr>
        <w:pStyle w:val="ListParagraph"/>
        <w:numPr>
          <w:ilvl w:val="0"/>
          <w:numId w:val="2"/>
        </w:numPr>
        <w:spacing w:before="40" w:after="40"/>
      </w:pPr>
      <w:r>
        <w:rPr>
          <w:rFonts w:ascii="Arial" w:cs="Arial" w:eastAsia="Arial" w:hAnsi="Arial"/>
          <w:sz w:val="20"/>
          <w:szCs w:val="20"/>
        </w:rPr>
        <w:t xml:space="preserve">Foundry extracts field values from transcript and returns a patch proposal</w:t>
      </w:r>
    </w:p>
    <w:p>
      <w:pPr>
        <w:pStyle w:val="ListParagraph"/>
        <w:numPr>
          <w:ilvl w:val="0"/>
          <w:numId w:val="2"/>
        </w:numPr>
        <w:spacing w:before="40" w:after="40"/>
      </w:pPr>
      <w:r>
        <w:rPr>
          <w:rFonts w:ascii="Arial" w:cs="Arial" w:eastAsia="Arial" w:hAnsi="Arial"/>
          <w:sz w:val="20"/>
          <w:szCs w:val="20"/>
        </w:rPr>
        <w:t xml:space="preserve">Patches applied to state document → Rules engine re-evaluates → next question selected</w:t>
      </w:r>
    </w:p>
    <w:p>
      <w:pPr>
        <w:pStyle w:val="ListParagraph"/>
        <w:numPr>
          <w:ilvl w:val="0"/>
          <w:numId w:val="2"/>
        </w:numPr>
        <w:spacing w:before="40" w:after="40"/>
      </w:pPr>
      <w:r>
        <w:rPr>
          <w:rFonts w:ascii="Arial" w:cs="Arial" w:eastAsia="Arial" w:hAnsi="Arial"/>
          <w:sz w:val="20"/>
          <w:szCs w:val="20"/>
        </w:rPr>
        <w:t xml:space="preserve">UI updates reactively, AI speaks the next question via Azure TTS</w:t>
      </w:r>
    </w:p>
    <w:p>
      <w:pPr>
        <w:spacing w:before="0" w:after="80"/>
      </w:pPr>
      <w:r>
        <w:t xml:space="preserve"/>
      </w:r>
    </w:p>
    <w:p>
      <w:pPr>
        <w:pStyle w:val="Heading2"/>
        <w:spacing w:before="240" w:after="80"/>
      </w:pPr>
      <w:r>
        <w:rPr>
          <w:rFonts w:ascii="Arial" w:cs="Arial" w:eastAsia="Arial" w:hAnsi="Arial"/>
          <w:b/>
          <w:bCs/>
          <w:color w:val="1F5C99"/>
          <w:sz w:val="24"/>
          <w:szCs w:val="24"/>
        </w:rPr>
        <w:t xml:space="preserve">3.3 Offline Mode Flow</w:t>
      </w:r>
    </w:p>
    <w:p>
      <w:pPr>
        <w:pStyle w:val="ListParagraph"/>
        <w:numPr>
          <w:ilvl w:val="0"/>
          <w:numId w:val="2"/>
        </w:numPr>
        <w:spacing w:before="40" w:after="40"/>
      </w:pPr>
      <w:r>
        <w:rPr>
          <w:rFonts w:ascii="Arial" w:cs="Arial" w:eastAsia="Arial" w:hAnsi="Arial"/>
          <w:sz w:val="20"/>
          <w:szCs w:val="20"/>
        </w:rPr>
        <w:t xml:space="preserve">Agent enters answers manually via form fields</w:t>
      </w:r>
    </w:p>
    <w:p>
      <w:pPr>
        <w:pStyle w:val="ListParagraph"/>
        <w:numPr>
          <w:ilvl w:val="0"/>
          <w:numId w:val="2"/>
        </w:numPr>
        <w:spacing w:before="40" w:after="40"/>
      </w:pPr>
      <w:r>
        <w:rPr>
          <w:rFonts w:ascii="Arial" w:cs="Arial" w:eastAsia="Arial" w:hAnsi="Arial"/>
          <w:sz w:val="20"/>
          <w:szCs w:val="20"/>
        </w:rPr>
        <w:t xml:space="preserve">Each answer dispatches through Fluxor → Rules engine evaluates client-side</w:t>
      </w:r>
    </w:p>
    <w:p>
      <w:pPr>
        <w:pStyle w:val="ListParagraph"/>
        <w:numPr>
          <w:ilvl w:val="0"/>
          <w:numId w:val="2"/>
        </w:numPr>
        <w:spacing w:before="40" w:after="40"/>
      </w:pPr>
      <w:r>
        <w:rPr>
          <w:rFonts w:ascii="Arial" w:cs="Arial" w:eastAsia="Arial" w:hAnsi="Arial"/>
          <w:sz w:val="20"/>
          <w:szCs w:val="20"/>
        </w:rPr>
        <w:t xml:space="preserve">Next question determined from cached rules bundle — no server needed</w:t>
      </w:r>
    </w:p>
    <w:p>
      <w:pPr>
        <w:pStyle w:val="ListParagraph"/>
        <w:numPr>
          <w:ilvl w:val="0"/>
          <w:numId w:val="2"/>
        </w:numPr>
        <w:spacing w:before="40" w:after="40"/>
      </w:pPr>
      <w:r>
        <w:rPr>
          <w:rFonts w:ascii="Arial" w:cs="Arial" w:eastAsia="Arial" w:hAnsi="Arial"/>
          <w:sz w:val="20"/>
          <w:szCs w:val="20"/>
        </w:rPr>
        <w:t xml:space="preserve">Completed applications queue locally and sync when connectivity returns</w:t>
      </w:r>
    </w:p>
    <w:p>
      <w:pPr>
        <w:spacing w:before="0" w:after="80"/>
      </w:pPr>
      <w:r>
        <w:t xml:space="preserve"/>
      </w:r>
    </w:p>
    <w:p>
      <w:pPr>
        <w:pStyle w:val="Heading2"/>
        <w:spacing w:before="240" w:after="80"/>
      </w:pPr>
      <w:r>
        <w:rPr>
          <w:rFonts w:ascii="Arial" w:cs="Arial" w:eastAsia="Arial" w:hAnsi="Arial"/>
          <w:b/>
          <w:bCs/>
          <w:color w:val="1F5C99"/>
          <w:sz w:val="24"/>
          <w:szCs w:val="24"/>
        </w:rPr>
        <w:t xml:space="preserve">3.4 What the AI Receives</w:t>
      </w:r>
    </w:p>
    <w:p>
      <w:pPr>
        <w:spacing w:before="60" w:after="80"/>
      </w:pPr>
      <w:r>
        <w:rPr>
          <w:rFonts w:ascii="Arial" w:cs="Arial" w:eastAsia="Arial" w:hAnsi="Arial"/>
          <w:sz w:val="20"/>
          <w:szCs w:val="20"/>
        </w:rPr>
        <w:t xml:space="preserve">To minimize token usage, the AI never receives the full state document. The rules engine selects only the fields relevant to interpreting the current question (e.g., the applicant's first name for personalization, and any upstream answers that contextualize the current one). This context slice is assembled per-question and sent alongside the current question definition and recent conversation history.</w:t>
      </w:r>
    </w:p>
    <w:p>
      <w:pPr>
        <w:spacing w:before="0" w:after="80"/>
      </w:pPr>
      <w:r>
        <w:t xml:space="preserve"/>
      </w:r>
    </w:p>
    <w:p>
      <w:r>
        <w:br w:type="page"/>
      </w:r>
    </w:p>
    <w:p>
      <w:pPr>
        <w:pStyle w:val="Heading1"/>
        <w:pBdr>
          <w:bottom w:val="single" w:color="1F5C99" w:sz="6" w:space="4"/>
        </w:pBdr>
        <w:spacing w:before="320" w:after="100"/>
      </w:pPr>
      <w:r>
        <w:rPr>
          <w:rFonts w:ascii="Arial" w:cs="Arial" w:eastAsia="Arial" w:hAnsi="Arial"/>
          <w:b/>
          <w:bCs/>
          <w:color w:val="0D2E4E"/>
          <w:sz w:val="30"/>
          <w:szCs w:val="30"/>
        </w:rPr>
        <w:t xml:space="preserve">4. Key Features</w:t>
      </w:r>
    </w:p>
    <w:p>
      <w:pPr>
        <w:pStyle w:val="Heading2"/>
        <w:spacing w:before="240" w:after="80"/>
      </w:pPr>
      <w:r>
        <w:rPr>
          <w:rFonts w:ascii="Arial" w:cs="Arial" w:eastAsia="Arial" w:hAnsi="Arial"/>
          <w:b/>
          <w:bCs/>
          <w:color w:val="1F5C99"/>
          <w:sz w:val="24"/>
          <w:szCs w:val="24"/>
        </w:rPr>
        <w:t xml:space="preserve">4.1 Dynamic Form Navigation</w:t>
      </w:r>
    </w:p>
    <w:p>
      <w:pPr>
        <w:spacing w:before="60" w:after="80"/>
      </w:pPr>
      <w:r>
        <w:rPr>
          <w:rFonts w:ascii="Arial" w:cs="Arial" w:eastAsia="Arial" w:hAnsi="Arial"/>
          <w:sz w:val="20"/>
          <w:szCs w:val="20"/>
        </w:rPr>
        <w:t xml:space="preserve">Questions are not a flat list — they form a graph. The rules engine evaluates prior answers and may skip questions or entire sections. For example, a non-smoker skips all tobacco follow-up questions automatically. An agent answering multiple questions in one sentence can skip several steps at once.</w:t>
      </w:r>
    </w:p>
    <w:p>
      <w:pPr>
        <w:spacing w:before="0" w:after="60"/>
      </w:pPr>
      <w:r>
        <w:t xml:space="preserve"/>
      </w:r>
    </w:p>
    <w:p>
      <w:pPr>
        <w:pStyle w:val="Heading2"/>
        <w:spacing w:before="240" w:after="80"/>
      </w:pPr>
      <w:r>
        <w:rPr>
          <w:rFonts w:ascii="Arial" w:cs="Arial" w:eastAsia="Arial" w:hAnsi="Arial"/>
          <w:b/>
          <w:bCs/>
          <w:color w:val="1F5C99"/>
          <w:sz w:val="24"/>
          <w:szCs w:val="24"/>
        </w:rPr>
        <w:t xml:space="preserve">4.2 Progressive Reveal UI</w:t>
      </w:r>
    </w:p>
    <w:p>
      <w:pPr>
        <w:spacing w:before="60" w:after="80"/>
      </w:pPr>
      <w:r>
        <w:rPr>
          <w:rFonts w:ascii="Arial" w:cs="Arial" w:eastAsia="Arial" w:hAnsi="Arial"/>
          <w:sz w:val="20"/>
          <w:szCs w:val="20"/>
        </w:rPr>
        <w:t xml:space="preserve">Answered questions remain visible and editable as the form progresses. Agents can scroll back and correct any answer, which triggers rules re-evaluation and may change the navigation path forward. The current unanswered question is highlighted.</w:t>
      </w:r>
    </w:p>
    <w:p>
      <w:pPr>
        <w:spacing w:before="0" w:after="60"/>
      </w:pPr>
      <w:r>
        <w:t xml:space="preserve"/>
      </w:r>
    </w:p>
    <w:p>
      <w:pPr>
        <w:pStyle w:val="Heading2"/>
        <w:spacing w:before="240" w:after="80"/>
      </w:pPr>
      <w:r>
        <w:rPr>
          <w:rFonts w:ascii="Arial" w:cs="Arial" w:eastAsia="Arial" w:hAnsi="Arial"/>
          <w:b/>
          <w:bCs/>
          <w:color w:val="1F5C99"/>
          <w:sz w:val="24"/>
          <w:szCs w:val="24"/>
        </w:rPr>
        <w:t xml:space="preserve">4.3 Multi-Application Management</w:t>
      </w:r>
    </w:p>
    <w:p>
      <w:pPr>
        <w:spacing w:before="60" w:after="80"/>
      </w:pPr>
      <w:r>
        <w:rPr>
          <w:rFonts w:ascii="Arial" w:cs="Arial" w:eastAsia="Arial" w:hAnsi="Arial"/>
          <w:sz w:val="20"/>
          <w:szCs w:val="20"/>
        </w:rPr>
        <w:t xml:space="preserve">Agents may have multiple in-progress applications simultaneously — one per customer. The dashboard lists all in-progress and submitted applications with completion percentage and last-modified date. Applications are saved automatically and can be resumed at any time.</w:t>
      </w:r>
    </w:p>
    <w:p>
      <w:pPr>
        <w:spacing w:before="0" w:after="60"/>
      </w:pPr>
      <w:r>
        <w:t xml:space="preserve"/>
      </w:r>
    </w:p>
    <w:p>
      <w:pPr>
        <w:pStyle w:val="Heading2"/>
        <w:spacing w:before="240" w:after="80"/>
      </w:pPr>
      <w:r>
        <w:rPr>
          <w:rFonts w:ascii="Arial" w:cs="Arial" w:eastAsia="Arial" w:hAnsi="Arial"/>
          <w:b/>
          <w:bCs/>
          <w:color w:val="1F5C99"/>
          <w:sz w:val="24"/>
          <w:szCs w:val="24"/>
        </w:rPr>
        <w:t xml:space="preserve">4.4 Voice Assistant</w:t>
      </w:r>
    </w:p>
    <w:p>
      <w:pPr>
        <w:spacing w:before="60" w:after="80"/>
      </w:pPr>
      <w:r>
        <w:rPr>
          <w:rFonts w:ascii="Arial" w:cs="Arial" w:eastAsia="Arial" w:hAnsi="Arial"/>
          <w:sz w:val="20"/>
          <w:szCs w:val="20"/>
        </w:rPr>
        <w:t xml:space="preserve">Available online only. The agent speaks to fill out the form — the AI extracts one or more field values from a single utterance. If the AI is uncertain about an extracted value (low confidence), it asks a clarifying question before writing to the form. The agent can also type if preferred.</w:t>
      </w:r>
    </w:p>
    <w:p>
      <w:pPr>
        <w:spacing w:before="0" w:after="60"/>
      </w:pPr>
      <w:r>
        <w:t xml:space="preserve"/>
      </w:r>
    </w:p>
    <w:p>
      <w:pPr>
        <w:pStyle w:val="Heading2"/>
        <w:spacing w:before="240" w:after="80"/>
      </w:pPr>
      <w:r>
        <w:rPr>
          <w:rFonts w:ascii="Arial" w:cs="Arial" w:eastAsia="Arial" w:hAnsi="Arial"/>
          <w:b/>
          <w:bCs/>
          <w:color w:val="1F5C99"/>
          <w:sz w:val="24"/>
          <w:szCs w:val="24"/>
        </w:rPr>
        <w:t xml:space="preserve">4.5 Offline First</w:t>
      </w:r>
    </w:p>
    <w:p>
      <w:pPr>
        <w:spacing w:before="60" w:after="80"/>
      </w:pPr>
      <w:r>
        <w:rPr>
          <w:rFonts w:ascii="Arial" w:cs="Arial" w:eastAsia="Arial" w:hAnsi="Arial"/>
          <w:sz w:val="20"/>
          <w:szCs w:val="20"/>
        </w:rPr>
        <w:t xml:space="preserve">Rules are cached on the client after first load. A version check on reconnect fetches updated rules if the server has a newer version. In-progress applications survive browser refresh and offline periods via encrypted IndexedDB storage.</w:t>
      </w:r>
    </w:p>
    <w:p>
      <w:pPr>
        <w:spacing w:before="0" w:after="80"/>
      </w:pPr>
      <w:r>
        <w:t xml:space="preserve"/>
      </w:r>
    </w:p>
    <w:p>
      <w:r>
        <w:br w:type="page"/>
      </w:r>
    </w:p>
    <w:p>
      <w:pPr>
        <w:pStyle w:val="Heading1"/>
        <w:pBdr>
          <w:bottom w:val="single" w:color="1F5C99" w:sz="6" w:space="4"/>
        </w:pBdr>
        <w:spacing w:before="320" w:after="100"/>
      </w:pPr>
      <w:r>
        <w:rPr>
          <w:rFonts w:ascii="Arial" w:cs="Arial" w:eastAsia="Arial" w:hAnsi="Arial"/>
          <w:b/>
          <w:bCs/>
          <w:color w:val="0D2E4E"/>
          <w:sz w:val="30"/>
          <w:szCs w:val="30"/>
        </w:rPr>
        <w:t xml:space="preserve">5. Data &amp; Privacy</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636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Handling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Customer PII in IndexedDB</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Encrypted at rest with AES-GCM. Key derived from agent's session token. Unreadable without active authenticated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Data sent to AI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Only the relevant context slice (1-3 fields) + current question + recent conversation. Full state never leaves the client.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Conversation history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Stored in the state document for audit. Older turns summarized before sending to AI to minimize context size.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Submitted applications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Transmitted to backend API over HTTPS after agent confirms submission. Local copy retained as read-only.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Field audit trail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Every field records how it was populated: manual entry, agent voice, or AI extraction. Required for compliance.</w:t>
            </w:r>
          </w:p>
        </w:tc>
      </w:tr>
    </w:tbl>
    <w:p>
      <w:pPr>
        <w:spacing w:before="0" w:after="80"/>
      </w:pPr>
      <w:r>
        <w:t xml:space="preserve"/>
      </w:r>
    </w:p>
    <w:p>
      <w:pPr>
        <w:pStyle w:val="Heading1"/>
        <w:pBdr>
          <w:bottom w:val="single" w:color="1F5C99" w:sz="6" w:space="4"/>
        </w:pBdr>
        <w:spacing w:before="320" w:after="100"/>
      </w:pPr>
      <w:r>
        <w:rPr>
          <w:rFonts w:ascii="Arial" w:cs="Arial" w:eastAsia="Arial" w:hAnsi="Arial"/>
          <w:b/>
          <w:bCs/>
          <w:color w:val="0D2E4E"/>
          <w:sz w:val="30"/>
          <w:szCs w:val="30"/>
        </w:rPr>
        <w:t xml:space="preserve">6. Application Lifecycle</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696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Meaning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InProgress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Active, editable. Saved locally. Agent can leave and return.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PendingSync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questions answered, submitted by agent, waiting for connectivity to transmit.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Submitted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Transmitted to backend. Read-only. Visible in submitted applications list.</w:t>
            </w:r>
          </w:p>
        </w:tc>
      </w:tr>
    </w:tbl>
    <w:p>
      <w:pPr>
        <w:spacing w:before="0" w:after="60"/>
      </w:pPr>
      <w:r>
        <w:t xml:space="preserve"/>
      </w:r>
    </w:p>
    <w:p>
      <w:pPr>
        <w:spacing w:before="60" w:after="80"/>
      </w:pPr>
      <w:r>
        <w:rPr>
          <w:rFonts w:ascii="Arial" w:cs="Arial" w:eastAsia="Arial" w:hAnsi="Arial"/>
          <w:sz w:val="20"/>
          <w:szCs w:val="20"/>
        </w:rPr>
        <w:t xml:space="preserve">Note: Post-submission amendments are out of scope for the proof of concept. Submitted applications cannot be edited.</w:t>
      </w:r>
    </w:p>
    <w:p>
      <w:pPr>
        <w:spacing w:before="0" w:after="80"/>
      </w:pPr>
      <w:r>
        <w:t xml:space="preserve"/>
      </w:r>
    </w:p>
    <w:p>
      <w:pPr>
        <w:pStyle w:val="Heading1"/>
        <w:pBdr>
          <w:bottom w:val="single" w:color="1F5C99" w:sz="6" w:space="4"/>
        </w:pBdr>
        <w:spacing w:before="320" w:after="100"/>
      </w:pPr>
      <w:r>
        <w:rPr>
          <w:rFonts w:ascii="Arial" w:cs="Arial" w:eastAsia="Arial" w:hAnsi="Arial"/>
          <w:b/>
          <w:bCs/>
          <w:color w:val="0D2E4E"/>
          <w:sz w:val="30"/>
          <w:szCs w:val="30"/>
        </w:rPr>
        <w:t xml:space="preserve">7. Proof of Concept Build Phases</w:t>
      </w:r>
    </w:p>
    <w:p>
      <w:pPr>
        <w:spacing w:before="60" w:after="80"/>
      </w:pPr>
      <w:r>
        <w:rPr>
          <w:rFonts w:ascii="Arial" w:cs="Arial" w:eastAsia="Arial" w:hAnsi="Arial"/>
          <w:sz w:val="20"/>
          <w:szCs w:val="20"/>
        </w:rPr>
        <w:t xml:space="preserve">Each phase delivers a working, demoable system. The AI assistant is additive and not required for earlier phases to function.</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360"/>
      </w:tblGrid>
      <w:tr>
        <w:trPr>
          <w:tblHeader/>
        </w:trPr>
        <w:tc>
          <w:tcPr>
            <w:tcW w:type="dxa" w:w="9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1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636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Phase 1</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Auth + Dashboard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Entra ID login. Agent dashboard. Create/open/delete applications. IndexedDB storage wired up.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Manual Form +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Fluxor store. Progressive reveal form. Manual field entry working end-to-end.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Phase 3</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Rules Engine Navigation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Microsoft RulesEngine integrated. Question skipping and section navigation working offline.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Text Extraction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Foundry Prompt Flow. Text input (type) sends to AI, patches returned and applied. Multi-field extraction.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Phase 5</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Voice Pipeline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Azure STT/TTS integrated. Full voice loop. Mic button UI. Offline graceful degradation.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Encryption + Sync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PII encrypted in IndexedDB. Rules version gate. Application sync on reconnect.</w:t>
            </w:r>
          </w:p>
        </w:tc>
      </w:tr>
    </w:tbl>
    <w:p>
      <w:pPr>
        <w:spacing w:before="0" w:after="80"/>
      </w:pPr>
      <w:r>
        <w:t xml:space="preserve"/>
      </w:r>
    </w:p>
    <w:p>
      <w:pPr>
        <w:pStyle w:val="Heading1"/>
        <w:pBdr>
          <w:bottom w:val="single" w:color="1F5C99" w:sz="6" w:space="4"/>
        </w:pBdr>
        <w:spacing w:before="320" w:after="100"/>
      </w:pPr>
      <w:r>
        <w:rPr>
          <w:rFonts w:ascii="Arial" w:cs="Arial" w:eastAsia="Arial" w:hAnsi="Arial"/>
          <w:b/>
          <w:bCs/>
          <w:color w:val="0D2E4E"/>
          <w:sz w:val="30"/>
          <w:szCs w:val="30"/>
        </w:rPr>
        <w:t xml:space="preserve">8. Prototype Considerations</w:t>
      </w:r>
    </w:p>
    <w:p>
      <w:pPr>
        <w:spacing w:before="60" w:after="80"/>
      </w:pPr>
      <w:r>
        <w:rPr>
          <w:rFonts w:ascii="Arial" w:cs="Arial" w:eastAsia="Arial" w:hAnsi="Arial"/>
          <w:sz w:val="20"/>
          <w:szCs w:val="20"/>
        </w:rPr>
        <w:t xml:space="preserve">The following small items (~4-5 hours total effort) are included in the proof of concept scope. Each prevents a meaningful problem during the build or demo without adding significant complexity.</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10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596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Patch Validation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~1 hour</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Validates AI-returned field values match expected types before writing to state. Prevents silent state corruption.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Schema Version Field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 min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schemaVersion: 1 to the state document. No logic needed now — makes future migrations possible.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AI Timeout + Fallback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~30 min</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3-second timeout on Foundry calls. On timeout, surface manual input. Agents must always be able to continue.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IndexedDB Write Debounce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 min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Coalesce rapid state mutations into a single 500ms debounced write. Prevents excessive storage churn.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Structured Logging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~20 min</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Console log AI extraction results, rule evaluations, and navigation decisions in consistent format.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Undo Last Answer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 hours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Maintain a shallow undo stack (last 5 states) in Fluxor. Allows agents to correct mis-spoken answers instantly.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Developer Debug Panel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~1 hour</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Toggle with ?debug=true. Shows current question, last AI result, and NavigationResult. Hidden in production.</w:t>
            </w:r>
          </w:p>
        </w:tc>
      </w:tr>
    </w:tbl>
    <w:p>
      <w:pPr>
        <w:spacing w:before="0" w:after="80"/>
      </w:pPr>
      <w:r>
        <w:t xml:space="preserve"/>
      </w:r>
    </w:p>
    <w:p>
      <w:pPr>
        <w:spacing w:before="60" w:after="80"/>
      </w:pPr>
      <w:r>
        <w:rPr>
          <w:rFonts w:ascii="Arial" w:cs="Arial" w:eastAsia="Arial" w:hAnsi="Arial"/>
          <w:sz w:val="20"/>
          <w:szCs w:val="20"/>
        </w:rPr>
        <w:t xml:space="preserve">The following are explicitly deferred to production: event log, multi-device sync conflict resolution, streaming STT, prompt injection guardrails, and AI section summaries.</w:t>
      </w:r>
    </w:p>
    <w:p>
      <w:pPr>
        <w:spacing w:before="0" w:after="80"/>
      </w:pPr>
      <w:r>
        <w:t xml:space="preserve"/>
      </w:r>
    </w:p>
    <w:p>
      <w:pPr>
        <w:pBdr>
          <w:top w:val="single" w:color="CCCCCC" w:sz="4" w:space="4"/>
        </w:pBdr>
        <w:spacing w:before="400" w:after="0"/>
      </w:pPr>
      <w:r>
        <w:rPr>
          <w:rFonts w:ascii="Arial" w:cs="Arial" w:eastAsia="Arial" w:hAnsi="Arial"/>
          <w:i/>
          <w:iCs/>
          <w:color w:val="888888"/>
          <w:sz w:val="16"/>
          <w:szCs w:val="16"/>
        </w:rPr>
        <w:t xml:space="preserve">Redhawk Team Reference v1.0 — Proof of Concept Scope</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0D2E4E"/>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2026-03-08T14:24:02.138Z</dcterms:created>
  <dcterms:modified xsi:type="dcterms:W3CDTF">2026-03-08T14:24:02.139Z</dcterms:modified>
</cp:coreProperties>
</file>

<file path=docProps/custom.xml><?xml version="1.0" encoding="utf-8"?>
<Properties xmlns="http://schemas.openxmlformats.org/officeDocument/2006/custom-properties" xmlns:vt="http://schemas.openxmlformats.org/officeDocument/2006/docPropsVTypes"/>
</file>