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00 · START HERE — DOCUMENT 01</w:t>
      </w:r>
    </w:p>
    <w:p>
      <w:pPr>
        <w:jc w:val="center"/>
      </w:pPr>
      <w:r>
        <w:rPr>
          <w:b/>
          <w:color w:val="1F3864"/>
          <w:sz w:val="48"/>
        </w:rPr>
        <w:t>Executive Summary and Transaction Structure</w:t>
      </w:r>
    </w:p>
    <w:p>
      <w:pPr>
        <w:jc w:val="center"/>
      </w:pPr>
      <w:r>
        <w:rPr>
          <w:color w:val="595959"/>
          <w:sz w:val="28"/>
        </w:rPr>
        <w:t>Coordinated TBCP Fiber Agreement Package — Lumbee Tribe of North Carolina and RIVR Tech</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pStyle w:val="Heading1"/>
        <w:spacing w:before="240" w:after="120"/>
      </w:pPr>
      <w:r>
        <w:rPr>
          <w:rFonts w:ascii="Calibri" w:hAnsi="Calibri"/>
          <w:b/>
          <w:color w:val="1F3864"/>
          <w:sz w:val="26"/>
        </w:rPr>
        <w:t>ARTICLE 1.  PRELIMINARY STATUS, BASELINE, AND RELIANCE LIMITATIONS</w:t>
      </w:r>
    </w:p>
    <w:p>
      <w:pPr>
        <w:pStyle w:val="Heading2"/>
        <w:spacing w:before="160" w:after="60"/>
      </w:pPr>
      <w:r>
        <w:rPr>
          <w:rFonts w:ascii="Calibri" w:hAnsi="Calibri"/>
          <w:b/>
          <w:color w:val="000000"/>
          <w:sz w:val="22"/>
        </w:rPr>
        <w:t>1.1  Preliminary Draft — No Controlling Award Supplied</w:t>
      </w:r>
    </w:p>
    <w:p>
      <w:r>
        <w:rPr>
          <w:b w:val="0"/>
          <w:i w:val="0"/>
        </w:rPr>
        <w:t xml:space="preserve">This package is a PRELIMINARY draft prepared without any controlling TBCP award, executed Notice of Funding Opportunity, Specific Award Conditions, approved application, budget, or other source documents. </w:t>
      </w:r>
      <w:r>
        <w:rPr>
          <w:b/>
          <w:i w:val="0"/>
          <w:color w:val="7F007F"/>
        </w:rPr>
        <w:t>[GRANT COMPLIANCE REVIEW REQUIRED]</w:t>
      </w:r>
      <w:r>
        <w:rPr>
          <w:b w:val="0"/>
          <w:i w:val="0"/>
        </w:rPr>
        <w:t xml:space="preserve"> </w:t>
      </w:r>
      <w:r>
        <w:rPr>
          <w:b/>
          <w:i w:val="0"/>
          <w:color w:val="0000C0"/>
        </w:rPr>
        <w:t>[ATTORNEY REVIEW REQUIRED]</w:t>
      </w:r>
      <w:r>
        <w:rPr>
          <w:b w:val="0"/>
          <w:i w:val="0"/>
        </w:rPr>
        <w:t xml:space="preserve"> The provisional baseline used throughout is the TBCP Round 2 Notice of Funding Opportunity, as amended March 2024 (PROVISIONAL BASELINE). Every substantive position is a default drafting posture for negotiation, not a final term, and every unsupplied fact is shown as a highlighted placeholder — no facts have been invented.</w:t>
      </w:r>
    </w:p>
    <w:p>
      <w:pPr>
        <w:pStyle w:val="Heading2"/>
        <w:spacing w:before="160" w:after="60"/>
      </w:pPr>
      <w:r>
        <w:rPr>
          <w:rFonts w:ascii="Calibri" w:hAnsi="Calibri"/>
          <w:b/>
          <w:color w:val="000000"/>
          <w:sz w:val="22"/>
        </w:rPr>
        <w:t>1.2  Round 3 Is Live — Controlling Round Must Be Confirmed</w:t>
      </w:r>
    </w:p>
    <w:p>
      <w:r>
        <w:rPr>
          <w:b w:val="0"/>
          <w:i w:val="0"/>
        </w:rPr>
        <w:t>Round 3 is the live TBCP round as of the version date; the controlling round and executed award must be confirmed before any definitive clause is finalized.</w:t>
      </w:r>
    </w:p>
    <w:p>
      <w:pPr>
        <w:ind w:left="504"/>
      </w:pPr>
      <w:r>
        <w:rPr>
          <w:b/>
          <w:color w:val="7F007F"/>
        </w:rPr>
        <w:t xml:space="preserve">[GRANT COMPLIANCE REVIEW REQUIRED]  </w:t>
      </w:r>
      <w:r>
        <w:rPr>
          <w:i/>
          <w:color w:val="595959"/>
        </w:rPr>
        <w:t>Confirm the controlling TBCP round and the executed award (Round 2 baseline vs. the live Round 3 as of the version date) before any definitive clause is finalized.</w:t>
      </w:r>
    </w:p>
    <w:p>
      <w:pPr>
        <w:pStyle w:val="Heading2"/>
        <w:spacing w:before="160" w:after="60"/>
      </w:pPr>
      <w:r>
        <w:rPr>
          <w:rFonts w:ascii="Calibri" w:hAnsi="Calibri"/>
          <w:b/>
          <w:color w:val="000000"/>
          <w:sz w:val="22"/>
        </w:rPr>
        <w:t>1.3  Order of Precedence</w:t>
      </w:r>
    </w:p>
    <w:p>
      <w:r>
        <w:rPr>
          <w:b w:val="0"/>
          <w:i w:val="0"/>
        </w:rPr>
        <w:t>The instruments in this package rank, from highest to lowest authority, as follows:</w:t>
      </w:r>
    </w:p>
    <w:p>
      <w:pPr>
        <w:pStyle w:val="ListNumber"/>
      </w:pPr>
      <w:r>
        <w:rPr>
          <w:b w:val="0"/>
          <w:i w:val="0"/>
        </w:rPr>
        <w:t>the executed federal Award and all requirements incorporated into it (including the controlling NOFO, the Specific Award Conditions, the approved application, budget, routes, and service commitments, and any later written NTIA/DOC determination)</w:t>
      </w:r>
    </w:p>
    <w:p>
      <w:pPr>
        <w:pStyle w:val="ListNumber"/>
      </w:pPr>
      <w:r>
        <w:rPr>
          <w:b w:val="0"/>
          <w:i w:val="0"/>
        </w:rPr>
        <w:t>applicable federal statutes and regulations, including 2 CFR Part 200 and NTIA/DOC award terms</w:t>
      </w:r>
    </w:p>
    <w:p>
      <w:pPr>
        <w:pStyle w:val="ListNumber"/>
      </w:pPr>
      <w:r>
        <w:rPr>
          <w:b w:val="0"/>
          <w:i w:val="0"/>
        </w:rPr>
        <w:t>the approved project documents</w:t>
      </w:r>
    </w:p>
    <w:p>
      <w:pPr>
        <w:pStyle w:val="ListNumber"/>
      </w:pPr>
      <w:r>
        <w:rPr>
          <w:b w:val="0"/>
          <w:i w:val="0"/>
        </w:rPr>
        <w:t>the Master TBCP Partnership and Implementation Agreement</w:t>
      </w:r>
    </w:p>
    <w:p>
      <w:pPr>
        <w:pStyle w:val="ListNumber"/>
      </w:pPr>
      <w:r>
        <w:rPr>
          <w:b w:val="0"/>
          <w:i w:val="0"/>
        </w:rPr>
        <w:t>the other Definitive Agreements</w:t>
      </w:r>
    </w:p>
    <w:p>
      <w:pPr>
        <w:pStyle w:val="ListNumber"/>
      </w:pPr>
      <w:r>
        <w:rPr>
          <w:b w:val="0"/>
          <w:i w:val="0"/>
        </w:rPr>
        <w:t>the Schedules, Exhibits, Certificates, and Operational Forms</w:t>
      </w:r>
    </w:p>
    <w:p>
      <w:r>
        <w:rPr>
          <w:b w:val="0"/>
          <w:i w:val="0"/>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Pr>
        <w:pStyle w:val="Heading1"/>
        <w:spacing w:before="240" w:after="120"/>
      </w:pPr>
      <w:r>
        <w:rPr>
          <w:rFonts w:ascii="Calibri" w:hAnsi="Calibri"/>
          <w:b/>
          <w:color w:val="1F3864"/>
          <w:sz w:val="26"/>
        </w:rPr>
        <w:t>ARTICLE 2.  PARTIES AND ROLES</w:t>
      </w:r>
    </w:p>
    <w:p>
      <w:r>
        <w:rPr>
          <w:b w:val="0"/>
          <w:i w:val="0"/>
        </w:rPr>
        <w:t>Three entities are central to the transaction, each with a distinct role. They must not be conflated; in particular, RIVR Tech and LREMC are separate entities with separate assets.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1F3864"/>
            <w:vAlign w:val="center"/>
          </w:tcPr>
          <w:p>
            <w:pPr>
              <w:jc w:val="center"/>
            </w:pPr>
            <w:r>
              <w:rPr>
                <w:b/>
                <w:color w:val="FFFFFF"/>
                <w:sz w:val="18"/>
              </w:rPr>
              <w:t>Party (Defined Term)</w:t>
            </w:r>
          </w:p>
        </w:tc>
        <w:tc>
          <w:tcPr>
            <w:tcW w:type="dxa" w:w="3456"/>
            <w:shd w:val="clear" w:color="auto" w:fill="1F3864"/>
            <w:vAlign w:val="center"/>
          </w:tcPr>
          <w:p>
            <w:pPr>
              <w:jc w:val="center"/>
            </w:pPr>
            <w:r>
              <w:rPr>
                <w:b/>
                <w:color w:val="FFFFFF"/>
                <w:sz w:val="18"/>
              </w:rPr>
              <w:t>Full Legal Name</w:t>
            </w:r>
          </w:p>
        </w:tc>
        <w:tc>
          <w:tcPr>
            <w:tcW w:type="dxa" w:w="4032"/>
            <w:shd w:val="clear" w:color="auto" w:fill="1F3864"/>
            <w:vAlign w:val="center"/>
          </w:tcPr>
          <w:p>
            <w:pPr>
              <w:jc w:val="center"/>
            </w:pPr>
            <w:r>
              <w:rPr>
                <w:b/>
                <w:color w:val="FFFFFF"/>
                <w:sz w:val="18"/>
              </w:rPr>
              <w:t>Role in the Transaction</w:t>
            </w:r>
          </w:p>
        </w:tc>
      </w:tr>
      <w:tr>
        <w:tc>
          <w:tcPr>
            <w:tcW w:type="dxa" w:w="1872"/>
            <w:vAlign w:val="center"/>
          </w:tcPr>
          <w:p>
            <w:r>
              <w:rPr>
                <w:b w:val="0"/>
                <w:i w:val="0"/>
                <w:sz w:val="18"/>
              </w:rPr>
              <w:t>Lumbee Tribe</w:t>
            </w:r>
          </w:p>
        </w:tc>
        <w:tc>
          <w:tcPr>
            <w:tcW w:type="dxa" w:w="3456"/>
            <w:vAlign w:val="center"/>
          </w:tcPr>
          <w:p>
            <w:r>
              <w:rPr>
                <w:b w:val="0"/>
                <w:i w:val="0"/>
                <w:sz w:val="18"/>
              </w:rPr>
              <w:t>Lumbee Tribe of North Carolina</w:t>
            </w:r>
          </w:p>
        </w:tc>
        <w:tc>
          <w:tcPr>
            <w:tcW w:type="dxa" w:w="4032"/>
            <w:vAlign w:val="center"/>
          </w:tcPr>
          <w:p>
            <w:r>
              <w:rPr>
                <w:b w:val="0"/>
                <w:i w:val="0"/>
                <w:sz w:val="18"/>
              </w:rPr>
              <w:t>TBCP award recipient and steward; owner of the Grant-Funded Assets; holds the Federal Interest and grant-compliance obligations.</w:t>
            </w:r>
          </w:p>
        </w:tc>
      </w:tr>
      <w:tr>
        <w:tc>
          <w:tcPr>
            <w:tcW w:type="dxa" w:w="1872"/>
            <w:shd w:val="clear" w:color="auto" w:fill="F2F2F2"/>
            <w:vAlign w:val="center"/>
          </w:tcPr>
          <w:p>
            <w:r>
              <w:rPr>
                <w:b w:val="0"/>
                <w:i w:val="0"/>
                <w:sz w:val="18"/>
              </w:rPr>
              <w:t>RIVR Tech</w:t>
            </w:r>
          </w:p>
        </w:tc>
        <w:tc>
          <w:tcPr>
            <w:tcW w:type="dxa" w:w="3456"/>
            <w:shd w:val="clear" w:color="auto" w:fill="F2F2F2"/>
            <w:vAlign w:val="center"/>
          </w:tcPr>
          <w:p>
            <w:r>
              <w:rPr>
                <w:b w:val="0"/>
                <w:i w:val="0"/>
                <w:sz w:val="18"/>
              </w:rPr>
              <w:t>LREMC Technologies, LLC d/b/a RIVR Tech</w:t>
            </w:r>
          </w:p>
        </w:tc>
        <w:tc>
          <w:tcPr>
            <w:tcW w:type="dxa" w:w="4032"/>
            <w:shd w:val="clear" w:color="auto" w:fill="F2F2F2"/>
            <w:vAlign w:val="center"/>
          </w:tcPr>
          <w:p>
            <w:r>
              <w:rPr>
                <w:b w:val="0"/>
                <w:i w:val="0"/>
                <w:sz w:val="18"/>
              </w:rPr>
              <w:t>Design/engineering/procurement/construction party (DEPC), network operator, and retail provider of record via the IRU; paid on a per-Active-Subscriber basis. Contractor-vs-subrecipient status to be determined (2 CFR 200.331).</w:t>
            </w:r>
          </w:p>
        </w:tc>
      </w:tr>
      <w:tr>
        <w:tc>
          <w:tcPr>
            <w:tcW w:type="dxa" w:w="1872"/>
            <w:vAlign w:val="center"/>
          </w:tcPr>
          <w:p>
            <w:r>
              <w:rPr>
                <w:b w:val="0"/>
                <w:i w:val="0"/>
                <w:sz w:val="18"/>
              </w:rPr>
              <w:t>LREMC</w:t>
            </w:r>
          </w:p>
        </w:tc>
        <w:tc>
          <w:tcPr>
            <w:tcW w:type="dxa" w:w="3456"/>
            <w:vAlign w:val="center"/>
          </w:tcPr>
          <w:p>
            <w:r>
              <w:rPr>
                <w:b w:val="0"/>
                <w:i w:val="0"/>
                <w:sz w:val="18"/>
              </w:rPr>
              <w:t>Lumbee River Electric Membership Corporation d/b/a Lumbee River EMC</w:t>
            </w:r>
          </w:p>
        </w:tc>
        <w:tc>
          <w:tcPr>
            <w:tcW w:type="dxa" w:w="4032"/>
            <w:vAlign w:val="center"/>
          </w:tcPr>
          <w:p>
            <w:r>
              <w:rPr>
                <w:b w:val="0"/>
                <w:i w:val="0"/>
                <w:sz w:val="18"/>
              </w:rPr>
              <w:t>Separate asset owner of LREMC Facilities (poles, conduit, fiber, easements, huts, power, land). Participates by consent/joinder only; its assets are never assumed owned by RIVR Tech.</w:t>
            </w:r>
          </w:p>
        </w:tc>
      </w:tr>
    </w:tbl>
    <w:p>
      <w:pPr>
        <w:pStyle w:val="Heading1"/>
        <w:spacing w:before="240" w:after="120"/>
      </w:pPr>
      <w:r>
        <w:rPr>
          <w:rFonts w:ascii="Calibri" w:hAnsi="Calibri"/>
          <w:b/>
          <w:color w:val="1F3864"/>
          <w:sz w:val="26"/>
        </w:rPr>
        <w:t>ARTICLE 3.  RECOMMENDED TRANSACTION STRUCTURE AND BUSINESS MODEL</w:t>
      </w:r>
    </w:p>
    <w:p>
      <w:pPr>
        <w:pStyle w:val="Heading2"/>
        <w:spacing w:before="160" w:after="60"/>
      </w:pPr>
      <w:r>
        <w:rPr>
          <w:rFonts w:ascii="Calibri" w:hAnsi="Calibri"/>
          <w:b/>
          <w:color w:val="000000"/>
          <w:sz w:val="22"/>
        </w:rPr>
        <w:t>3.1  Business Model in Brief</w:t>
      </w:r>
    </w:p>
    <w:p>
      <w:pPr>
        <w:pStyle w:val="ListBullet"/>
      </w:pPr>
      <w:r>
        <w:rPr>
          <w:b w:val="0"/>
          <w:i w:val="0"/>
        </w:rPr>
        <w:t>The Lumbee Tribe owns the Grant-Funded Assets (the grant-funded portion of the Tribal Network) and holds the Federal Interest.</w:t>
      </w:r>
    </w:p>
    <w:p>
      <w:pPr>
        <w:pStyle w:val="ListBullet"/>
      </w:pPr>
      <w:r>
        <w:rPr>
          <w:b w:val="0"/>
          <w:i w:val="0"/>
        </w:rPr>
        <w:t>RIVR Tech receives an IRU (Indefeasible Right of Use) and network-access rights, and acts as operator and retail provider of record within the Approved Project Area.</w:t>
      </w:r>
    </w:p>
    <w:p>
      <w:pPr>
        <w:pStyle w:val="ListBullet"/>
      </w:pPr>
      <w:r>
        <w:rPr>
          <w:b w:val="0"/>
          <w:i w:val="0"/>
        </w:rPr>
        <w:t>RIVR Tech pays the Lumbee Tribe a per-Active-Subscriber operating payment ($[X] per Active Subscriber per month); economic characterization is provisional (see Article 6).</w:t>
      </w:r>
    </w:p>
    <w:p>
      <w:pPr>
        <w:pStyle w:val="ListBullet"/>
      </w:pPr>
      <w:r>
        <w:rPr>
          <w:b w:val="0"/>
          <w:i w:val="0"/>
        </w:rPr>
        <w:t>LREMC contributes LREMC Facilities only under a separate owner-approved agreement, consent, or joinder — never by assumption.</w:t>
      </w:r>
    </w:p>
    <w:p>
      <w:pPr>
        <w:pStyle w:val="ListBullet"/>
      </w:pPr>
      <w:r>
        <w:rPr>
          <w:b w:val="0"/>
          <w:i w:val="0"/>
        </w:rPr>
        <w:t>Term: 20 years from acceptance of each Network segment, plus two (2) optional renewal terms of five (5) years each, subject to the useful life of the Grant-Funded Assets, the duration of the underlying land/access rights, the Federal Interest period, and the controlling Award.</w:t>
      </w:r>
    </w:p>
    <w:p>
      <w:pPr>
        <w:pStyle w:val="Heading2"/>
        <w:spacing w:before="160" w:after="60"/>
      </w:pPr>
      <w:r>
        <w:rPr>
          <w:rFonts w:ascii="Calibri" w:hAnsi="Calibri"/>
          <w:b/>
          <w:color w:val="000000"/>
          <w:sz w:val="22"/>
        </w:rPr>
        <w:t>3.2  Responsibility Allocation</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1F3864"/>
            <w:vAlign w:val="center"/>
          </w:tcPr>
          <w:p>
            <w:pPr>
              <w:jc w:val="center"/>
            </w:pPr>
            <w:r>
              <w:rPr>
                <w:b/>
                <w:color w:val="FFFFFF"/>
                <w:sz w:val="18"/>
              </w:rPr>
              <w:t>Function</w:t>
            </w:r>
          </w:p>
        </w:tc>
        <w:tc>
          <w:tcPr>
            <w:tcW w:type="dxa" w:w="3024"/>
            <w:shd w:val="clear" w:color="auto" w:fill="1F3864"/>
            <w:vAlign w:val="center"/>
          </w:tcPr>
          <w:p>
            <w:pPr>
              <w:jc w:val="center"/>
            </w:pPr>
            <w:r>
              <w:rPr>
                <w:b/>
                <w:color w:val="FFFFFF"/>
                <w:sz w:val="18"/>
              </w:rPr>
              <w:t>Primary</w:t>
            </w:r>
          </w:p>
        </w:tc>
        <w:tc>
          <w:tcPr>
            <w:tcW w:type="dxa" w:w="2592"/>
            <w:shd w:val="clear" w:color="auto" w:fill="1F3864"/>
            <w:vAlign w:val="center"/>
          </w:tcPr>
          <w:p>
            <w:pPr>
              <w:jc w:val="center"/>
            </w:pPr>
            <w:r>
              <w:rPr>
                <w:b/>
                <w:color w:val="FFFFFF"/>
                <w:sz w:val="18"/>
              </w:rPr>
              <w:t>Support / Consent</w:t>
            </w:r>
          </w:p>
        </w:tc>
      </w:tr>
      <w:tr>
        <w:tc>
          <w:tcPr>
            <w:tcW w:type="dxa" w:w="3744"/>
            <w:vAlign w:val="center"/>
          </w:tcPr>
          <w:p>
            <w:r>
              <w:rPr>
                <w:b w:val="0"/>
                <w:i w:val="0"/>
                <w:sz w:val="18"/>
              </w:rPr>
              <w:t>Asset ownership &amp; Federal Interest</w:t>
            </w:r>
          </w:p>
        </w:tc>
        <w:tc>
          <w:tcPr>
            <w:tcW w:type="dxa" w:w="3024"/>
            <w:vAlign w:val="center"/>
          </w:tcPr>
          <w:p>
            <w:r>
              <w:rPr>
                <w:b w:val="0"/>
                <w:i w:val="0"/>
                <w:sz w:val="18"/>
              </w:rPr>
              <w:t>Lumbee Tribe</w:t>
            </w:r>
          </w:p>
        </w:tc>
        <w:tc>
          <w:tcPr>
            <w:tcW w:type="dxa" w:w="2592"/>
            <w:vAlign w:val="center"/>
          </w:tcPr>
          <w:p>
            <w:r>
              <w:rPr>
                <w:b w:val="0"/>
                <w:i w:val="0"/>
                <w:sz w:val="18"/>
              </w:rPr>
              <w:t>RIVR Tech (steward duties)</w:t>
            </w:r>
          </w:p>
        </w:tc>
      </w:tr>
      <w:tr>
        <w:tc>
          <w:tcPr>
            <w:tcW w:type="dxa" w:w="3744"/>
            <w:shd w:val="clear" w:color="auto" w:fill="F2F2F2"/>
            <w:vAlign w:val="center"/>
          </w:tcPr>
          <w:p>
            <w:r>
              <w:rPr>
                <w:b w:val="0"/>
                <w:i w:val="0"/>
                <w:sz w:val="18"/>
              </w:rPr>
              <w:t>Design / engineering / procurement / construction</w:t>
            </w:r>
          </w:p>
        </w:tc>
        <w:tc>
          <w:tcPr>
            <w:tcW w:type="dxa" w:w="3024"/>
            <w:shd w:val="clear" w:color="auto" w:fill="F2F2F2"/>
            <w:vAlign w:val="center"/>
          </w:tcPr>
          <w:p>
            <w:r>
              <w:rPr>
                <w:b w:val="0"/>
                <w:i w:val="0"/>
                <w:sz w:val="18"/>
              </w:rPr>
              <w:t>RIVR Tech (DEPC)</w:t>
            </w:r>
          </w:p>
        </w:tc>
        <w:tc>
          <w:tcPr>
            <w:tcW w:type="dxa" w:w="2592"/>
            <w:shd w:val="clear" w:color="auto" w:fill="F2F2F2"/>
            <w:vAlign w:val="center"/>
          </w:tcPr>
          <w:p>
            <w:r>
              <w:rPr>
                <w:b w:val="0"/>
                <w:i w:val="0"/>
                <w:sz w:val="18"/>
              </w:rPr>
              <w:t>Lumbee Tribe (approval)</w:t>
            </w:r>
          </w:p>
        </w:tc>
      </w:tr>
      <w:tr>
        <w:tc>
          <w:tcPr>
            <w:tcW w:type="dxa" w:w="3744"/>
            <w:vAlign w:val="center"/>
          </w:tcPr>
          <w:p>
            <w:r>
              <w:rPr>
                <w:b w:val="0"/>
                <w:i w:val="0"/>
                <w:sz w:val="18"/>
              </w:rPr>
              <w:t>Network operations, maintenance, lifecycle</w:t>
            </w:r>
          </w:p>
        </w:tc>
        <w:tc>
          <w:tcPr>
            <w:tcW w:type="dxa" w:w="3024"/>
            <w:vAlign w:val="center"/>
          </w:tcPr>
          <w:p>
            <w:r>
              <w:rPr>
                <w:b w:val="0"/>
                <w:i w:val="0"/>
                <w:sz w:val="18"/>
              </w:rPr>
              <w:t>RIVR Tech</w:t>
            </w:r>
          </w:p>
        </w:tc>
        <w:tc>
          <w:tcPr>
            <w:tcW w:type="dxa" w:w="2592"/>
            <w:vAlign w:val="center"/>
          </w:tcPr>
          <w:p>
            <w:r>
              <w:rPr>
                <w:b w:val="0"/>
                <w:i w:val="0"/>
                <w:sz w:val="18"/>
              </w:rPr>
              <w:t>Lumbee Tribe (oversight)</w:t>
            </w:r>
          </w:p>
        </w:tc>
      </w:tr>
      <w:tr>
        <w:tc>
          <w:tcPr>
            <w:tcW w:type="dxa" w:w="3744"/>
            <w:shd w:val="clear" w:color="auto" w:fill="F2F2F2"/>
            <w:vAlign w:val="center"/>
          </w:tcPr>
          <w:p>
            <w:r>
              <w:rPr>
                <w:b w:val="0"/>
                <w:i w:val="0"/>
                <w:sz w:val="18"/>
              </w:rPr>
              <w:t>Retail service, billing, subscribers</w:t>
            </w:r>
          </w:p>
        </w:tc>
        <w:tc>
          <w:tcPr>
            <w:tcW w:type="dxa" w:w="3024"/>
            <w:shd w:val="clear" w:color="auto" w:fill="F2F2F2"/>
            <w:vAlign w:val="center"/>
          </w:tcPr>
          <w:p>
            <w:r>
              <w:rPr>
                <w:b w:val="0"/>
                <w:i w:val="0"/>
                <w:sz w:val="18"/>
              </w:rPr>
              <w:t>RIVR Tech (provider of record)</w:t>
            </w:r>
          </w:p>
        </w:tc>
        <w:tc>
          <w:tcPr>
            <w:tcW w:type="dxa" w:w="2592"/>
            <w:shd w:val="clear" w:color="auto" w:fill="F2F2F2"/>
            <w:vAlign w:val="center"/>
          </w:tcPr>
          <w:p>
            <w:r>
              <w:rPr>
                <w:b w:val="0"/>
                <w:i w:val="0"/>
                <w:sz w:val="18"/>
              </w:rPr>
              <w:t>Lumbee Tribe</w:t>
            </w:r>
          </w:p>
        </w:tc>
      </w:tr>
      <w:tr>
        <w:tc>
          <w:tcPr>
            <w:tcW w:type="dxa" w:w="3744"/>
            <w:vAlign w:val="center"/>
          </w:tcPr>
          <w:p>
            <w:r>
              <w:rPr>
                <w:b w:val="0"/>
                <w:i w:val="0"/>
                <w:sz w:val="18"/>
              </w:rPr>
              <w:t>Grant compliance, reporting, audit</w:t>
            </w:r>
          </w:p>
        </w:tc>
        <w:tc>
          <w:tcPr>
            <w:tcW w:type="dxa" w:w="3024"/>
            <w:vAlign w:val="center"/>
          </w:tcPr>
          <w:p>
            <w:r>
              <w:rPr>
                <w:b w:val="0"/>
                <w:i w:val="0"/>
                <w:sz w:val="18"/>
              </w:rPr>
              <w:t>Lumbee Tribe (recipient)</w:t>
            </w:r>
          </w:p>
        </w:tc>
        <w:tc>
          <w:tcPr>
            <w:tcW w:type="dxa" w:w="2592"/>
            <w:vAlign w:val="center"/>
          </w:tcPr>
          <w:p>
            <w:r>
              <w:rPr>
                <w:b w:val="0"/>
                <w:i w:val="0"/>
                <w:sz w:val="18"/>
              </w:rPr>
              <w:t>RIVR Tech (records/support)</w:t>
            </w:r>
          </w:p>
        </w:tc>
      </w:tr>
      <w:tr>
        <w:tc>
          <w:tcPr>
            <w:tcW w:type="dxa" w:w="3744"/>
            <w:shd w:val="clear" w:color="auto" w:fill="F2F2F2"/>
            <w:vAlign w:val="center"/>
          </w:tcPr>
          <w:p>
            <w:r>
              <w:rPr>
                <w:b w:val="0"/>
                <w:i w:val="0"/>
                <w:sz w:val="18"/>
              </w:rPr>
              <w:t>Poles / conduit / land / power</w:t>
            </w:r>
          </w:p>
        </w:tc>
        <w:tc>
          <w:tcPr>
            <w:tcW w:type="dxa" w:w="3024"/>
            <w:shd w:val="clear" w:color="auto" w:fill="F2F2F2"/>
            <w:vAlign w:val="center"/>
          </w:tcPr>
          <w:p>
            <w:r>
              <w:rPr>
                <w:b w:val="0"/>
                <w:i w:val="0"/>
                <w:sz w:val="18"/>
              </w:rPr>
              <w:t>LREMC (owner)</w:t>
            </w:r>
          </w:p>
        </w:tc>
        <w:tc>
          <w:tcPr>
            <w:tcW w:type="dxa" w:w="2592"/>
            <w:shd w:val="clear" w:color="auto" w:fill="F2F2F2"/>
            <w:vAlign w:val="center"/>
          </w:tcPr>
          <w:p>
            <w:r>
              <w:rPr>
                <w:b w:val="0"/>
                <w:i w:val="0"/>
                <w:sz w:val="18"/>
              </w:rPr>
              <w:t>Tribe / RIVR Tech (consent/joinder)</w:t>
            </w:r>
          </w:p>
        </w:tc>
      </w:tr>
    </w:tbl>
    <w:p>
      <w:pPr>
        <w:pStyle w:val="Heading2"/>
        <w:spacing w:before="160" w:after="60"/>
      </w:pPr>
      <w:r>
        <w:rPr>
          <w:rFonts w:ascii="Calibri" w:hAnsi="Calibri"/>
          <w:b/>
          <w:color w:val="000000"/>
          <w:sz w:val="22"/>
        </w:rPr>
        <w:t>3.3  Asset Ownership Summary</w:t>
      </w:r>
    </w:p>
    <w:tbl>
      <w:tblPr>
        <w:tblStyle w:val="TableGrid"/>
        <w:tblW w:type="auto" w:w="0"/>
        <w:jc w:val="center"/>
        <w:tblLook w:firstColumn="1" w:firstRow="1" w:lastColumn="0" w:lastRow="0" w:noHBand="0" w:noVBand="1" w:val="04A0"/>
      </w:tblPr>
      <w:tblGrid>
        <w:gridCol w:w="3120"/>
        <w:gridCol w:w="3120"/>
        <w:gridCol w:w="3120"/>
      </w:tblGrid>
      <w:tr>
        <w:tc>
          <w:tcPr>
            <w:tcW w:type="dxa" w:w="4176"/>
            <w:shd w:val="clear" w:color="auto" w:fill="1F3864"/>
            <w:vAlign w:val="center"/>
          </w:tcPr>
          <w:p>
            <w:pPr>
              <w:jc w:val="center"/>
            </w:pPr>
            <w:r>
              <w:rPr>
                <w:b/>
                <w:color w:val="FFFFFF"/>
                <w:sz w:val="18"/>
              </w:rPr>
              <w:t>Asset Class</w:t>
            </w:r>
          </w:p>
        </w:tc>
        <w:tc>
          <w:tcPr>
            <w:tcW w:type="dxa" w:w="2160"/>
            <w:shd w:val="clear" w:color="auto" w:fill="1F3864"/>
            <w:vAlign w:val="center"/>
          </w:tcPr>
          <w:p>
            <w:pPr>
              <w:jc w:val="center"/>
            </w:pPr>
            <w:r>
              <w:rPr>
                <w:b/>
                <w:color w:val="FFFFFF"/>
                <w:sz w:val="18"/>
              </w:rPr>
              <w:t>Owner</w:t>
            </w:r>
          </w:p>
        </w:tc>
        <w:tc>
          <w:tcPr>
            <w:tcW w:type="dxa" w:w="3024"/>
            <w:shd w:val="clear" w:color="auto" w:fill="1F3864"/>
            <w:vAlign w:val="center"/>
          </w:tcPr>
          <w:p>
            <w:pPr>
              <w:jc w:val="center"/>
            </w:pPr>
            <w:r>
              <w:rPr>
                <w:b/>
                <w:color w:val="FFFFFF"/>
                <w:sz w:val="18"/>
              </w:rPr>
              <w:t>Instrument Governing Use</w:t>
            </w:r>
          </w:p>
        </w:tc>
      </w:tr>
      <w:tr>
        <w:tc>
          <w:tcPr>
            <w:tcW w:type="dxa" w:w="4176"/>
            <w:vAlign w:val="center"/>
          </w:tcPr>
          <w:p>
            <w:r>
              <w:rPr>
                <w:b w:val="0"/>
                <w:i w:val="0"/>
                <w:sz w:val="18"/>
              </w:rPr>
              <w:t>Grant-Funded Assets (grant-funded fiber/electronics)</w:t>
            </w:r>
          </w:p>
        </w:tc>
        <w:tc>
          <w:tcPr>
            <w:tcW w:type="dxa" w:w="2160"/>
            <w:vAlign w:val="center"/>
          </w:tcPr>
          <w:p>
            <w:r>
              <w:rPr>
                <w:b w:val="0"/>
                <w:i w:val="0"/>
                <w:sz w:val="18"/>
              </w:rPr>
              <w:t>Lumbee Tribe</w:t>
            </w:r>
          </w:p>
        </w:tc>
        <w:tc>
          <w:tcPr>
            <w:tcW w:type="dxa" w:w="3024"/>
            <w:vAlign w:val="center"/>
          </w:tcPr>
          <w:p>
            <w:r>
              <w:rPr>
                <w:b w:val="0"/>
                <w:i w:val="0"/>
                <w:sz w:val="18"/>
              </w:rPr>
              <w:t>Indefeasible Right of Use and Network Access Agreement</w:t>
            </w:r>
          </w:p>
        </w:tc>
      </w:tr>
      <w:tr>
        <w:tc>
          <w:tcPr>
            <w:tcW w:type="dxa" w:w="4176"/>
            <w:shd w:val="clear" w:color="auto" w:fill="F2F2F2"/>
            <w:vAlign w:val="center"/>
          </w:tcPr>
          <w:p>
            <w:r>
              <w:rPr>
                <w:b w:val="0"/>
                <w:i w:val="0"/>
                <w:sz w:val="18"/>
              </w:rPr>
              <w:t>RIVR Tech Existing Network (core/transport/NOC/billing)</w:t>
            </w:r>
          </w:p>
        </w:tc>
        <w:tc>
          <w:tcPr>
            <w:tcW w:type="dxa" w:w="2160"/>
            <w:shd w:val="clear" w:color="auto" w:fill="F2F2F2"/>
            <w:vAlign w:val="center"/>
          </w:tcPr>
          <w:p>
            <w:r>
              <w:rPr>
                <w:b w:val="0"/>
                <w:i w:val="0"/>
                <w:sz w:val="18"/>
              </w:rPr>
              <w:t>RIVR Tech</w:t>
            </w:r>
          </w:p>
        </w:tc>
        <w:tc>
          <w:tcPr>
            <w:tcW w:type="dxa" w:w="3024"/>
            <w:shd w:val="clear" w:color="auto" w:fill="F2F2F2"/>
            <w:vAlign w:val="center"/>
          </w:tcPr>
          <w:p>
            <w:r>
              <w:rPr>
                <w:b w:val="0"/>
                <w:i w:val="0"/>
                <w:sz w:val="18"/>
              </w:rPr>
              <w:t>Network Interconnection, Transport, Equipment, and Shared Facilities Agreement</w:t>
            </w:r>
          </w:p>
        </w:tc>
      </w:tr>
      <w:tr>
        <w:tc>
          <w:tcPr>
            <w:tcW w:type="dxa" w:w="4176"/>
            <w:vAlign w:val="center"/>
          </w:tcPr>
          <w:p>
            <w:r>
              <w:rPr>
                <w:b w:val="0"/>
                <w:i w:val="0"/>
                <w:sz w:val="18"/>
              </w:rPr>
              <w:t>LREMC Facilities (poles/conduit/easements/huts/power/land)</w:t>
            </w:r>
          </w:p>
        </w:tc>
        <w:tc>
          <w:tcPr>
            <w:tcW w:type="dxa" w:w="2160"/>
            <w:vAlign w:val="center"/>
          </w:tcPr>
          <w:p>
            <w:r>
              <w:rPr>
                <w:b w:val="0"/>
                <w:i w:val="0"/>
                <w:sz w:val="18"/>
              </w:rPr>
              <w:t>LREMC</w:t>
            </w:r>
          </w:p>
        </w:tc>
        <w:tc>
          <w:tcPr>
            <w:tcW w:type="dxa" w:w="3024"/>
            <w:vAlign w:val="center"/>
          </w:tcPr>
          <w:p>
            <w:r>
              <w:rPr>
                <w:b w:val="0"/>
                <w:i w:val="0"/>
                <w:sz w:val="18"/>
              </w:rPr>
              <w:t>Land, Easement, Right-of-Way, Pole, Site, Power, and Facility Instruments (consent/joinder)</w:t>
            </w:r>
          </w:p>
        </w:tc>
      </w:tr>
      <w:tr>
        <w:tc>
          <w:tcPr>
            <w:tcW w:type="dxa" w:w="4176"/>
            <w:shd w:val="clear" w:color="auto" w:fill="F2F2F2"/>
            <w:vAlign w:val="center"/>
          </w:tcPr>
          <w:p>
            <w:r>
              <w:rPr>
                <w:b w:val="0"/>
                <w:i w:val="0"/>
                <w:sz w:val="18"/>
              </w:rPr>
              <w:t>Jointly Funded Assets (if any)</w:t>
            </w:r>
          </w:p>
        </w:tc>
        <w:tc>
          <w:tcPr>
            <w:tcW w:type="dxa" w:w="2160"/>
            <w:shd w:val="clear" w:color="auto" w:fill="F2F2F2"/>
            <w:vAlign w:val="center"/>
          </w:tcPr>
          <w:p>
            <w:r>
              <w:rPr>
                <w:b w:val="0"/>
                <w:i w:val="0"/>
                <w:sz w:val="18"/>
              </w:rPr>
              <w:t>Per S3 register</w:t>
            </w:r>
          </w:p>
        </w:tc>
        <w:tc>
          <w:tcPr>
            <w:tcW w:type="dxa" w:w="3024"/>
            <w:shd w:val="clear" w:color="auto" w:fill="F2F2F2"/>
            <w:vAlign w:val="center"/>
          </w:tcPr>
          <w:p>
            <w:r>
              <w:rPr>
                <w:b w:val="0"/>
                <w:i w:val="0"/>
                <w:sz w:val="18"/>
              </w:rPr>
              <w:t>Master TBCP Partnership and Implementation Agreement + S3/S10</w:t>
            </w:r>
          </w:p>
        </w:tc>
      </w:tr>
    </w:tbl>
    <w:p>
      <w:pPr>
        <w:pStyle w:val="Heading2"/>
        <w:spacing w:before="160" w:after="60"/>
      </w:pPr>
      <w:r>
        <w:rPr>
          <w:rFonts w:ascii="Calibri" w:hAnsi="Calibri"/>
          <w:b/>
          <w:color w:val="000000"/>
          <w:sz w:val="22"/>
        </w:rPr>
        <w:t>3.4  Payment Flow Summary</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color="auto" w:fill="1F3864"/>
            <w:vAlign w:val="center"/>
          </w:tcPr>
          <w:p>
            <w:pPr>
              <w:jc w:val="center"/>
            </w:pPr>
            <w:r>
              <w:rPr>
                <w:b/>
                <w:color w:val="FFFFFF"/>
                <w:sz w:val="18"/>
              </w:rPr>
              <w:t>Flow</w:t>
            </w:r>
          </w:p>
        </w:tc>
        <w:tc>
          <w:tcPr>
            <w:tcW w:type="dxa" w:w="3312"/>
            <w:shd w:val="clear" w:color="auto" w:fill="1F3864"/>
            <w:vAlign w:val="center"/>
          </w:tcPr>
          <w:p>
            <w:pPr>
              <w:jc w:val="center"/>
            </w:pPr>
            <w:r>
              <w:rPr>
                <w:b/>
                <w:color w:val="FFFFFF"/>
                <w:sz w:val="18"/>
              </w:rPr>
              <w:t>From → To</w:t>
            </w:r>
          </w:p>
        </w:tc>
        <w:tc>
          <w:tcPr>
            <w:tcW w:type="dxa" w:w="3024"/>
            <w:shd w:val="clear" w:color="auto" w:fill="1F3864"/>
            <w:vAlign w:val="center"/>
          </w:tcPr>
          <w:p>
            <w:pPr>
              <w:jc w:val="center"/>
            </w:pPr>
            <w:r>
              <w:rPr>
                <w:b/>
                <w:color w:val="FFFFFF"/>
                <w:sz w:val="18"/>
              </w:rPr>
              <w:t>Basis / Note</w:t>
            </w:r>
          </w:p>
        </w:tc>
      </w:tr>
      <w:tr>
        <w:tc>
          <w:tcPr>
            <w:tcW w:type="dxa" w:w="3024"/>
            <w:vAlign w:val="center"/>
          </w:tcPr>
          <w:p>
            <w:r>
              <w:rPr>
                <w:b w:val="0"/>
                <w:i w:val="0"/>
                <w:sz w:val="18"/>
              </w:rPr>
              <w:t>Retail revenue</w:t>
            </w:r>
          </w:p>
        </w:tc>
        <w:tc>
          <w:tcPr>
            <w:tcW w:type="dxa" w:w="3312"/>
            <w:vAlign w:val="center"/>
          </w:tcPr>
          <w:p>
            <w:r>
              <w:rPr>
                <w:b w:val="0"/>
                <w:i w:val="0"/>
                <w:sz w:val="18"/>
              </w:rPr>
              <w:t>Subscribers → RIVR Tech</w:t>
            </w:r>
          </w:p>
        </w:tc>
        <w:tc>
          <w:tcPr>
            <w:tcW w:type="dxa" w:w="3024"/>
            <w:vAlign w:val="center"/>
          </w:tcPr>
          <w:p>
            <w:r>
              <w:rPr>
                <w:b w:val="0"/>
                <w:i w:val="0"/>
                <w:sz w:val="18"/>
              </w:rPr>
              <w:t>Provider of record; net of taxes/fees</w:t>
            </w:r>
          </w:p>
        </w:tc>
      </w:tr>
      <w:tr>
        <w:tc>
          <w:tcPr>
            <w:tcW w:type="dxa" w:w="3024"/>
            <w:shd w:val="clear" w:color="auto" w:fill="F2F2F2"/>
            <w:vAlign w:val="center"/>
          </w:tcPr>
          <w:p>
            <w:r>
              <w:rPr>
                <w:b w:val="0"/>
                <w:i w:val="0"/>
                <w:sz w:val="18"/>
              </w:rPr>
              <w:t>Operating payment</w:t>
            </w:r>
          </w:p>
        </w:tc>
        <w:tc>
          <w:tcPr>
            <w:tcW w:type="dxa" w:w="3312"/>
            <w:shd w:val="clear" w:color="auto" w:fill="F2F2F2"/>
            <w:vAlign w:val="center"/>
          </w:tcPr>
          <w:p>
            <w:r>
              <w:rPr>
                <w:b w:val="0"/>
                <w:i w:val="0"/>
                <w:sz w:val="18"/>
              </w:rPr>
              <w:t>RIVR Tech → Lumbee Tribe</w:t>
            </w:r>
          </w:p>
        </w:tc>
        <w:tc>
          <w:tcPr>
            <w:tcW w:type="dxa" w:w="3024"/>
            <w:shd w:val="clear" w:color="auto" w:fill="F2F2F2"/>
            <w:vAlign w:val="center"/>
          </w:tcPr>
          <w:p>
            <w:r>
              <w:rPr>
                <w:b w:val="0"/>
                <w:i w:val="0"/>
                <w:sz w:val="18"/>
              </w:rPr>
              <w:t>$[X] per Active Subscriber per month (primary model)</w:t>
            </w:r>
          </w:p>
        </w:tc>
      </w:tr>
      <w:tr>
        <w:tc>
          <w:tcPr>
            <w:tcW w:type="dxa" w:w="3024"/>
            <w:vAlign w:val="center"/>
          </w:tcPr>
          <w:p>
            <w:r>
              <w:rPr>
                <w:b w:val="0"/>
                <w:i w:val="0"/>
                <w:sz w:val="18"/>
              </w:rPr>
              <w:t>Program income (if characterized)</w:t>
            </w:r>
          </w:p>
        </w:tc>
        <w:tc>
          <w:tcPr>
            <w:tcW w:type="dxa" w:w="3312"/>
            <w:vAlign w:val="center"/>
          </w:tcPr>
          <w:p>
            <w:r>
              <w:rPr>
                <w:b w:val="0"/>
                <w:i w:val="0"/>
                <w:sz w:val="18"/>
              </w:rPr>
              <w:t>Lumbee Tribe → Award</w:t>
            </w:r>
          </w:p>
        </w:tc>
        <w:tc>
          <w:tcPr>
            <w:tcW w:type="dxa" w:w="3024"/>
            <w:vAlign w:val="center"/>
          </w:tcPr>
          <w:p>
            <w:r>
              <w:rPr>
                <w:b w:val="0"/>
                <w:i w:val="0"/>
                <w:sz w:val="18"/>
              </w:rPr>
              <w:t>Per 2 CFR 200.307 and written NTIA determination</w:t>
            </w:r>
          </w:p>
        </w:tc>
      </w:tr>
      <w:tr>
        <w:tc>
          <w:tcPr>
            <w:tcW w:type="dxa" w:w="3024"/>
            <w:shd w:val="clear" w:color="auto" w:fill="F2F2F2"/>
            <w:vAlign w:val="center"/>
          </w:tcPr>
          <w:p>
            <w:r>
              <w:rPr>
                <w:b w:val="0"/>
                <w:i w:val="0"/>
                <w:sz w:val="18"/>
              </w:rPr>
              <w:t>Owner consideration (if any)</w:t>
            </w:r>
          </w:p>
        </w:tc>
        <w:tc>
          <w:tcPr>
            <w:tcW w:type="dxa" w:w="3312"/>
            <w:shd w:val="clear" w:color="auto" w:fill="F2F2F2"/>
            <w:vAlign w:val="center"/>
          </w:tcPr>
          <w:p>
            <w:r>
              <w:rPr>
                <w:b w:val="0"/>
                <w:i w:val="0"/>
                <w:sz w:val="18"/>
              </w:rPr>
              <w:t>Parties → LREMC</w:t>
            </w:r>
          </w:p>
        </w:tc>
        <w:tc>
          <w:tcPr>
            <w:tcW w:type="dxa" w:w="3024"/>
            <w:shd w:val="clear" w:color="auto" w:fill="F2F2F2"/>
            <w:vAlign w:val="center"/>
          </w:tcPr>
          <w:p>
            <w:r>
              <w:rPr>
                <w:b w:val="0"/>
                <w:i w:val="0"/>
                <w:sz w:val="18"/>
              </w:rPr>
              <w:t xml:space="preserve">Per separate LREMC agreement </w:t>
            </w:r>
            <w:r>
              <w:rPr>
                <w:b w:val="0"/>
                <w:i w:val="0"/>
                <w:color w:val="804000"/>
                <w:sz w:val="18"/>
                <w:highlight w:val="yellow"/>
              </w:rPr>
              <w:t>[■ terms]</w:t>
            </w:r>
          </w:p>
        </w:tc>
      </w:tr>
      <w:tr>
        <w:tc>
          <w:tcPr>
            <w:tcW w:type="dxa" w:w="3024"/>
            <w:vAlign w:val="center"/>
          </w:tcPr>
          <w:p>
            <w:r>
              <w:rPr>
                <w:b w:val="0"/>
                <w:i w:val="0"/>
                <w:sz w:val="18"/>
              </w:rPr>
              <w:t>Construction payments</w:t>
            </w:r>
          </w:p>
        </w:tc>
        <w:tc>
          <w:tcPr>
            <w:tcW w:type="dxa" w:w="3312"/>
            <w:vAlign w:val="center"/>
          </w:tcPr>
          <w:p>
            <w:r>
              <w:rPr>
                <w:b w:val="0"/>
                <w:i w:val="0"/>
                <w:sz w:val="18"/>
              </w:rPr>
              <w:t>Lumbee Tribe → RIVR Tech</w:t>
            </w:r>
          </w:p>
        </w:tc>
        <w:tc>
          <w:tcPr>
            <w:tcW w:type="dxa" w:w="3024"/>
            <w:vAlign w:val="center"/>
          </w:tcPr>
          <w:p>
            <w:r>
              <w:rPr>
                <w:b w:val="0"/>
                <w:i w:val="0"/>
                <w:sz w:val="18"/>
              </w:rPr>
              <w:t>DEPC milestones/retainage (S5)</w:t>
            </w:r>
          </w:p>
        </w:tc>
      </w:tr>
    </w:tbl>
    <w:p>
      <w:pPr>
        <w:pStyle w:val="Heading1"/>
        <w:spacing w:before="240" w:after="120"/>
      </w:pPr>
      <w:r>
        <w:rPr>
          <w:rFonts w:ascii="Calibri" w:hAnsi="Calibri"/>
          <w:b/>
          <w:color w:val="1F3864"/>
          <w:sz w:val="26"/>
        </w:rPr>
        <w:t>ARTICLE 4.  THRESHOLD LEGAL ISSUES</w:t>
      </w:r>
    </w:p>
    <w:p>
      <w:pPr>
        <w:pStyle w:val="Heading2"/>
        <w:spacing w:before="160" w:after="60"/>
      </w:pPr>
      <w:r>
        <w:rPr>
          <w:rFonts w:ascii="Calibri" w:hAnsi="Calibri"/>
          <w:b/>
          <w:color w:val="000000"/>
          <w:sz w:val="22"/>
        </w:rPr>
        <w:t>4.1  Lumbee Federal-Recognition Status (Threshold Eligibility)</w:t>
      </w:r>
    </w:p>
    <w:p>
      <w:r>
        <w:rPr>
          <w:b w:val="0"/>
          <w:i w:val="0"/>
        </w:rPr>
        <w:t xml:space="preserve">Whether the Lumbee Tribe qualifies as an eligible TBCP entity turns on its federal-recognition status under the Lumbee Act of 1956, Pub. L. 84-570, 70 Stat. 254 (federal-recognition status affecting TBCP eligibility). This is a threshold eligibility question that must be resolved before the parties rely on any term of this package. </w:t>
      </w:r>
      <w:r>
        <w:rPr>
          <w:b/>
          <w:i w:val="0"/>
          <w:color w:val="7F007F"/>
        </w:rPr>
        <w:t>[GRANT COMPLIANCE REVIEW REQUIRED]</w:t>
      </w:r>
      <w:r>
        <w:rPr>
          <w:b w:val="0"/>
          <w:i w:val="0"/>
        </w:rPr>
        <w:t xml:space="preserve"> </w:t>
      </w:r>
      <w:r>
        <w:rPr>
          <w:b/>
          <w:i w:val="0"/>
          <w:color w:val="0000C0"/>
        </w:rPr>
        <w:t>[ATTORNEY REVIEW REQUIRED]</w:t>
      </w:r>
    </w:p>
    <w:p>
      <w:pPr>
        <w:pStyle w:val="Heading2"/>
        <w:spacing w:before="160" w:after="60"/>
      </w:pPr>
      <w:r>
        <w:rPr>
          <w:rFonts w:ascii="Calibri" w:hAnsi="Calibri"/>
          <w:b/>
          <w:color w:val="000000"/>
          <w:sz w:val="22"/>
        </w:rPr>
        <w:t>4.2  Contractor vs. Subrecipient Determination</w:t>
      </w:r>
    </w:p>
    <w:p>
      <w:r>
        <w:rPr>
          <w:b w:val="0"/>
          <w:i w:val="0"/>
        </w:rPr>
        <w:t xml:space="preserve">RIVR Tech's status must be determined under 2 CFR 200.331 (Subrecipient and contractor determinations) and pass-through obligations under 2 CFR 200.332 (Requirements for pass-through entities). The recommended structure positions RIVR Tech as a lean contractor (procuring services at defined prices, not administering the subaward), but the determination is substance-over-form and must be confirmed. </w:t>
      </w:r>
      <w:r>
        <w:rPr>
          <w:b/>
          <w:i w:val="0"/>
          <w:color w:val="7F007F"/>
        </w:rPr>
        <w:t>[GRANT COMPLIANCE REVIEW REQUIRED]</w:t>
      </w:r>
    </w:p>
    <w:p>
      <w:pPr>
        <w:ind w:left="504"/>
      </w:pPr>
      <w:r>
        <w:rPr>
          <w:b/>
          <w:color w:val="0000C0"/>
        </w:rPr>
        <w:t xml:space="preserve">[ATTORNEY REVIEW REQUIRED]  </w:t>
      </w:r>
      <w:r>
        <w:rPr>
          <w:i/>
          <w:color w:val="595959"/>
        </w:rPr>
        <w:t>A contractor characterization avoids passing subrecipient monitoring duties to RIVR Tech; confirm against the controlling award and 2 CFR 200.331 factors.</w:t>
      </w:r>
    </w:p>
    <w:p>
      <w:pPr>
        <w:pStyle w:val="Heading1"/>
        <w:spacing w:before="240" w:after="120"/>
      </w:pPr>
      <w:r>
        <w:rPr>
          <w:rFonts w:ascii="Calibri" w:hAnsi="Calibri"/>
          <w:b/>
          <w:color w:val="1F3864"/>
          <w:sz w:val="26"/>
        </w:rPr>
        <w:t>ARTICLE 5.  PACKAGE CONTENTS SUMMARY</w:t>
      </w:r>
    </w:p>
    <w:p>
      <w:pPr>
        <w:pStyle w:val="Heading2"/>
        <w:spacing w:before="160" w:after="60"/>
      </w:pPr>
      <w:r>
        <w:rPr>
          <w:rFonts w:ascii="Calibri" w:hAnsi="Calibri"/>
          <w:b/>
          <w:color w:val="000000"/>
          <w:sz w:val="22"/>
        </w:rPr>
        <w:t>5.1  The Ten Definitive Agreements (02_Definitive_Agreements)</w:t>
      </w:r>
    </w:p>
    <w:tbl>
      <w:tblPr>
        <w:tblStyle w:val="TableGrid"/>
        <w:tblW w:type="auto" w:w="0"/>
        <w:jc w:val="center"/>
        <w:tblLook w:firstColumn="1" w:firstRow="1" w:lastColumn="0" w:lastRow="0" w:noHBand="0" w:noVBand="1" w:val="04A0"/>
      </w:tblPr>
      <w:tblGrid>
        <w:gridCol w:w="4680"/>
        <w:gridCol w:w="4680"/>
      </w:tblGrid>
      <w:tr>
        <w:tc>
          <w:tcPr>
            <w:tcW w:type="dxa" w:w="720"/>
            <w:shd w:val="clear" w:color="auto" w:fill="1F3864"/>
            <w:vAlign w:val="center"/>
          </w:tcPr>
          <w:p>
            <w:pPr>
              <w:jc w:val="center"/>
            </w:pPr>
            <w:r>
              <w:rPr>
                <w:b/>
                <w:color w:val="FFFFFF"/>
                <w:sz w:val="18"/>
              </w:rPr>
              <w:t>#</w:t>
            </w:r>
          </w:p>
        </w:tc>
        <w:tc>
          <w:tcPr>
            <w:tcW w:type="dxa" w:w="8640"/>
            <w:shd w:val="clear" w:color="auto" w:fill="1F3864"/>
            <w:vAlign w:val="center"/>
          </w:tcPr>
          <w:p>
            <w:pPr>
              <w:jc w:val="center"/>
            </w:pPr>
            <w:r>
              <w:rPr>
                <w:b/>
                <w:color w:val="FFFFFF"/>
                <w:sz w:val="18"/>
              </w:rPr>
              <w:t>Definitive Agreement</w:t>
            </w:r>
          </w:p>
        </w:tc>
      </w:tr>
      <w:tr>
        <w:tc>
          <w:tcPr>
            <w:tcW w:type="dxa" w:w="720"/>
            <w:vAlign w:val="center"/>
          </w:tcPr>
          <w:p>
            <w:pPr>
              <w:jc w:val="center"/>
            </w:pPr>
            <w:r>
              <w:rPr>
                <w:b w:val="0"/>
                <w:i w:val="0"/>
                <w:sz w:val="18"/>
              </w:rPr>
              <w:t>01</w:t>
            </w:r>
          </w:p>
        </w:tc>
        <w:tc>
          <w:tcPr>
            <w:tcW w:type="dxa" w:w="8640"/>
            <w:vAlign w:val="center"/>
          </w:tcPr>
          <w:p>
            <w:r>
              <w:rPr>
                <w:b w:val="0"/>
                <w:i w:val="0"/>
                <w:sz w:val="18"/>
              </w:rPr>
              <w:t>Master TBCP Partnership and Implementation Agreement</w:t>
            </w:r>
          </w:p>
        </w:tc>
      </w:tr>
      <w:tr>
        <w:tc>
          <w:tcPr>
            <w:tcW w:type="dxa" w:w="720"/>
            <w:shd w:val="clear" w:color="auto" w:fill="F2F2F2"/>
            <w:vAlign w:val="center"/>
          </w:tcPr>
          <w:p>
            <w:pPr>
              <w:jc w:val="center"/>
            </w:pPr>
            <w:r>
              <w:rPr>
                <w:b w:val="0"/>
                <w:i w:val="0"/>
                <w:sz w:val="18"/>
              </w:rPr>
              <w:t>02</w:t>
            </w:r>
          </w:p>
        </w:tc>
        <w:tc>
          <w:tcPr>
            <w:tcW w:type="dxa" w:w="8640"/>
            <w:shd w:val="clear" w:color="auto" w:fill="F2F2F2"/>
            <w:vAlign w:val="center"/>
          </w:tcPr>
          <w:p>
            <w:r>
              <w:rPr>
                <w:b w:val="0"/>
                <w:i w:val="0"/>
                <w:sz w:val="18"/>
              </w:rPr>
              <w:t>Design, Engineering, Procurement, and Construction Agreement</w:t>
            </w:r>
          </w:p>
        </w:tc>
      </w:tr>
      <w:tr>
        <w:tc>
          <w:tcPr>
            <w:tcW w:type="dxa" w:w="720"/>
            <w:vAlign w:val="center"/>
          </w:tcPr>
          <w:p>
            <w:pPr>
              <w:jc w:val="center"/>
            </w:pPr>
            <w:r>
              <w:rPr>
                <w:b w:val="0"/>
                <w:i w:val="0"/>
                <w:sz w:val="18"/>
              </w:rPr>
              <w:t>03</w:t>
            </w:r>
          </w:p>
        </w:tc>
        <w:tc>
          <w:tcPr>
            <w:tcW w:type="dxa" w:w="8640"/>
            <w:vAlign w:val="center"/>
          </w:tcPr>
          <w:p>
            <w:r>
              <w:rPr>
                <w:b w:val="0"/>
                <w:i w:val="0"/>
                <w:sz w:val="18"/>
              </w:rPr>
              <w:t>Indefeasible Right of Use and Network Access Agreement</w:t>
            </w:r>
          </w:p>
        </w:tc>
      </w:tr>
      <w:tr>
        <w:tc>
          <w:tcPr>
            <w:tcW w:type="dxa" w:w="720"/>
            <w:shd w:val="clear" w:color="auto" w:fill="F2F2F2"/>
            <w:vAlign w:val="center"/>
          </w:tcPr>
          <w:p>
            <w:pPr>
              <w:jc w:val="center"/>
            </w:pPr>
            <w:r>
              <w:rPr>
                <w:b w:val="0"/>
                <w:i w:val="0"/>
                <w:sz w:val="18"/>
              </w:rPr>
              <w:t>04</w:t>
            </w:r>
          </w:p>
        </w:tc>
        <w:tc>
          <w:tcPr>
            <w:tcW w:type="dxa" w:w="8640"/>
            <w:shd w:val="clear" w:color="auto" w:fill="F2F2F2"/>
            <w:vAlign w:val="center"/>
          </w:tcPr>
          <w:p>
            <w:r>
              <w:rPr>
                <w:b w:val="0"/>
                <w:i w:val="0"/>
                <w:sz w:val="18"/>
              </w:rPr>
              <w:t>Network Interconnection, Transport, Equipment, and Shared Facilities Agreement</w:t>
            </w:r>
          </w:p>
        </w:tc>
      </w:tr>
      <w:tr>
        <w:tc>
          <w:tcPr>
            <w:tcW w:type="dxa" w:w="720"/>
            <w:vAlign w:val="center"/>
          </w:tcPr>
          <w:p>
            <w:pPr>
              <w:jc w:val="center"/>
            </w:pPr>
            <w:r>
              <w:rPr>
                <w:b w:val="0"/>
                <w:i w:val="0"/>
                <w:sz w:val="18"/>
              </w:rPr>
              <w:t>05</w:t>
            </w:r>
          </w:p>
        </w:tc>
        <w:tc>
          <w:tcPr>
            <w:tcW w:type="dxa" w:w="8640"/>
            <w:vAlign w:val="center"/>
          </w:tcPr>
          <w:p>
            <w:r>
              <w:rPr>
                <w:b w:val="0"/>
                <w:i w:val="0"/>
                <w:sz w:val="18"/>
              </w:rPr>
              <w:t>Network Operations, Maintenance, and Lifecycle Agreement</w:t>
            </w:r>
          </w:p>
        </w:tc>
      </w:tr>
      <w:tr>
        <w:tc>
          <w:tcPr>
            <w:tcW w:type="dxa" w:w="720"/>
            <w:shd w:val="clear" w:color="auto" w:fill="F2F2F2"/>
            <w:vAlign w:val="center"/>
          </w:tcPr>
          <w:p>
            <w:pPr>
              <w:jc w:val="center"/>
            </w:pPr>
            <w:r>
              <w:rPr>
                <w:b w:val="0"/>
                <w:i w:val="0"/>
                <w:sz w:val="18"/>
              </w:rPr>
              <w:t>06</w:t>
            </w:r>
          </w:p>
        </w:tc>
        <w:tc>
          <w:tcPr>
            <w:tcW w:type="dxa" w:w="8640"/>
            <w:shd w:val="clear" w:color="auto" w:fill="F2F2F2"/>
            <w:vAlign w:val="center"/>
          </w:tcPr>
          <w:p>
            <w:r>
              <w:rPr>
                <w:b w:val="0"/>
                <w:i w:val="0"/>
                <w:sz w:val="18"/>
              </w:rPr>
              <w:t>Retail Customer Service, Billing, Collections, and Subscriber Revenue Agreement</w:t>
            </w:r>
          </w:p>
        </w:tc>
      </w:tr>
      <w:tr>
        <w:tc>
          <w:tcPr>
            <w:tcW w:type="dxa" w:w="720"/>
            <w:vAlign w:val="center"/>
          </w:tcPr>
          <w:p>
            <w:pPr>
              <w:jc w:val="center"/>
            </w:pPr>
            <w:r>
              <w:rPr>
                <w:b w:val="0"/>
                <w:i w:val="0"/>
                <w:sz w:val="18"/>
              </w:rPr>
              <w:t>07</w:t>
            </w:r>
          </w:p>
        </w:tc>
        <w:tc>
          <w:tcPr>
            <w:tcW w:type="dxa" w:w="8640"/>
            <w:vAlign w:val="center"/>
          </w:tcPr>
          <w:p>
            <w:r>
              <w:rPr>
                <w:b w:val="0"/>
                <w:i w:val="0"/>
                <w:sz w:val="18"/>
              </w:rPr>
              <w:t>Grant Finance, Reimbursement, Program Income, and Audit Agreement</w:t>
            </w:r>
          </w:p>
        </w:tc>
      </w:tr>
      <w:tr>
        <w:tc>
          <w:tcPr>
            <w:tcW w:type="dxa" w:w="720"/>
            <w:shd w:val="clear" w:color="auto" w:fill="F2F2F2"/>
            <w:vAlign w:val="center"/>
          </w:tcPr>
          <w:p>
            <w:pPr>
              <w:jc w:val="center"/>
            </w:pPr>
            <w:r>
              <w:rPr>
                <w:b w:val="0"/>
                <w:i w:val="0"/>
                <w:sz w:val="18"/>
              </w:rPr>
              <w:t>08</w:t>
            </w:r>
          </w:p>
        </w:tc>
        <w:tc>
          <w:tcPr>
            <w:tcW w:type="dxa" w:w="8640"/>
            <w:shd w:val="clear" w:color="auto" w:fill="F2F2F2"/>
            <w:vAlign w:val="center"/>
          </w:tcPr>
          <w:p>
            <w:r>
              <w:rPr>
                <w:b w:val="0"/>
                <w:i w:val="0"/>
                <w:sz w:val="18"/>
              </w:rPr>
              <w:t>Land, Easement, Right-of-Way, Pole, Site, Power, and Facility Instruments</w:t>
            </w:r>
          </w:p>
        </w:tc>
      </w:tr>
      <w:tr>
        <w:tc>
          <w:tcPr>
            <w:tcW w:type="dxa" w:w="720"/>
            <w:vAlign w:val="center"/>
          </w:tcPr>
          <w:p>
            <w:pPr>
              <w:jc w:val="center"/>
            </w:pPr>
            <w:r>
              <w:rPr>
                <w:b w:val="0"/>
                <w:i w:val="0"/>
                <w:sz w:val="18"/>
              </w:rPr>
              <w:t>09</w:t>
            </w:r>
          </w:p>
        </w:tc>
        <w:tc>
          <w:tcPr>
            <w:tcW w:type="dxa" w:w="8640"/>
            <w:vAlign w:val="center"/>
          </w:tcPr>
          <w:p>
            <w:r>
              <w:rPr>
                <w:b w:val="0"/>
                <w:i w:val="0"/>
                <w:sz w:val="18"/>
              </w:rPr>
              <w:t>Data Privacy, Cybersecurity, Supply-Chain Risk, and Business Continuity Addendum</w:t>
            </w:r>
          </w:p>
        </w:tc>
      </w:tr>
      <w:tr>
        <w:tc>
          <w:tcPr>
            <w:tcW w:type="dxa" w:w="720"/>
            <w:shd w:val="clear" w:color="auto" w:fill="F2F2F2"/>
            <w:vAlign w:val="center"/>
          </w:tcPr>
          <w:p>
            <w:pPr>
              <w:jc w:val="center"/>
            </w:pPr>
            <w:r>
              <w:rPr>
                <w:b w:val="0"/>
                <w:i w:val="0"/>
                <w:sz w:val="18"/>
              </w:rPr>
              <w:t>10</w:t>
            </w:r>
          </w:p>
        </w:tc>
        <w:tc>
          <w:tcPr>
            <w:tcW w:type="dxa" w:w="8640"/>
            <w:shd w:val="clear" w:color="auto" w:fill="F2F2F2"/>
            <w:vAlign w:val="center"/>
          </w:tcPr>
          <w:p>
            <w:r>
              <w:rPr>
                <w:b w:val="0"/>
                <w:i w:val="0"/>
                <w:sz w:val="18"/>
              </w:rPr>
              <w:t>Continuity, Step-In, Termination Assistance, and Transition Agreement</w:t>
            </w:r>
          </w:p>
        </w:tc>
      </w:tr>
    </w:tbl>
    <w:p>
      <w:pPr>
        <w:pStyle w:val="Heading2"/>
        <w:spacing w:before="160" w:after="60"/>
      </w:pPr>
      <w:r>
        <w:rPr>
          <w:rFonts w:ascii="Calibri" w:hAnsi="Calibri"/>
          <w:b/>
          <w:color w:val="000000"/>
          <w:sz w:val="22"/>
        </w:rPr>
        <w:t>5.2  The Fourteen Schedules (05_Schedules)</w:t>
      </w:r>
    </w:p>
    <w:tbl>
      <w:tblPr>
        <w:tblStyle w:val="TableGrid"/>
        <w:tblW w:type="auto" w:w="0"/>
        <w:jc w:val="center"/>
        <w:tblLook w:firstColumn="1" w:firstRow="1" w:lastColumn="0" w:lastRow="0" w:noHBand="0" w:noVBand="1" w:val="04A0"/>
      </w:tblPr>
      <w:tblGrid>
        <w:gridCol w:w="4680"/>
        <w:gridCol w:w="4680"/>
      </w:tblGrid>
      <w:tr>
        <w:tc>
          <w:tcPr>
            <w:tcW w:type="dxa" w:w="864"/>
            <w:shd w:val="clear" w:color="auto" w:fill="1F3864"/>
            <w:vAlign w:val="center"/>
          </w:tcPr>
          <w:p>
            <w:pPr>
              <w:jc w:val="center"/>
            </w:pPr>
            <w:r>
              <w:rPr>
                <w:b/>
                <w:color w:val="FFFFFF"/>
                <w:sz w:val="18"/>
              </w:rPr>
              <w:t>S#</w:t>
            </w:r>
          </w:p>
        </w:tc>
        <w:tc>
          <w:tcPr>
            <w:tcW w:type="dxa" w:w="8496"/>
            <w:shd w:val="clear" w:color="auto" w:fill="1F3864"/>
            <w:vAlign w:val="center"/>
          </w:tcPr>
          <w:p>
            <w:pPr>
              <w:jc w:val="center"/>
            </w:pPr>
            <w:r>
              <w:rPr>
                <w:b/>
                <w:color w:val="FFFFFF"/>
                <w:sz w:val="18"/>
              </w:rPr>
              <w:t>Schedule</w:t>
            </w:r>
          </w:p>
        </w:tc>
      </w:tr>
      <w:tr>
        <w:tc>
          <w:tcPr>
            <w:tcW w:type="dxa" w:w="864"/>
            <w:vAlign w:val="center"/>
          </w:tcPr>
          <w:p>
            <w:r>
              <w:rPr>
                <w:b w:val="0"/>
                <w:i w:val="0"/>
                <w:sz w:val="18"/>
              </w:rPr>
              <w:t>S1</w:t>
            </w:r>
          </w:p>
        </w:tc>
        <w:tc>
          <w:tcPr>
            <w:tcW w:type="dxa" w:w="8496"/>
            <w:vAlign w:val="center"/>
          </w:tcPr>
          <w:p>
            <w:r>
              <w:rPr>
                <w:b w:val="0"/>
                <w:i w:val="0"/>
                <w:sz w:val="18"/>
              </w:rPr>
              <w:t>Award, Authority, Resolutions, Signatories, and Document Precedence</w:t>
            </w:r>
          </w:p>
        </w:tc>
      </w:tr>
      <w:tr>
        <w:tc>
          <w:tcPr>
            <w:tcW w:type="dxa" w:w="864"/>
            <w:shd w:val="clear" w:color="auto" w:fill="F2F2F2"/>
            <w:vAlign w:val="center"/>
          </w:tcPr>
          <w:p>
            <w:r>
              <w:rPr>
                <w:b w:val="0"/>
                <w:i w:val="0"/>
                <w:sz w:val="18"/>
              </w:rPr>
              <w:t>S2</w:t>
            </w:r>
          </w:p>
        </w:tc>
        <w:tc>
          <w:tcPr>
            <w:tcW w:type="dxa" w:w="8496"/>
            <w:shd w:val="clear" w:color="auto" w:fill="F2F2F2"/>
            <w:vAlign w:val="center"/>
          </w:tcPr>
          <w:p>
            <w:r>
              <w:rPr>
                <w:b w:val="0"/>
                <w:i w:val="0"/>
                <w:sz w:val="18"/>
              </w:rPr>
              <w:t>Approved Project Scope, Eligible Locations, Routes, Milestones, and Service Commitments</w:t>
            </w:r>
          </w:p>
        </w:tc>
      </w:tr>
      <w:tr>
        <w:tc>
          <w:tcPr>
            <w:tcW w:type="dxa" w:w="864"/>
            <w:vAlign w:val="center"/>
          </w:tcPr>
          <w:p>
            <w:r>
              <w:rPr>
                <w:b w:val="0"/>
                <w:i w:val="0"/>
                <w:sz w:val="18"/>
              </w:rPr>
              <w:t>S3</w:t>
            </w:r>
          </w:p>
        </w:tc>
        <w:tc>
          <w:tcPr>
            <w:tcW w:type="dxa" w:w="8496"/>
            <w:vAlign w:val="center"/>
          </w:tcPr>
          <w:p>
            <w:r>
              <w:rPr>
                <w:b w:val="0"/>
                <w:i w:val="0"/>
                <w:sz w:val="18"/>
              </w:rPr>
              <w:t>Asset Ownership, Funding Source, Federal Interest, and IRU/Network-Rights Register</w:t>
            </w:r>
          </w:p>
        </w:tc>
      </w:tr>
      <w:tr>
        <w:tc>
          <w:tcPr>
            <w:tcW w:type="dxa" w:w="864"/>
            <w:shd w:val="clear" w:color="auto" w:fill="F2F2F2"/>
            <w:vAlign w:val="center"/>
          </w:tcPr>
          <w:p>
            <w:r>
              <w:rPr>
                <w:b w:val="0"/>
                <w:i w:val="0"/>
                <w:sz w:val="18"/>
              </w:rPr>
              <w:t>S4</w:t>
            </w:r>
          </w:p>
        </w:tc>
        <w:tc>
          <w:tcPr>
            <w:tcW w:type="dxa" w:w="8496"/>
            <w:shd w:val="clear" w:color="auto" w:fill="F2F2F2"/>
            <w:vAlign w:val="center"/>
          </w:tcPr>
          <w:p>
            <w:r>
              <w:rPr>
                <w:b w:val="0"/>
                <w:i w:val="0"/>
                <w:sz w:val="18"/>
              </w:rPr>
              <w:t>Engineering Standards, Bill of Materials, Equipment, Interconnection, and Demarcation</w:t>
            </w:r>
          </w:p>
        </w:tc>
      </w:tr>
      <w:tr>
        <w:tc>
          <w:tcPr>
            <w:tcW w:type="dxa" w:w="864"/>
            <w:vAlign w:val="center"/>
          </w:tcPr>
          <w:p>
            <w:r>
              <w:rPr>
                <w:b w:val="0"/>
                <w:i w:val="0"/>
                <w:sz w:val="18"/>
              </w:rPr>
              <w:t>S5</w:t>
            </w:r>
          </w:p>
        </w:tc>
        <w:tc>
          <w:tcPr>
            <w:tcW w:type="dxa" w:w="8496"/>
            <w:vAlign w:val="center"/>
          </w:tcPr>
          <w:p>
            <w:r>
              <w:rPr>
                <w:b w:val="0"/>
                <w:i w:val="0"/>
                <w:sz w:val="18"/>
              </w:rPr>
              <w:t>Construction Pricing, Payment Milestones, Retainage, and Warranties</w:t>
            </w:r>
          </w:p>
        </w:tc>
      </w:tr>
      <w:tr>
        <w:tc>
          <w:tcPr>
            <w:tcW w:type="dxa" w:w="864"/>
            <w:shd w:val="clear" w:color="auto" w:fill="F2F2F2"/>
            <w:vAlign w:val="center"/>
          </w:tcPr>
          <w:p>
            <w:r>
              <w:rPr>
                <w:b w:val="0"/>
                <w:i w:val="0"/>
                <w:sz w:val="18"/>
              </w:rPr>
              <w:t>S6</w:t>
            </w:r>
          </w:p>
        </w:tc>
        <w:tc>
          <w:tcPr>
            <w:tcW w:type="dxa" w:w="8496"/>
            <w:shd w:val="clear" w:color="auto" w:fill="F2F2F2"/>
            <w:vAlign w:val="center"/>
          </w:tcPr>
          <w:p>
            <w:r>
              <w:rPr>
                <w:b w:val="0"/>
                <w:i w:val="0"/>
                <w:sz w:val="18"/>
              </w:rPr>
              <w:t>Operations, Service Levels, Lifecycle, Spares, Refresh, and Reserves</w:t>
            </w:r>
          </w:p>
        </w:tc>
      </w:tr>
      <w:tr>
        <w:tc>
          <w:tcPr>
            <w:tcW w:type="dxa" w:w="864"/>
            <w:vAlign w:val="center"/>
          </w:tcPr>
          <w:p>
            <w:r>
              <w:rPr>
                <w:b w:val="0"/>
                <w:i w:val="0"/>
                <w:sz w:val="18"/>
              </w:rPr>
              <w:t>S7</w:t>
            </w:r>
          </w:p>
        </w:tc>
        <w:tc>
          <w:tcPr>
            <w:tcW w:type="dxa" w:w="8496"/>
            <w:vAlign w:val="center"/>
          </w:tcPr>
          <w:p>
            <w:r>
              <w:rPr>
                <w:b w:val="0"/>
                <w:i w:val="0"/>
                <w:sz w:val="18"/>
              </w:rPr>
              <w:t>Provider-of-Record, Customer Products, Affordability, Support, Billing, and Complaints</w:t>
            </w:r>
          </w:p>
        </w:tc>
      </w:tr>
      <w:tr>
        <w:tc>
          <w:tcPr>
            <w:tcW w:type="dxa" w:w="864"/>
            <w:shd w:val="clear" w:color="auto" w:fill="F2F2F2"/>
            <w:vAlign w:val="center"/>
          </w:tcPr>
          <w:p>
            <w:r>
              <w:rPr>
                <w:b w:val="0"/>
                <w:i w:val="0"/>
                <w:sz w:val="18"/>
              </w:rPr>
              <w:t>S8</w:t>
            </w:r>
          </w:p>
        </w:tc>
        <w:tc>
          <w:tcPr>
            <w:tcW w:type="dxa" w:w="8496"/>
            <w:shd w:val="clear" w:color="auto" w:fill="F2F2F2"/>
            <w:vAlign w:val="center"/>
          </w:tcPr>
          <w:p>
            <w:r>
              <w:rPr>
                <w:b w:val="0"/>
                <w:i w:val="0"/>
                <w:sz w:val="18"/>
              </w:rPr>
              <w:t>Subscriber Payment, Revenue, Program Income, Taxes, Fees, Cash Controls, and Audit</w:t>
            </w:r>
          </w:p>
        </w:tc>
      </w:tr>
      <w:tr>
        <w:tc>
          <w:tcPr>
            <w:tcW w:type="dxa" w:w="864"/>
            <w:vAlign w:val="center"/>
          </w:tcPr>
          <w:p>
            <w:r>
              <w:rPr>
                <w:b w:val="0"/>
                <w:i w:val="0"/>
                <w:sz w:val="18"/>
              </w:rPr>
              <w:t>S9</w:t>
            </w:r>
          </w:p>
        </w:tc>
        <w:tc>
          <w:tcPr>
            <w:tcW w:type="dxa" w:w="8496"/>
            <w:vAlign w:val="center"/>
          </w:tcPr>
          <w:p>
            <w:r>
              <w:rPr>
                <w:b w:val="0"/>
                <w:i w:val="0"/>
                <w:sz w:val="18"/>
              </w:rPr>
              <w:t>Land, Poles, Sites, Power, Permits, Shared Facilities, and Owner Consents</w:t>
            </w:r>
          </w:p>
        </w:tc>
      </w:tr>
      <w:tr>
        <w:tc>
          <w:tcPr>
            <w:tcW w:type="dxa" w:w="864"/>
            <w:shd w:val="clear" w:color="auto" w:fill="F2F2F2"/>
            <w:vAlign w:val="center"/>
          </w:tcPr>
          <w:p>
            <w:r>
              <w:rPr>
                <w:b w:val="0"/>
                <w:i w:val="0"/>
                <w:sz w:val="18"/>
              </w:rPr>
              <w:t>S10</w:t>
            </w:r>
          </w:p>
        </w:tc>
        <w:tc>
          <w:tcPr>
            <w:tcW w:type="dxa" w:w="8496"/>
            <w:shd w:val="clear" w:color="auto" w:fill="F2F2F2"/>
            <w:vAlign w:val="center"/>
          </w:tcPr>
          <w:p>
            <w:r>
              <w:rPr>
                <w:b w:val="0"/>
                <w:i w:val="0"/>
                <w:sz w:val="18"/>
              </w:rPr>
              <w:t>Approved Commercial Capacity, Non-Project Use, Non-Tribal Customers, Valuation, and Cost Allocation</w:t>
            </w:r>
          </w:p>
        </w:tc>
      </w:tr>
      <w:tr>
        <w:tc>
          <w:tcPr>
            <w:tcW w:type="dxa" w:w="864"/>
            <w:vAlign w:val="center"/>
          </w:tcPr>
          <w:p>
            <w:r>
              <w:rPr>
                <w:b w:val="0"/>
                <w:i w:val="0"/>
                <w:sz w:val="18"/>
              </w:rPr>
              <w:t>S11</w:t>
            </w:r>
          </w:p>
        </w:tc>
        <w:tc>
          <w:tcPr>
            <w:tcW w:type="dxa" w:w="8496"/>
            <w:vAlign w:val="center"/>
          </w:tcPr>
          <w:p>
            <w:r>
              <w:rPr>
                <w:b w:val="0"/>
                <w:i w:val="0"/>
                <w:sz w:val="18"/>
              </w:rPr>
              <w:t>Data, Privacy, Cybersecurity, Supply-Chain Risk, Incident Response, and Disaster Recovery</w:t>
            </w:r>
          </w:p>
        </w:tc>
      </w:tr>
      <w:tr>
        <w:tc>
          <w:tcPr>
            <w:tcW w:type="dxa" w:w="864"/>
            <w:shd w:val="clear" w:color="auto" w:fill="F2F2F2"/>
            <w:vAlign w:val="center"/>
          </w:tcPr>
          <w:p>
            <w:r>
              <w:rPr>
                <w:b w:val="0"/>
                <w:i w:val="0"/>
                <w:sz w:val="18"/>
              </w:rPr>
              <w:t>S12</w:t>
            </w:r>
          </w:p>
        </w:tc>
        <w:tc>
          <w:tcPr>
            <w:tcW w:type="dxa" w:w="8496"/>
            <w:shd w:val="clear" w:color="auto" w:fill="F2F2F2"/>
            <w:vAlign w:val="center"/>
          </w:tcPr>
          <w:p>
            <w:r>
              <w:rPr>
                <w:b w:val="0"/>
                <w:i w:val="0"/>
                <w:sz w:val="18"/>
              </w:rPr>
              <w:t>Insurance, Indemnity, Liability Allocation, and Claims Procedures</w:t>
            </w:r>
          </w:p>
        </w:tc>
      </w:tr>
      <w:tr>
        <w:tc>
          <w:tcPr>
            <w:tcW w:type="dxa" w:w="864"/>
            <w:vAlign w:val="center"/>
          </w:tcPr>
          <w:p>
            <w:r>
              <w:rPr>
                <w:b w:val="0"/>
                <w:i w:val="0"/>
                <w:sz w:val="18"/>
              </w:rPr>
              <w:t>S13</w:t>
            </w:r>
          </w:p>
        </w:tc>
        <w:tc>
          <w:tcPr>
            <w:tcW w:type="dxa" w:w="8496"/>
            <w:vAlign w:val="center"/>
          </w:tcPr>
          <w:p>
            <w:r>
              <w:rPr>
                <w:b w:val="0"/>
                <w:i w:val="0"/>
                <w:sz w:val="18"/>
              </w:rPr>
              <w:t>Default, Cure, Step-In, Continuity, Transition, and Termination Assistance</w:t>
            </w:r>
          </w:p>
        </w:tc>
      </w:tr>
      <w:tr>
        <w:tc>
          <w:tcPr>
            <w:tcW w:type="dxa" w:w="864"/>
            <w:shd w:val="clear" w:color="auto" w:fill="F2F2F2"/>
            <w:vAlign w:val="center"/>
          </w:tcPr>
          <w:p>
            <w:r>
              <w:rPr>
                <w:b w:val="0"/>
                <w:i w:val="0"/>
                <w:sz w:val="18"/>
              </w:rPr>
              <w:t>S14</w:t>
            </w:r>
          </w:p>
        </w:tc>
        <w:tc>
          <w:tcPr>
            <w:tcW w:type="dxa" w:w="8496"/>
            <w:shd w:val="clear" w:color="auto" w:fill="F2F2F2"/>
            <w:vAlign w:val="center"/>
          </w:tcPr>
          <w:p>
            <w:r>
              <w:rPr>
                <w:b w:val="0"/>
                <w:i w:val="0"/>
                <w:sz w:val="18"/>
              </w:rPr>
              <w:t>Required Federal, Tribal, Corporate, Landowner, Lender, and Regulatory Approvals</w:t>
            </w:r>
          </w:p>
        </w:tc>
      </w:tr>
    </w:tbl>
    <w:p>
      <w:pPr>
        <w:pStyle w:val="Heading2"/>
        <w:spacing w:before="160" w:after="60"/>
      </w:pPr>
      <w:r>
        <w:rPr>
          <w:rFonts w:ascii="Calibri" w:hAnsi="Calibri"/>
          <w:b/>
          <w:color w:val="000000"/>
          <w:sz w:val="22"/>
        </w:rPr>
        <w:t>5.3  Governance &amp; Authorizations (03_Governance_Authorizations, 7)</w:t>
      </w:r>
    </w:p>
    <w:p>
      <w:pPr>
        <w:ind w:left="504"/>
      </w:pPr>
      <w:r>
        <w:rPr>
          <w:b/>
          <w:color w:val="0000C0"/>
        </w:rPr>
        <w:t xml:space="preserve">[ATTORNEY REVIEW REQUIRED]  </w:t>
      </w:r>
      <w:r>
        <w:rPr>
          <w:i/>
          <w:color w:val="595959"/>
        </w:rPr>
        <w:t>Governance titles below are illustrative structural placeholders; exact instruments and content are subject to counsel confirmation.</w:t>
      </w:r>
    </w:p>
    <w:tbl>
      <w:tblPr>
        <w:tblStyle w:val="TableGrid"/>
        <w:tblW w:type="auto" w:w="0"/>
        <w:jc w:val="center"/>
        <w:tblLook w:firstColumn="1" w:firstRow="1" w:lastColumn="0" w:lastRow="0" w:noHBand="0" w:noVBand="1" w:val="04A0"/>
      </w:tblPr>
      <w:tblGrid>
        <w:gridCol w:w="4680"/>
        <w:gridCol w:w="4680"/>
      </w:tblGrid>
      <w:tr>
        <w:tc>
          <w:tcPr>
            <w:tcW w:type="dxa" w:w="864"/>
            <w:shd w:val="clear" w:color="auto" w:fill="1F3864"/>
            <w:vAlign w:val="center"/>
          </w:tcPr>
          <w:p>
            <w:pPr>
              <w:jc w:val="center"/>
            </w:pPr>
            <w:r>
              <w:rPr>
                <w:b/>
                <w:color w:val="FFFFFF"/>
                <w:sz w:val="18"/>
              </w:rPr>
              <w:t>#</w:t>
            </w:r>
          </w:p>
        </w:tc>
        <w:tc>
          <w:tcPr>
            <w:tcW w:type="dxa" w:w="8496"/>
            <w:shd w:val="clear" w:color="auto" w:fill="1F3864"/>
            <w:vAlign w:val="center"/>
          </w:tcPr>
          <w:p>
            <w:pPr>
              <w:jc w:val="center"/>
            </w:pPr>
            <w:r>
              <w:rPr>
                <w:b/>
                <w:color w:val="FFFFFF"/>
                <w:sz w:val="18"/>
              </w:rPr>
              <w:t>Governance / Authorization Document</w:t>
            </w:r>
          </w:p>
        </w:tc>
      </w:tr>
      <w:tr>
        <w:tc>
          <w:tcPr>
            <w:tcW w:type="dxa" w:w="864"/>
            <w:vAlign w:val="center"/>
          </w:tcPr>
          <w:p>
            <w:r>
              <w:rPr>
                <w:b w:val="0"/>
                <w:i w:val="0"/>
                <w:sz w:val="18"/>
              </w:rPr>
              <w:t>G1</w:t>
            </w:r>
          </w:p>
        </w:tc>
        <w:tc>
          <w:tcPr>
            <w:tcW w:type="dxa" w:w="8496"/>
            <w:vAlign w:val="center"/>
          </w:tcPr>
          <w:p>
            <w:r>
              <w:rPr>
                <w:b w:val="0"/>
                <w:i w:val="0"/>
                <w:sz w:val="18"/>
              </w:rPr>
              <w:t>Lumbee Tribal Council Authorizing Resolution (Award Acceptance, Transaction, and Signatory Authority)</w:t>
            </w:r>
          </w:p>
        </w:tc>
      </w:tr>
      <w:tr>
        <w:tc>
          <w:tcPr>
            <w:tcW w:type="dxa" w:w="864"/>
            <w:shd w:val="clear" w:color="auto" w:fill="F2F2F2"/>
            <w:vAlign w:val="center"/>
          </w:tcPr>
          <w:p>
            <w:r>
              <w:rPr>
                <w:b w:val="0"/>
                <w:i w:val="0"/>
                <w:sz w:val="18"/>
              </w:rPr>
              <w:t>G2</w:t>
            </w:r>
          </w:p>
        </w:tc>
        <w:tc>
          <w:tcPr>
            <w:tcW w:type="dxa" w:w="8496"/>
            <w:shd w:val="clear" w:color="auto" w:fill="F2F2F2"/>
            <w:vAlign w:val="center"/>
          </w:tcPr>
          <w:p>
            <w:r>
              <w:rPr>
                <w:b w:val="0"/>
                <w:i w:val="0"/>
                <w:sz w:val="18"/>
              </w:rPr>
              <w:t>RIVR Tech (LREMC Technologies, LLC) Member/Manager Consent and Authorization</w:t>
            </w:r>
          </w:p>
        </w:tc>
      </w:tr>
      <w:tr>
        <w:tc>
          <w:tcPr>
            <w:tcW w:type="dxa" w:w="864"/>
            <w:vAlign w:val="center"/>
          </w:tcPr>
          <w:p>
            <w:r>
              <w:rPr>
                <w:b w:val="0"/>
                <w:i w:val="0"/>
                <w:sz w:val="18"/>
              </w:rPr>
              <w:t>G3</w:t>
            </w:r>
          </w:p>
        </w:tc>
        <w:tc>
          <w:tcPr>
            <w:tcW w:type="dxa" w:w="8496"/>
            <w:vAlign w:val="center"/>
          </w:tcPr>
          <w:p>
            <w:r>
              <w:rPr>
                <w:b w:val="0"/>
                <w:i w:val="0"/>
                <w:sz w:val="18"/>
              </w:rPr>
              <w:t>LREMC Board Consent, Joinder, and Owner-Approval Authorization (LREMC Facilities)</w:t>
            </w:r>
          </w:p>
        </w:tc>
      </w:tr>
      <w:tr>
        <w:tc>
          <w:tcPr>
            <w:tcW w:type="dxa" w:w="864"/>
            <w:shd w:val="clear" w:color="auto" w:fill="F2F2F2"/>
            <w:vAlign w:val="center"/>
          </w:tcPr>
          <w:p>
            <w:r>
              <w:rPr>
                <w:b w:val="0"/>
                <w:i w:val="0"/>
                <w:sz w:val="18"/>
              </w:rPr>
              <w:t>G4</w:t>
            </w:r>
          </w:p>
        </w:tc>
        <w:tc>
          <w:tcPr>
            <w:tcW w:type="dxa" w:w="8496"/>
            <w:shd w:val="clear" w:color="auto" w:fill="F2F2F2"/>
            <w:vAlign w:val="center"/>
          </w:tcPr>
          <w:p>
            <w:r>
              <w:rPr>
                <w:b w:val="0"/>
                <w:i w:val="0"/>
                <w:sz w:val="18"/>
              </w:rPr>
              <w:t>Limited Waiver of Sovereign Immunity and Consent to Dispute Resolution</w:t>
            </w:r>
          </w:p>
        </w:tc>
      </w:tr>
      <w:tr>
        <w:tc>
          <w:tcPr>
            <w:tcW w:type="dxa" w:w="864"/>
            <w:vAlign w:val="center"/>
          </w:tcPr>
          <w:p>
            <w:r>
              <w:rPr>
                <w:b w:val="0"/>
                <w:i w:val="0"/>
                <w:sz w:val="18"/>
              </w:rPr>
              <w:t>G5</w:t>
            </w:r>
          </w:p>
        </w:tc>
        <w:tc>
          <w:tcPr>
            <w:tcW w:type="dxa" w:w="8496"/>
            <w:vAlign w:val="center"/>
          </w:tcPr>
          <w:p>
            <w:r>
              <w:rPr>
                <w:b w:val="0"/>
                <w:i w:val="0"/>
                <w:sz w:val="18"/>
              </w:rPr>
              <w:t>Certificate of Authorized Signatories, Incumbency, and Corporate/Tribal Existence</w:t>
            </w:r>
          </w:p>
        </w:tc>
      </w:tr>
      <w:tr>
        <w:tc>
          <w:tcPr>
            <w:tcW w:type="dxa" w:w="864"/>
            <w:shd w:val="clear" w:color="auto" w:fill="F2F2F2"/>
            <w:vAlign w:val="center"/>
          </w:tcPr>
          <w:p>
            <w:r>
              <w:rPr>
                <w:b w:val="0"/>
                <w:i w:val="0"/>
                <w:sz w:val="18"/>
              </w:rPr>
              <w:t>G6</w:t>
            </w:r>
          </w:p>
        </w:tc>
        <w:tc>
          <w:tcPr>
            <w:tcW w:type="dxa" w:w="8496"/>
            <w:shd w:val="clear" w:color="auto" w:fill="F2F2F2"/>
            <w:vAlign w:val="center"/>
          </w:tcPr>
          <w:p>
            <w:r>
              <w:rPr>
                <w:b w:val="0"/>
                <w:i w:val="0"/>
                <w:sz w:val="18"/>
              </w:rPr>
              <w:t>NTIA/DOC Notice, Consent, and Written-Determination Request Log (Award, Precedence, and Characterization)</w:t>
            </w:r>
          </w:p>
        </w:tc>
      </w:tr>
      <w:tr>
        <w:tc>
          <w:tcPr>
            <w:tcW w:type="dxa" w:w="864"/>
            <w:vAlign w:val="center"/>
          </w:tcPr>
          <w:p>
            <w:r>
              <w:rPr>
                <w:b w:val="0"/>
                <w:i w:val="0"/>
                <w:sz w:val="18"/>
              </w:rPr>
              <w:t>G7</w:t>
            </w:r>
          </w:p>
        </w:tc>
        <w:tc>
          <w:tcPr>
            <w:tcW w:type="dxa" w:w="8496"/>
            <w:vAlign w:val="center"/>
          </w:tcPr>
          <w:p>
            <w:r>
              <w:rPr>
                <w:b w:val="0"/>
                <w:i w:val="0"/>
                <w:sz w:val="18"/>
              </w:rPr>
              <w:t>Common-Interest, Confidentiality, and Attorney Work-Product Agreement</w:t>
            </w:r>
          </w:p>
        </w:tc>
      </w:tr>
    </w:tbl>
    <w:p>
      <w:pPr>
        <w:pStyle w:val="Heading2"/>
        <w:spacing w:before="160" w:after="60"/>
      </w:pPr>
      <w:r>
        <w:rPr>
          <w:rFonts w:ascii="Calibri" w:hAnsi="Calibri"/>
          <w:b/>
          <w:color w:val="000000"/>
          <w:sz w:val="22"/>
        </w:rPr>
        <w:t>5.4  Other Package Components</w:t>
      </w:r>
    </w:p>
    <w:p>
      <w:pPr>
        <w:pStyle w:val="ListBullet"/>
      </w:pPr>
      <w:r>
        <w:rPr>
          <w:b w:val="0"/>
          <w:i w:val="0"/>
        </w:rPr>
        <w:t>01_Phase1_Diligence — 9 diligence work products.</w:t>
      </w:r>
    </w:p>
    <w:p>
      <w:pPr>
        <w:pStyle w:val="ListBullet"/>
      </w:pPr>
      <w:r>
        <w:rPr>
          <w:b w:val="0"/>
          <w:i w:val="0"/>
        </w:rPr>
        <w:t>04_Operational_Forms — 8 operational forms (NTP, acceptance, activation, etc.).</w:t>
      </w:r>
    </w:p>
    <w:p>
      <w:pPr>
        <w:pStyle w:val="ListBullet"/>
      </w:pPr>
      <w:r>
        <w:rPr>
          <w:b w:val="0"/>
          <w:i w:val="0"/>
        </w:rPr>
        <w:t>06_Compliance — clause-by-clause crosswalk and closing/implementation plan.</w:t>
      </w:r>
    </w:p>
    <w:p>
      <w:pPr>
        <w:pStyle w:val="Heading1"/>
        <w:spacing w:before="240" w:after="120"/>
      </w:pPr>
      <w:r>
        <w:rPr>
          <w:rFonts w:ascii="Calibri" w:hAnsi="Calibri"/>
          <w:b/>
          <w:color w:val="1F3864"/>
          <w:sz w:val="26"/>
        </w:rPr>
        <w:t>ARTICLE 6.  PRIMARY ECONOMICS AND PAYMENT CHARACTERIZATION</w:t>
      </w:r>
    </w:p>
    <w:p>
      <w:pPr>
        <w:pStyle w:val="Heading2"/>
        <w:spacing w:before="160" w:after="60"/>
      </w:pPr>
      <w:r>
        <w:rPr>
          <w:rFonts w:ascii="Calibri" w:hAnsi="Calibri"/>
          <w:b/>
          <w:color w:val="000000"/>
          <w:sz w:val="22"/>
        </w:rPr>
        <w:t>6.1  Per-Active-Subscriber Operating Payment</w:t>
      </w:r>
    </w:p>
    <w:p>
      <w:r>
        <w:rPr>
          <w:b w:val="0"/>
          <w:i w:val="0"/>
        </w:rPr>
        <w:t>The primary economic model is a per-Active-Subscriber operating payment of $[X] per Active Subscriber per month. An Active Subscriber is counted per the canonical elements below.</w:t>
      </w:r>
    </w:p>
    <w:p>
      <w:pPr>
        <w:pStyle w:val="ListBullet"/>
      </w:pPr>
      <w:r>
        <w:rPr>
          <w:b w:val="0"/>
          <w:i w:val="0"/>
        </w:rPr>
        <w:t>counted only for a location within the Approved Project Area receiving provisioned, billable retail broadband service</w:t>
      </w:r>
    </w:p>
    <w:p>
      <w:pPr>
        <w:pStyle w:val="ListBullet"/>
      </w:pPr>
      <w:r>
        <w:rPr>
          <w:b w:val="0"/>
          <w:i w:val="0"/>
        </w:rPr>
        <w:t>activation dated to first successful service provisioning; disconnect dated to service cease</w:t>
      </w:r>
    </w:p>
    <w:p>
      <w:pPr>
        <w:pStyle w:val="ListBullet"/>
      </w:pPr>
      <w:r>
        <w:rPr>
          <w:b w:val="0"/>
          <w:i w:val="0"/>
        </w:rPr>
        <w:t>partial months prorated on a daily basis [BUSINESS DECISION REQUIRED: prorate vs. full-month]</w:t>
      </w:r>
    </w:p>
    <w:p>
      <w:pPr>
        <w:pStyle w:val="ListBullet"/>
      </w:pPr>
      <w:r>
        <w:rPr>
          <w:b w:val="0"/>
          <w:i w:val="0"/>
        </w:rPr>
        <w:t>excludes accounts suspended for nonpayment beyond [30] days, and courtesy/free/subsidized accounts unless separately agreed and Award-permitted</w:t>
      </w:r>
    </w:p>
    <w:p>
      <w:pPr>
        <w:pStyle w:val="ListBullet"/>
      </w:pPr>
      <w:r>
        <w:rPr>
          <w:b w:val="0"/>
          <w:i w:val="0"/>
        </w:rPr>
        <w:t>one location with multiple services counts as a single Active Subscriber unless separately agreed</w:t>
      </w:r>
    </w:p>
    <w:p>
      <w:pPr>
        <w:pStyle w:val="ListBullet"/>
      </w:pPr>
      <w:r>
        <w:rPr>
          <w:b w:val="0"/>
          <w:i w:val="0"/>
        </w:rPr>
        <w:t>bulk / multi-dwelling accounts counted per billable unit per an agreed methodology</w:t>
      </w:r>
    </w:p>
    <w:p>
      <w:pPr>
        <w:pStyle w:val="ListBullet"/>
      </w:pPr>
      <w:r>
        <w:rPr>
          <w:b w:val="0"/>
          <w:i w:val="0"/>
        </w:rPr>
        <w:t>net of credits, refunds, and uncollectible amounts; exclusive of taxes and regulatory fees</w:t>
      </w:r>
    </w:p>
    <w:p>
      <w:pPr>
        <w:pStyle w:val="Heading2"/>
        <w:spacing w:before="160" w:after="60"/>
      </w:pPr>
      <w:r>
        <w:rPr>
          <w:rFonts w:ascii="Calibri" w:hAnsi="Calibri"/>
          <w:b/>
          <w:color w:val="000000"/>
          <w:sz w:val="22"/>
        </w:rPr>
        <w:t>6.2  Characterization Alternatives (Provisional)</w:t>
      </w:r>
    </w:p>
    <w:p>
      <w:r>
        <w:rPr>
          <w:b w:val="0"/>
          <w:i w:val="0"/>
        </w:rPr>
        <w:t>The payment characterization is provisional; the label does not control program-income treatment. The alternatives are:</w:t>
      </w:r>
    </w:p>
    <w:p>
      <w:pPr>
        <w:pStyle w:val="ListBullet"/>
      </w:pPr>
      <w:r>
        <w:rPr>
          <w:b w:val="0"/>
          <w:i w:val="0"/>
        </w:rPr>
        <w:t>Option A — Asset-Use / License Consideration for the IRU and operating rights</w:t>
      </w:r>
    </w:p>
    <w:p>
      <w:pPr>
        <w:pStyle w:val="ListBullet"/>
      </w:pPr>
      <w:r>
        <w:rPr>
          <w:b w:val="0"/>
          <w:i w:val="0"/>
        </w:rPr>
        <w:t>Option B — IRU Consideration (prepaid or periodic) for defined capacity</w:t>
      </w:r>
    </w:p>
    <w:p>
      <w:pPr>
        <w:pStyle w:val="ListBullet"/>
      </w:pPr>
      <w:r>
        <w:rPr>
          <w:b w:val="0"/>
          <w:i w:val="0"/>
        </w:rPr>
        <w:t>Option C — Operating Revenue Share (percentage of defined retail revenue)</w:t>
      </w:r>
    </w:p>
    <w:p>
      <w:pPr>
        <w:pStyle w:val="ListBullet"/>
      </w:pPr>
      <w:r>
        <w:rPr>
          <w:b w:val="0"/>
          <w:i w:val="0"/>
        </w:rPr>
        <w:t xml:space="preserve">Option D — Per-Active-Subscriber Operating Payment (primary model in this package)  </w:t>
      </w:r>
      <w:r>
        <w:rPr>
          <w:b/>
          <w:i w:val="0"/>
          <w:color w:val="C00000"/>
        </w:rPr>
        <w:t>[BUSINESS DECISION REQUIRED]</w:t>
      </w:r>
      <w:r>
        <w:rPr>
          <w:b w:val="0"/>
          <w:i w:val="0"/>
        </w:rPr>
        <w:t xml:space="preserve"> RECOMMENDED</w:t>
      </w:r>
    </w:p>
    <w:p>
      <w:pPr>
        <w:pStyle w:val="ListBullet"/>
      </w:pPr>
      <w:r>
        <w:rPr>
          <w:b w:val="0"/>
          <w:i w:val="0"/>
        </w:rPr>
        <w:t>Option E — Hybrid (base asset-use fee plus per-subscriber component)</w:t>
      </w:r>
    </w:p>
    <w:p>
      <w:r>
        <w:rPr>
          <w:b w:val="0"/>
          <w:i w:val="0"/>
        </w:rPr>
        <w:t xml:space="preserve">characterization is provisional; program-income treatment under 2 CFR 200.307 turns on the controlling Award and written NTIA determination, not the label. </w:t>
      </w:r>
      <w:r>
        <w:rPr>
          <w:b/>
          <w:i w:val="0"/>
          <w:color w:val="7F007F"/>
        </w:rPr>
        <w:t>[GRANT COMPLIANCE REVIEW REQUIRED]</w:t>
      </w:r>
    </w:p>
    <w:p>
      <w:pPr>
        <w:pStyle w:val="Heading1"/>
        <w:spacing w:before="240" w:after="120"/>
      </w:pPr>
      <w:r>
        <w:rPr>
          <w:rFonts w:ascii="Calibri" w:hAnsi="Calibri"/>
          <w:b/>
          <w:color w:val="1F3864"/>
          <w:sz w:val="26"/>
        </w:rPr>
        <w:t>ARTICLE 7.  MAJOR OPEN DECISIONS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F3864"/>
            <w:vAlign w:val="center"/>
          </w:tcPr>
          <w:p>
            <w:pPr>
              <w:jc w:val="center"/>
            </w:pPr>
            <w:r>
              <w:rPr>
                <w:b/>
                <w:color w:val="FFFFFF"/>
                <w:sz w:val="18"/>
              </w:rPr>
              <w:t>Open Decision</w:t>
            </w:r>
          </w:p>
        </w:tc>
        <w:tc>
          <w:tcPr>
            <w:tcW w:type="dxa" w:w="2304"/>
            <w:shd w:val="clear" w:color="auto" w:fill="1F3864"/>
            <w:vAlign w:val="center"/>
          </w:tcPr>
          <w:p>
            <w:pPr>
              <w:jc w:val="center"/>
            </w:pPr>
            <w:r>
              <w:rPr>
                <w:b/>
                <w:color w:val="FFFFFF"/>
                <w:sz w:val="18"/>
              </w:rPr>
              <w:t>Type</w:t>
            </w:r>
          </w:p>
        </w:tc>
        <w:tc>
          <w:tcPr>
            <w:tcW w:type="dxa" w:w="3456"/>
            <w:shd w:val="clear" w:color="auto" w:fill="1F3864"/>
            <w:vAlign w:val="center"/>
          </w:tcPr>
          <w:p>
            <w:pPr>
              <w:jc w:val="center"/>
            </w:pPr>
            <w:r>
              <w:rPr>
                <w:b/>
                <w:color w:val="FFFFFF"/>
                <w:sz w:val="18"/>
              </w:rPr>
              <w:t>Recommended Position</w:t>
            </w:r>
          </w:p>
        </w:tc>
      </w:tr>
      <w:tr>
        <w:tc>
          <w:tcPr>
            <w:tcW w:type="dxa" w:w="3600"/>
            <w:vAlign w:val="center"/>
          </w:tcPr>
          <w:p>
            <w:r>
              <w:rPr>
                <w:b w:val="0"/>
                <w:i w:val="0"/>
                <w:sz w:val="18"/>
              </w:rPr>
              <w:t>Controlling round / executed award</w:t>
            </w:r>
          </w:p>
        </w:tc>
        <w:tc>
          <w:tcPr>
            <w:tcW w:type="dxa" w:w="2304"/>
            <w:vAlign w:val="center"/>
          </w:tcPr>
          <w:p>
            <w:r>
              <w:rPr>
                <w:b/>
                <w:i w:val="0"/>
                <w:color w:val="7F007F"/>
                <w:sz w:val="18"/>
              </w:rPr>
              <w:t>[GRANT COMPLIANCE REVIEW REQUIRED]</w:t>
            </w:r>
          </w:p>
        </w:tc>
        <w:tc>
          <w:tcPr>
            <w:tcW w:type="dxa" w:w="3456"/>
            <w:vAlign w:val="center"/>
          </w:tcPr>
          <w:p>
            <w:r>
              <w:rPr>
                <w:b w:val="0"/>
                <w:i w:val="0"/>
                <w:sz w:val="18"/>
              </w:rPr>
              <w:t>Confirm Round 2 vs. live Round 3; obtain executed award</w:t>
            </w:r>
          </w:p>
        </w:tc>
      </w:tr>
      <w:tr>
        <w:tc>
          <w:tcPr>
            <w:tcW w:type="dxa" w:w="3600"/>
            <w:shd w:val="clear" w:color="auto" w:fill="F2F2F2"/>
            <w:vAlign w:val="center"/>
          </w:tcPr>
          <w:p>
            <w:r>
              <w:rPr>
                <w:b w:val="0"/>
                <w:i w:val="0"/>
                <w:sz w:val="18"/>
              </w:rPr>
              <w:t>Lumbee federal-recognition eligibility</w:t>
            </w:r>
          </w:p>
        </w:tc>
        <w:tc>
          <w:tcPr>
            <w:tcW w:type="dxa" w:w="2304"/>
            <w:shd w:val="clear" w:color="auto" w:fill="F2F2F2"/>
            <w:vAlign w:val="center"/>
          </w:tcPr>
          <w:p>
            <w:r>
              <w:rPr>
                <w:b/>
                <w:i w:val="0"/>
                <w:color w:val="0000C0"/>
                <w:sz w:val="18"/>
              </w:rPr>
              <w:t>[ATTORNEY REVIEW REQUIRED]</w:t>
            </w:r>
          </w:p>
        </w:tc>
        <w:tc>
          <w:tcPr>
            <w:tcW w:type="dxa" w:w="3456"/>
            <w:shd w:val="clear" w:color="auto" w:fill="F2F2F2"/>
            <w:vAlign w:val="center"/>
          </w:tcPr>
          <w:p>
            <w:r>
              <w:rPr>
                <w:b w:val="0"/>
                <w:i w:val="0"/>
                <w:sz w:val="18"/>
              </w:rPr>
              <w:t>Obtain eligibility opinion before reliance</w:t>
            </w:r>
          </w:p>
        </w:tc>
      </w:tr>
      <w:tr>
        <w:tc>
          <w:tcPr>
            <w:tcW w:type="dxa" w:w="3600"/>
            <w:vAlign w:val="center"/>
          </w:tcPr>
          <w:p>
            <w:r>
              <w:rPr>
                <w:b w:val="0"/>
                <w:i w:val="0"/>
                <w:sz w:val="18"/>
              </w:rPr>
              <w:t>Contractor vs. subrecipient status</w:t>
            </w:r>
          </w:p>
        </w:tc>
        <w:tc>
          <w:tcPr>
            <w:tcW w:type="dxa" w:w="2304"/>
            <w:vAlign w:val="center"/>
          </w:tcPr>
          <w:p>
            <w:r>
              <w:rPr>
                <w:b/>
                <w:i w:val="0"/>
                <w:color w:val="7F007F"/>
                <w:sz w:val="18"/>
              </w:rPr>
              <w:t>[GRANT COMPLIANCE REVIEW REQUIRED]</w:t>
            </w:r>
          </w:p>
        </w:tc>
        <w:tc>
          <w:tcPr>
            <w:tcW w:type="dxa" w:w="3456"/>
            <w:vAlign w:val="center"/>
          </w:tcPr>
          <w:p>
            <w:r>
              <w:rPr>
                <w:b w:val="0"/>
                <w:i w:val="0"/>
                <w:sz w:val="18"/>
              </w:rPr>
              <w:t>Position RIVR Tech as lean contractor (200.331)</w:t>
            </w:r>
          </w:p>
        </w:tc>
      </w:tr>
      <w:tr>
        <w:tc>
          <w:tcPr>
            <w:tcW w:type="dxa" w:w="3600"/>
            <w:shd w:val="clear" w:color="auto" w:fill="F2F2F2"/>
            <w:vAlign w:val="center"/>
          </w:tcPr>
          <w:p>
            <w:r>
              <w:rPr>
                <w:b w:val="0"/>
                <w:i w:val="0"/>
                <w:sz w:val="18"/>
              </w:rPr>
              <w:t>Payment characterization</w:t>
            </w:r>
          </w:p>
        </w:tc>
        <w:tc>
          <w:tcPr>
            <w:tcW w:type="dxa" w:w="2304"/>
            <w:shd w:val="clear" w:color="auto" w:fill="F2F2F2"/>
            <w:vAlign w:val="center"/>
          </w:tcPr>
          <w:p>
            <w:r>
              <w:rPr>
                <w:b/>
                <w:i w:val="0"/>
                <w:color w:val="C00000"/>
                <w:sz w:val="18"/>
              </w:rPr>
              <w:t>[BUSINESS DECISION REQUIRED]</w:t>
            </w:r>
          </w:p>
        </w:tc>
        <w:tc>
          <w:tcPr>
            <w:tcW w:type="dxa" w:w="3456"/>
            <w:shd w:val="clear" w:color="auto" w:fill="F2F2F2"/>
            <w:vAlign w:val="center"/>
          </w:tcPr>
          <w:p>
            <w:r>
              <w:rPr>
                <w:b w:val="0"/>
                <w:i w:val="0"/>
                <w:sz w:val="18"/>
              </w:rPr>
              <w:t>Option D (per-subscriber); confirm program-income treatment</w:t>
            </w:r>
          </w:p>
        </w:tc>
      </w:tr>
      <w:tr>
        <w:tc>
          <w:tcPr>
            <w:tcW w:type="dxa" w:w="3600"/>
            <w:vAlign w:val="center"/>
          </w:tcPr>
          <w:p>
            <w:r>
              <w:rPr>
                <w:b w:val="0"/>
                <w:i w:val="0"/>
                <w:sz w:val="18"/>
              </w:rPr>
              <w:t>Per-Active-Subscriber amount</w:t>
            </w:r>
          </w:p>
        </w:tc>
        <w:tc>
          <w:tcPr>
            <w:tcW w:type="dxa" w:w="2304"/>
            <w:vAlign w:val="center"/>
          </w:tcPr>
          <w:p>
            <w:r>
              <w:rPr>
                <w:b/>
                <w:i w:val="0"/>
                <w:color w:val="C00000"/>
                <w:sz w:val="18"/>
              </w:rPr>
              <w:t>[BUSINESS DECISION REQUIRED]</w:t>
            </w:r>
          </w:p>
        </w:tc>
        <w:tc>
          <w:tcPr>
            <w:tcW w:type="dxa" w:w="3456"/>
            <w:vAlign w:val="center"/>
          </w:tcPr>
          <w:p>
            <w:r>
              <w:rPr>
                <w:b w:val="0"/>
                <w:i w:val="0"/>
                <w:color w:val="804000"/>
                <w:sz w:val="18"/>
                <w:highlight w:val="yellow"/>
              </w:rPr>
              <w:t>[■ insert $ amount — not supplied]</w:t>
            </w:r>
          </w:p>
        </w:tc>
      </w:tr>
      <w:tr>
        <w:tc>
          <w:tcPr>
            <w:tcW w:type="dxa" w:w="3600"/>
            <w:shd w:val="clear" w:color="auto" w:fill="F2F2F2"/>
            <w:vAlign w:val="center"/>
          </w:tcPr>
          <w:p>
            <w:r>
              <w:rPr>
                <w:b w:val="0"/>
                <w:i w:val="0"/>
                <w:sz w:val="18"/>
              </w:rPr>
              <w:t>Sovereign-immunity waiver scope</w:t>
            </w:r>
          </w:p>
        </w:tc>
        <w:tc>
          <w:tcPr>
            <w:tcW w:type="dxa" w:w="2304"/>
            <w:shd w:val="clear" w:color="auto" w:fill="F2F2F2"/>
            <w:vAlign w:val="center"/>
          </w:tcPr>
          <w:p>
            <w:r>
              <w:rPr>
                <w:b/>
                <w:i w:val="0"/>
                <w:color w:val="0000C0"/>
                <w:sz w:val="18"/>
              </w:rPr>
              <w:t>[ATTORNEY REVIEW REQUIRED]</w:t>
            </w:r>
          </w:p>
        </w:tc>
        <w:tc>
          <w:tcPr>
            <w:tcW w:type="dxa" w:w="3456"/>
            <w:shd w:val="clear" w:color="auto" w:fill="F2F2F2"/>
            <w:vAlign w:val="center"/>
          </w:tcPr>
          <w:p>
            <w:r>
              <w:rPr>
                <w:b w:val="0"/>
                <w:i w:val="0"/>
                <w:sz w:val="18"/>
              </w:rPr>
              <w:t>Narrow, express limited waiver for defined disputes</w:t>
            </w:r>
          </w:p>
        </w:tc>
      </w:tr>
      <w:tr>
        <w:tc>
          <w:tcPr>
            <w:tcW w:type="dxa" w:w="3600"/>
            <w:vAlign w:val="center"/>
          </w:tcPr>
          <w:p>
            <w:r>
              <w:rPr>
                <w:b w:val="0"/>
                <w:i w:val="0"/>
                <w:sz w:val="18"/>
              </w:rPr>
              <w:t>LREMC consent / joinder terms</w:t>
            </w:r>
          </w:p>
        </w:tc>
        <w:tc>
          <w:tcPr>
            <w:tcW w:type="dxa" w:w="2304"/>
            <w:vAlign w:val="center"/>
          </w:tcPr>
          <w:p>
            <w:r>
              <w:rPr>
                <w:b/>
                <w:i w:val="0"/>
                <w:color w:val="C00000"/>
                <w:sz w:val="18"/>
              </w:rPr>
              <w:t>[BUSINESS DECISION REQUIRED]</w:t>
            </w:r>
          </w:p>
        </w:tc>
        <w:tc>
          <w:tcPr>
            <w:tcW w:type="dxa" w:w="3456"/>
            <w:vAlign w:val="center"/>
          </w:tcPr>
          <w:p>
            <w:r>
              <w:rPr>
                <w:b w:val="0"/>
                <w:i w:val="0"/>
                <w:sz w:val="18"/>
              </w:rPr>
              <w:t>Separate owner-approved instrument; no assumption</w:t>
            </w:r>
          </w:p>
        </w:tc>
      </w:tr>
    </w:tbl>
    <w:p>
      <w:pPr>
        <w:pStyle w:val="Heading1"/>
        <w:spacing w:before="240" w:after="120"/>
      </w:pPr>
      <w:r>
        <w:rPr>
          <w:rFonts w:ascii="Calibri" w:hAnsi="Calibri"/>
          <w:b/>
          <w:color w:val="1F3864"/>
          <w:sz w:val="26"/>
        </w:rPr>
        <w:t>ARTICLE 8.  RISK SUMMARY AND RECOMMENDED POSITIONS</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color="auto" w:fill="1F3864"/>
            <w:vAlign w:val="center"/>
          </w:tcPr>
          <w:p>
            <w:pPr>
              <w:jc w:val="center"/>
            </w:pPr>
            <w:r>
              <w:rPr>
                <w:b/>
                <w:color w:val="FFFFFF"/>
                <w:sz w:val="18"/>
              </w:rPr>
              <w:t>Risk</w:t>
            </w:r>
          </w:p>
        </w:tc>
        <w:tc>
          <w:tcPr>
            <w:tcW w:type="dxa" w:w="2880"/>
            <w:shd w:val="clear" w:color="auto" w:fill="1F3864"/>
            <w:vAlign w:val="center"/>
          </w:tcPr>
          <w:p>
            <w:pPr>
              <w:jc w:val="center"/>
            </w:pPr>
            <w:r>
              <w:rPr>
                <w:b/>
                <w:color w:val="FFFFFF"/>
                <w:sz w:val="18"/>
              </w:rPr>
              <w:t>Exposure</w:t>
            </w:r>
          </w:p>
        </w:tc>
        <w:tc>
          <w:tcPr>
            <w:tcW w:type="dxa" w:w="3456"/>
            <w:shd w:val="clear" w:color="auto" w:fill="1F3864"/>
            <w:vAlign w:val="center"/>
          </w:tcPr>
          <w:p>
            <w:pPr>
              <w:jc w:val="center"/>
            </w:pPr>
            <w:r>
              <w:rPr>
                <w:b/>
                <w:color w:val="FFFFFF"/>
                <w:sz w:val="18"/>
              </w:rPr>
              <w:t>Recommended Mitigation</w:t>
            </w:r>
          </w:p>
        </w:tc>
      </w:tr>
      <w:tr>
        <w:tc>
          <w:tcPr>
            <w:tcW w:type="dxa" w:w="3024"/>
            <w:vAlign w:val="center"/>
          </w:tcPr>
          <w:p>
            <w:r>
              <w:rPr>
                <w:b w:val="0"/>
                <w:i w:val="0"/>
                <w:sz w:val="18"/>
              </w:rPr>
              <w:t>No controlling award supplied</w:t>
            </w:r>
          </w:p>
        </w:tc>
        <w:tc>
          <w:tcPr>
            <w:tcW w:type="dxa" w:w="2880"/>
            <w:vAlign w:val="center"/>
          </w:tcPr>
          <w:p>
            <w:r>
              <w:rPr>
                <w:b w:val="0"/>
                <w:i w:val="0"/>
                <w:sz w:val="18"/>
              </w:rPr>
              <w:t>All terms provisional; possible rework</w:t>
            </w:r>
          </w:p>
        </w:tc>
        <w:tc>
          <w:tcPr>
            <w:tcW w:type="dxa" w:w="3456"/>
            <w:vAlign w:val="center"/>
          </w:tcPr>
          <w:p>
            <w:r>
              <w:rPr>
                <w:b w:val="0"/>
                <w:i w:val="0"/>
                <w:sz w:val="18"/>
              </w:rPr>
              <w:t>Confirm award/round before finalizing; keep placeholders</w:t>
            </w:r>
          </w:p>
        </w:tc>
      </w:tr>
      <w:tr>
        <w:tc>
          <w:tcPr>
            <w:tcW w:type="dxa" w:w="3024"/>
            <w:shd w:val="clear" w:color="auto" w:fill="F2F2F2"/>
            <w:vAlign w:val="center"/>
          </w:tcPr>
          <w:p>
            <w:r>
              <w:rPr>
                <w:b w:val="0"/>
                <w:i w:val="0"/>
                <w:sz w:val="18"/>
              </w:rPr>
              <w:t>Eligibility (Lumbee recognition)</w:t>
            </w:r>
          </w:p>
        </w:tc>
        <w:tc>
          <w:tcPr>
            <w:tcW w:type="dxa" w:w="2880"/>
            <w:shd w:val="clear" w:color="auto" w:fill="F2F2F2"/>
            <w:vAlign w:val="center"/>
          </w:tcPr>
          <w:p>
            <w:r>
              <w:rPr>
                <w:b w:val="0"/>
                <w:i w:val="0"/>
                <w:sz w:val="18"/>
              </w:rPr>
              <w:t>Threshold — award may be unavailable</w:t>
            </w:r>
          </w:p>
        </w:tc>
        <w:tc>
          <w:tcPr>
            <w:tcW w:type="dxa" w:w="3456"/>
            <w:shd w:val="clear" w:color="auto" w:fill="F2F2F2"/>
            <w:vAlign w:val="center"/>
          </w:tcPr>
          <w:p>
            <w:r>
              <w:rPr>
                <w:b w:val="0"/>
                <w:i w:val="0"/>
                <w:sz w:val="18"/>
              </w:rPr>
              <w:t>Eligibility opinion; NTIA confirmation</w:t>
            </w:r>
          </w:p>
        </w:tc>
      </w:tr>
      <w:tr>
        <w:tc>
          <w:tcPr>
            <w:tcW w:type="dxa" w:w="3024"/>
            <w:vAlign w:val="center"/>
          </w:tcPr>
          <w:p>
            <w:r>
              <w:rPr>
                <w:b w:val="0"/>
                <w:i w:val="0"/>
                <w:sz w:val="18"/>
              </w:rPr>
              <w:t>Federal Interest on assets</w:t>
            </w:r>
          </w:p>
        </w:tc>
        <w:tc>
          <w:tcPr>
            <w:tcW w:type="dxa" w:w="2880"/>
            <w:vAlign w:val="center"/>
          </w:tcPr>
          <w:p>
            <w:r>
              <w:rPr>
                <w:b w:val="0"/>
                <w:i w:val="0"/>
                <w:sz w:val="18"/>
              </w:rPr>
              <w:t>Encumbrance/disposition limits</w:t>
            </w:r>
          </w:p>
        </w:tc>
        <w:tc>
          <w:tcPr>
            <w:tcW w:type="dxa" w:w="3456"/>
            <w:vAlign w:val="center"/>
          </w:tcPr>
          <w:p>
            <w:r>
              <w:rPr>
                <w:b w:val="0"/>
                <w:i w:val="0"/>
                <w:sz w:val="18"/>
              </w:rPr>
              <w:t>Reflect 200.311/.316 in IRU and Land Instruments</w:t>
            </w:r>
          </w:p>
        </w:tc>
      </w:tr>
      <w:tr>
        <w:tc>
          <w:tcPr>
            <w:tcW w:type="dxa" w:w="3024"/>
            <w:shd w:val="clear" w:color="auto" w:fill="F2F2F2"/>
            <w:vAlign w:val="center"/>
          </w:tcPr>
          <w:p>
            <w:r>
              <w:rPr>
                <w:b w:val="0"/>
                <w:i w:val="0"/>
                <w:sz w:val="18"/>
              </w:rPr>
              <w:t>§889 / BABA noncompliance</w:t>
            </w:r>
          </w:p>
        </w:tc>
        <w:tc>
          <w:tcPr>
            <w:tcW w:type="dxa" w:w="2880"/>
            <w:shd w:val="clear" w:color="auto" w:fill="F2F2F2"/>
            <w:vAlign w:val="center"/>
          </w:tcPr>
          <w:p>
            <w:r>
              <w:rPr>
                <w:b w:val="0"/>
                <w:i w:val="0"/>
                <w:sz w:val="18"/>
              </w:rPr>
              <w:t>Cost disallowance; termination</w:t>
            </w:r>
          </w:p>
        </w:tc>
        <w:tc>
          <w:tcPr>
            <w:tcW w:type="dxa" w:w="3456"/>
            <w:shd w:val="clear" w:color="auto" w:fill="F2F2F2"/>
            <w:vAlign w:val="center"/>
          </w:tcPr>
          <w:p>
            <w:r>
              <w:rPr>
                <w:b w:val="0"/>
                <w:i w:val="0"/>
                <w:sz w:val="18"/>
              </w:rPr>
              <w:t>Vendor screening in DEPC; certifications (S4/S5)</w:t>
            </w:r>
          </w:p>
        </w:tc>
      </w:tr>
      <w:tr>
        <w:tc>
          <w:tcPr>
            <w:tcW w:type="dxa" w:w="3024"/>
            <w:vAlign w:val="center"/>
          </w:tcPr>
          <w:p>
            <w:r>
              <w:rPr>
                <w:b w:val="0"/>
                <w:i w:val="0"/>
                <w:sz w:val="18"/>
              </w:rPr>
              <w:t>Program-income mistreatment</w:t>
            </w:r>
          </w:p>
        </w:tc>
        <w:tc>
          <w:tcPr>
            <w:tcW w:type="dxa" w:w="2880"/>
            <w:vAlign w:val="center"/>
          </w:tcPr>
          <w:p>
            <w:r>
              <w:rPr>
                <w:b w:val="0"/>
                <w:i w:val="0"/>
                <w:sz w:val="18"/>
              </w:rPr>
              <w:t>Audit finding; repayment</w:t>
            </w:r>
          </w:p>
        </w:tc>
        <w:tc>
          <w:tcPr>
            <w:tcW w:type="dxa" w:w="3456"/>
            <w:vAlign w:val="center"/>
          </w:tcPr>
          <w:p>
            <w:r>
              <w:rPr>
                <w:b w:val="0"/>
                <w:i w:val="0"/>
                <w:sz w:val="18"/>
              </w:rPr>
              <w:t>Written NTIA determination on characterization</w:t>
            </w:r>
          </w:p>
        </w:tc>
      </w:tr>
      <w:tr>
        <w:tc>
          <w:tcPr>
            <w:tcW w:type="dxa" w:w="3024"/>
            <w:shd w:val="clear" w:color="auto" w:fill="F2F2F2"/>
            <w:vAlign w:val="center"/>
          </w:tcPr>
          <w:p>
            <w:r>
              <w:rPr>
                <w:b w:val="0"/>
                <w:i w:val="0"/>
                <w:sz w:val="18"/>
              </w:rPr>
              <w:t>Sovereign-immunity ambiguity</w:t>
            </w:r>
          </w:p>
        </w:tc>
        <w:tc>
          <w:tcPr>
            <w:tcW w:type="dxa" w:w="2880"/>
            <w:shd w:val="clear" w:color="auto" w:fill="F2F2F2"/>
            <w:vAlign w:val="center"/>
          </w:tcPr>
          <w:p>
            <w:r>
              <w:rPr>
                <w:b w:val="0"/>
                <w:i w:val="0"/>
                <w:sz w:val="18"/>
              </w:rPr>
              <w:t>Unenforceable remedies</w:t>
            </w:r>
          </w:p>
        </w:tc>
        <w:tc>
          <w:tcPr>
            <w:tcW w:type="dxa" w:w="3456"/>
            <w:shd w:val="clear" w:color="auto" w:fill="F2F2F2"/>
            <w:vAlign w:val="center"/>
          </w:tcPr>
          <w:p>
            <w:r>
              <w:rPr>
                <w:b w:val="0"/>
                <w:i w:val="0"/>
                <w:sz w:val="18"/>
              </w:rPr>
              <w:t>Express limited waiver with defined scope</w:t>
            </w:r>
          </w:p>
        </w:tc>
      </w:tr>
    </w:tbl>
    <w:p>
      <w:r>
        <w:rPr>
          <w:b w:val="0"/>
          <w:i w:val="0"/>
        </w:rPr>
        <w:t>Recommended overall posture: keep every economic and eligibility term provisional and flagged until the controlling award and the eligibility opinion are in hand; never treat a placeholder as a fact.</w:t>
      </w:r>
    </w:p>
    <w:p/>
    <w:p>
      <w:pPr>
        <w:jc w:val="center"/>
      </w:pPr>
      <w:r>
        <w:rPr>
          <w:b/>
          <w:color w:val="C00000"/>
          <w:highlight w:val="yellow"/>
        </w:rPr>
        <w:t>PRELIMINARY DRAFT – NO CONTROLLING TBCP AWARD OR SOURCE DOCUMENTS SUPPLIED – PROVISIONAL BASELINE: MARCH 2024 AMENDED ROUND 2 NOFO – SUBJECT TO LEGAL, GRANT AND FINANCIAL REVIEW</w:t>
      </w:r>
    </w:p>
    <w:p>
      <w:r>
        <w:rPr>
          <w:i/>
          <w:color w:val="595959"/>
          <w:sz w:val="18"/>
        </w:rPr>
        <w:t>This document is a preliminary working draft prepared for discussion only. It is not final legal, grant, or financial advice and creates no binding obligation on any party. No controlling TBCP award, Notice of Funding Opportunity in executed form, Specific Award Conditions, or other source documents were supplied; the provisional baseline is the March 2024 amended Round 2 NOFO, and the controlling round and executed award must be confirmed before any provision is finalized. All party names, defined terms, economics, dates, and citations are subject to legal, grant, and financial review. Capitalized terms used and not otherwise defined have the meanings given in Article 2 (Definitions) of the Master TBCP Partnership and Implementation Agreement, the single shared definitions source for the package. Nothing herein should be relied upon as fact where marked as a placeholder or flagged for review.</w:t>
      </w:r>
    </w:p>
    <w:p>
      <w:r>
        <w:rPr>
          <w:i/>
          <w:color w:val="595959"/>
          <w:sz w:val="18"/>
        </w:rPr>
        <w:t>CONFIDENTIAL – ATTORNEY WORK PRODUCT / SUBJECT TO COMMON-INTEREST PRIVILEGE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Executive Summary &amp; Transaction Structure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