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02 — MISSING INFORMATION REQUEST</w:t>
      </w:r>
    </w:p>
    <w:p>
      <w:pPr>
        <w:jc w:val="center"/>
      </w:pPr>
      <w:r>
        <w:rPr>
          <w:b/>
          <w:color w:val="1F3864"/>
          <w:sz w:val="48"/>
        </w:rPr>
        <w:t>Missing Information Request</w:t>
      </w:r>
    </w:p>
    <w:p>
      <w:pPr>
        <w:jc w:val="center"/>
      </w:pPr>
      <w:r>
        <w:rPr>
          <w:color w:val="595959"/>
          <w:sz w:val="28"/>
        </w:rPr>
        <w:t>Phase 1 Diligence — Information and Document Requests by Topic</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PURPOSE AND INSTRUCTIONS</w:t>
      </w:r>
    </w:p>
    <w:p>
      <w:r>
        <w:rPr>
          <w:b w:val="0"/>
          <w:i w:val="0"/>
        </w:rPr>
        <w:t>This request lists the information and documents needed to complete Phase 1 diligence and to draft definitive agreements between the Lumbee Tribe and RIVR Tech for the Tribal Broadband Connectivity Program (TBCP) fiber project. No executed TBCP award, CD-450 Financial Assistance Award, Notice of Funding Opportunity PDF, Specific Award Conditions, Tribal resolution, title/easement record, or existing RIVR Tech / LREMC contract was supplied for this work product. All conclusions are provisional and keyed to the assumptions register in Document 01.</w:t>
      </w:r>
    </w:p>
    <w:p>
      <w:r>
        <w:rPr>
          <w:b w:val="0"/>
          <w:i w:val="0"/>
        </w:rPr>
        <w:t>Items are organized by topic. For each item: what is needed, why it matters, the owner best positioned to provide it, and a priority (P1 = blocks drafting/execution; P2 = needed before finalizing; P3 = needed before closeout/operations).</w:t>
      </w:r>
    </w:p>
    <w:p>
      <w:pPr>
        <w:ind w:left="504"/>
      </w:pPr>
      <w:r>
        <w:rPr>
          <w:b/>
          <w:color w:val="7F007F"/>
        </w:rPr>
        <w:t xml:space="preserve">[GRANT COMPLIANCE REVIEW REQUIRED]  </w:t>
      </w:r>
      <w:r>
        <w:rPr>
          <w:i/>
          <w:color w:val="595959"/>
        </w:rPr>
        <w:t>Provide the executed Award, Specific Award Conditions, controlling NOFO, and approved application/budget/routes first; these control the entire package.</w:t>
      </w:r>
    </w:p>
    <w:p>
      <w:pPr>
        <w:pStyle w:val="Heading1"/>
        <w:spacing w:before="240" w:after="120"/>
      </w:pPr>
      <w:r>
        <w:rPr>
          <w:rFonts w:ascii="Calibri" w:hAnsi="Calibri"/>
          <w:b/>
          <w:color w:val="1F3864"/>
          <w:sz w:val="26"/>
        </w:rPr>
        <w:t>ARTICLE 2.  LEGAL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Executed Federal Award / CD-450 and all incorporated terms</w:t>
            </w:r>
          </w:p>
        </w:tc>
        <w:tc>
          <w:tcPr>
            <w:tcW w:type="dxa" w:w="3384"/>
            <w:vAlign w:val="center"/>
          </w:tcPr>
          <w:p>
            <w:r>
              <w:rPr>
                <w:b w:val="0"/>
                <w:i w:val="0"/>
                <w:sz w:val="18"/>
              </w:rPr>
              <w:t>Controlling instrument; sets precedence, federal interest, and permitted structure.</w:t>
            </w:r>
          </w:p>
        </w:tc>
        <w:tc>
          <w:tcPr>
            <w:tcW w:type="dxa" w:w="1440"/>
            <w:vAlign w:val="center"/>
          </w:tcPr>
          <w:p>
            <w:r>
              <w:rPr>
                <w:b w:val="0"/>
                <w:i w:val="0"/>
                <w:sz w:val="18"/>
              </w:rPr>
              <w:t>Lumbee Tribe / NTIA</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Tribal Council authorizing resolution(s) and delegated signatory authority</w:t>
            </w:r>
          </w:p>
        </w:tc>
        <w:tc>
          <w:tcPr>
            <w:tcW w:type="dxa" w:w="3384"/>
            <w:shd w:val="clear" w:color="auto" w:fill="F2F2F2"/>
            <w:vAlign w:val="center"/>
          </w:tcPr>
          <w:p>
            <w:r>
              <w:rPr>
                <w:b w:val="0"/>
                <w:i w:val="0"/>
                <w:sz w:val="18"/>
              </w:rPr>
              <w:t>Confirms who may bind the Tribe and on what terms.</w:t>
            </w:r>
          </w:p>
        </w:tc>
        <w:tc>
          <w:tcPr>
            <w:tcW w:type="dxa" w:w="1440"/>
            <w:shd w:val="clear" w:color="auto" w:fill="F2F2F2"/>
            <w:vAlign w:val="center"/>
          </w:tcPr>
          <w:p>
            <w:r>
              <w:rPr>
                <w:b w:val="0"/>
                <w:i w:val="0"/>
                <w:sz w:val="18"/>
              </w:rPr>
              <w:t>Lumbee Tribe</w:t>
            </w:r>
          </w:p>
        </w:tc>
        <w:tc>
          <w:tcPr>
            <w:tcW w:type="dxa" w:w="1296"/>
            <w:shd w:val="clear" w:color="auto" w:fill="F2F2F2"/>
            <w:vAlign w:val="center"/>
          </w:tcPr>
          <w:p>
            <w:pPr>
              <w:jc w:val="center"/>
            </w:pPr>
            <w:r>
              <w:rPr>
                <w:b w:val="0"/>
                <w:i w:val="0"/>
                <w:sz w:val="18"/>
              </w:rPr>
              <w:t>P1</w:t>
            </w:r>
          </w:p>
        </w:tc>
      </w:tr>
      <w:tr>
        <w:tc>
          <w:tcPr>
            <w:tcW w:type="dxa" w:w="504"/>
            <w:vAlign w:val="center"/>
          </w:tcPr>
          <w:p>
            <w:pPr>
              <w:jc w:val="center"/>
            </w:pPr>
            <w:r>
              <w:rPr>
                <w:b w:val="0"/>
                <w:i w:val="0"/>
                <w:sz w:val="18"/>
              </w:rPr>
              <w:t>3</w:t>
            </w:r>
          </w:p>
        </w:tc>
        <w:tc>
          <w:tcPr>
            <w:tcW w:type="dxa" w:w="2736"/>
            <w:vAlign w:val="center"/>
          </w:tcPr>
          <w:p>
            <w:r>
              <w:rPr>
                <w:b w:val="0"/>
                <w:i w:val="0"/>
                <w:sz w:val="18"/>
              </w:rPr>
              <w:t>RIVR Tech formation, governance, and signatory authority; affiliation with LREMC</w:t>
            </w:r>
          </w:p>
        </w:tc>
        <w:tc>
          <w:tcPr>
            <w:tcW w:type="dxa" w:w="3384"/>
            <w:vAlign w:val="center"/>
          </w:tcPr>
          <w:p>
            <w:r>
              <w:rPr>
                <w:b w:val="0"/>
                <w:i w:val="0"/>
                <w:sz w:val="18"/>
              </w:rPr>
              <w:t>Confirms capacity to contract and reveals conflict/OCI issues.</w:t>
            </w:r>
          </w:p>
        </w:tc>
        <w:tc>
          <w:tcPr>
            <w:tcW w:type="dxa" w:w="1440"/>
            <w:vAlign w:val="center"/>
          </w:tcPr>
          <w:p>
            <w:r>
              <w:rPr>
                <w:b w:val="0"/>
                <w:i w:val="0"/>
                <w:sz w:val="18"/>
              </w:rPr>
              <w:t>RIVR Tech</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Sovereign-immunity, governing-law, forum, and dispute-resolution positions</w:t>
            </w:r>
          </w:p>
        </w:tc>
        <w:tc>
          <w:tcPr>
            <w:tcW w:type="dxa" w:w="3384"/>
            <w:shd w:val="clear" w:color="auto" w:fill="F2F2F2"/>
            <w:vAlign w:val="center"/>
          </w:tcPr>
          <w:p>
            <w:r>
              <w:rPr>
                <w:b w:val="0"/>
                <w:i w:val="0"/>
                <w:sz w:val="18"/>
              </w:rPr>
              <w:t xml:space="preserve">Cannot be chosen silently; drives enforceability. </w:t>
            </w:r>
            <w:r>
              <w:rPr>
                <w:b/>
                <w:i w:val="0"/>
                <w:color w:val="0000C0"/>
                <w:sz w:val="18"/>
              </w:rPr>
              <w:t>[ATTORNEY REVIEW REQUIRED]</w:t>
            </w:r>
          </w:p>
        </w:tc>
        <w:tc>
          <w:tcPr>
            <w:tcW w:type="dxa" w:w="1440"/>
            <w:shd w:val="clear" w:color="auto" w:fill="F2F2F2"/>
            <w:vAlign w:val="center"/>
          </w:tcPr>
          <w:p>
            <w:r>
              <w:rPr>
                <w:b w:val="0"/>
                <w:i w:val="0"/>
                <w:sz w:val="18"/>
              </w:rPr>
              <w:t>Lumbee Tribe counsel</w:t>
            </w:r>
          </w:p>
        </w:tc>
        <w:tc>
          <w:tcPr>
            <w:tcW w:type="dxa" w:w="1296"/>
            <w:shd w:val="clear" w:color="auto" w:fill="F2F2F2"/>
            <w:vAlign w:val="center"/>
          </w:tcPr>
          <w:p>
            <w:pPr>
              <w:jc w:val="center"/>
            </w:pPr>
            <w:r>
              <w:rPr>
                <w:b w:val="0"/>
                <w:i w:val="0"/>
                <w:sz w:val="18"/>
              </w:rPr>
              <w:t>P1</w:t>
            </w:r>
          </w:p>
        </w:tc>
      </w:tr>
      <w:tr>
        <w:tc>
          <w:tcPr>
            <w:tcW w:type="dxa" w:w="504"/>
            <w:vAlign w:val="center"/>
          </w:tcPr>
          <w:p>
            <w:pPr>
              <w:jc w:val="center"/>
            </w:pPr>
            <w:r>
              <w:rPr>
                <w:b w:val="0"/>
                <w:i w:val="0"/>
                <w:sz w:val="18"/>
              </w:rPr>
              <w:t>5</w:t>
            </w:r>
          </w:p>
        </w:tc>
        <w:tc>
          <w:tcPr>
            <w:tcW w:type="dxa" w:w="2736"/>
            <w:vAlign w:val="center"/>
          </w:tcPr>
          <w:p>
            <w:r>
              <w:rPr>
                <w:b w:val="0"/>
                <w:i w:val="0"/>
                <w:sz w:val="18"/>
              </w:rPr>
              <w:t>Lumbee federal-recognition status documentation</w:t>
            </w:r>
          </w:p>
        </w:tc>
        <w:tc>
          <w:tcPr>
            <w:tcW w:type="dxa" w:w="3384"/>
            <w:vAlign w:val="center"/>
          </w:tcPr>
          <w:p>
            <w:r>
              <w:rPr>
                <w:b w:val="0"/>
                <w:i w:val="0"/>
                <w:sz w:val="18"/>
              </w:rPr>
              <w:t>Threshold TBCP eligibility question. Lumbee Act of 1956, Pub. L. 84-570, 70 Stat. 254 (federal-recognition status affecting TBCP eligibility)</w:t>
            </w:r>
          </w:p>
        </w:tc>
        <w:tc>
          <w:tcPr>
            <w:tcW w:type="dxa" w:w="1440"/>
            <w:vAlign w:val="center"/>
          </w:tcPr>
          <w:p>
            <w:r>
              <w:rPr>
                <w:b w:val="0"/>
                <w:i w:val="0"/>
                <w:sz w:val="18"/>
              </w:rPr>
              <w:t>Lumbee Tribe counsel</w:t>
            </w:r>
          </w:p>
        </w:tc>
        <w:tc>
          <w:tcPr>
            <w:tcW w:type="dxa" w:w="1296"/>
            <w:vAlign w:val="center"/>
          </w:tcPr>
          <w:p>
            <w:pPr>
              <w:jc w:val="center"/>
            </w:pPr>
            <w:r>
              <w:rPr>
                <w:b w:val="0"/>
                <w:i w:val="0"/>
                <w:sz w:val="18"/>
              </w:rPr>
              <w:t>P1</w:t>
            </w:r>
          </w:p>
        </w:tc>
      </w:tr>
    </w:tbl>
    <w:p/>
    <w:p>
      <w:pPr>
        <w:pStyle w:val="Heading1"/>
        <w:spacing w:before="240" w:after="120"/>
      </w:pPr>
      <w:r>
        <w:rPr>
          <w:rFonts w:ascii="Calibri" w:hAnsi="Calibri"/>
          <w:b/>
          <w:color w:val="1F3864"/>
          <w:sz w:val="26"/>
        </w:rPr>
        <w:t>ARTICLE 3.  GRANT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Specific Award Conditions and NTIA/DOC Standard Terms</w:t>
            </w:r>
          </w:p>
        </w:tc>
        <w:tc>
          <w:tcPr>
            <w:tcW w:type="dxa" w:w="3384"/>
            <w:vAlign w:val="center"/>
          </w:tcPr>
          <w:p>
            <w:r>
              <w:rPr>
                <w:b w:val="0"/>
                <w:i w:val="0"/>
                <w:sz w:val="18"/>
              </w:rPr>
              <w:t>May restrict IRU, operator role, disposition, and program income. NTIA Standard Terms and Conditions, DOC Financial Assistance Standard Terms and Conditions, and the award's Specific Award Conditions (NOT supplied)</w:t>
            </w:r>
          </w:p>
        </w:tc>
        <w:tc>
          <w:tcPr>
            <w:tcW w:type="dxa" w:w="1440"/>
            <w:vAlign w:val="center"/>
          </w:tcPr>
          <w:p>
            <w:r>
              <w:rPr>
                <w:b w:val="0"/>
                <w:i w:val="0"/>
                <w:sz w:val="18"/>
              </w:rPr>
              <w:t>Lumbee Tribe</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Controlling NOFO and all amendments (confirm Round 2 vs Round 3)</w:t>
            </w:r>
          </w:p>
        </w:tc>
        <w:tc>
          <w:tcPr>
            <w:tcW w:type="dxa" w:w="3384"/>
            <w:shd w:val="clear" w:color="auto" w:fill="F2F2F2"/>
            <w:vAlign w:val="center"/>
          </w:tcPr>
          <w:p>
            <w:r>
              <w:rPr>
                <w:b w:val="0"/>
                <w:i w:val="0"/>
                <w:sz w:val="18"/>
              </w:rPr>
              <w:t>Round 3 is the live TBCP round as of the version date; the controlling round and executed award must be confirmed before any definitive clause is finalized.</w:t>
            </w:r>
          </w:p>
        </w:tc>
        <w:tc>
          <w:tcPr>
            <w:tcW w:type="dxa" w:w="1440"/>
            <w:shd w:val="clear" w:color="auto" w:fill="F2F2F2"/>
            <w:vAlign w:val="center"/>
          </w:tcPr>
          <w:p>
            <w:r>
              <w:rPr>
                <w:b w:val="0"/>
                <w:i w:val="0"/>
                <w:sz w:val="18"/>
              </w:rPr>
              <w:t>Lumbee Tribe / NTIA</w:t>
            </w:r>
          </w:p>
        </w:tc>
        <w:tc>
          <w:tcPr>
            <w:tcW w:type="dxa" w:w="1296"/>
            <w:shd w:val="clear" w:color="auto" w:fill="F2F2F2"/>
            <w:vAlign w:val="center"/>
          </w:tcPr>
          <w:p>
            <w:pPr>
              <w:jc w:val="center"/>
            </w:pPr>
            <w:r>
              <w:rPr>
                <w:b w:val="0"/>
                <w:i w:val="0"/>
                <w:sz w:val="18"/>
              </w:rPr>
              <w:t>P1</w:t>
            </w:r>
          </w:p>
        </w:tc>
      </w:tr>
      <w:tr>
        <w:tc>
          <w:tcPr>
            <w:tcW w:type="dxa" w:w="504"/>
            <w:vAlign w:val="center"/>
          </w:tcPr>
          <w:p>
            <w:pPr>
              <w:jc w:val="center"/>
            </w:pPr>
            <w:r>
              <w:rPr>
                <w:b w:val="0"/>
                <w:i w:val="0"/>
                <w:sz w:val="18"/>
              </w:rPr>
              <w:t>3</w:t>
            </w:r>
          </w:p>
        </w:tc>
        <w:tc>
          <w:tcPr>
            <w:tcW w:type="dxa" w:w="2736"/>
            <w:vAlign w:val="center"/>
          </w:tcPr>
          <w:p>
            <w:r>
              <w:rPr>
                <w:b w:val="0"/>
                <w:i w:val="0"/>
                <w:sz w:val="18"/>
              </w:rPr>
              <w:t>Approved application, budget, budget narrative, and cost categories</w:t>
            </w:r>
          </w:p>
        </w:tc>
        <w:tc>
          <w:tcPr>
            <w:tcW w:type="dxa" w:w="3384"/>
            <w:vAlign w:val="center"/>
          </w:tcPr>
          <w:p>
            <w:r>
              <w:rPr>
                <w:b w:val="0"/>
                <w:i w:val="0"/>
                <w:sz w:val="18"/>
              </w:rPr>
              <w:t>Basis for reimbursement, allowability, and cost allocation. 2 CFR Part 200, Subpart E (Cost Principles — allowability, allocability, reasonableness)</w:t>
            </w:r>
          </w:p>
        </w:tc>
        <w:tc>
          <w:tcPr>
            <w:tcW w:type="dxa" w:w="1440"/>
            <w:vAlign w:val="center"/>
          </w:tcPr>
          <w:p>
            <w:r>
              <w:rPr>
                <w:b w:val="0"/>
                <w:i w:val="0"/>
                <w:sz w:val="18"/>
              </w:rPr>
              <w:t>Lumbee Tribe</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Written determinations already issued by the grants officer, if any</w:t>
            </w:r>
          </w:p>
        </w:tc>
        <w:tc>
          <w:tcPr>
            <w:tcW w:type="dxa" w:w="3384"/>
            <w:shd w:val="clear" w:color="auto" w:fill="F2F2F2"/>
            <w:vAlign w:val="center"/>
          </w:tcPr>
          <w:p>
            <w:r>
              <w:rPr>
                <w:b w:val="0"/>
                <w:i w:val="0"/>
                <w:sz w:val="18"/>
              </w:rPr>
              <w:t>Avoids re-litigating settled points; sets baseline for Doc 09 requests.</w:t>
            </w:r>
          </w:p>
        </w:tc>
        <w:tc>
          <w:tcPr>
            <w:tcW w:type="dxa" w:w="1440"/>
            <w:shd w:val="clear" w:color="auto" w:fill="F2F2F2"/>
            <w:vAlign w:val="center"/>
          </w:tcPr>
          <w:p>
            <w:r>
              <w:rPr>
                <w:b w:val="0"/>
                <w:i w:val="0"/>
                <w:sz w:val="18"/>
              </w:rPr>
              <w:t>Lumbee Tribe / NTIA</w:t>
            </w:r>
          </w:p>
        </w:tc>
        <w:tc>
          <w:tcPr>
            <w:tcW w:type="dxa" w:w="1296"/>
            <w:shd w:val="clear" w:color="auto" w:fill="F2F2F2"/>
            <w:vAlign w:val="center"/>
          </w:tcPr>
          <w:p>
            <w:pPr>
              <w:jc w:val="center"/>
            </w:pPr>
            <w:r>
              <w:rPr>
                <w:b w:val="0"/>
                <w:i w:val="0"/>
                <w:sz w:val="18"/>
              </w:rPr>
              <w:t>P2</w:t>
            </w:r>
          </w:p>
        </w:tc>
      </w:tr>
      <w:tr>
        <w:tc>
          <w:tcPr>
            <w:tcW w:type="dxa" w:w="504"/>
            <w:vAlign w:val="center"/>
          </w:tcPr>
          <w:p>
            <w:pPr>
              <w:jc w:val="center"/>
            </w:pPr>
            <w:r>
              <w:rPr>
                <w:b w:val="0"/>
                <w:i w:val="0"/>
                <w:sz w:val="18"/>
              </w:rPr>
              <w:t>5</w:t>
            </w:r>
          </w:p>
        </w:tc>
        <w:tc>
          <w:tcPr>
            <w:tcW w:type="dxa" w:w="2736"/>
            <w:vAlign w:val="center"/>
          </w:tcPr>
          <w:p>
            <w:r>
              <w:rPr>
                <w:b w:val="0"/>
                <w:i w:val="0"/>
                <w:sz w:val="18"/>
              </w:rPr>
              <w:t>BABA and Section 889 compliance records/waivers</w:t>
            </w:r>
          </w:p>
        </w:tc>
        <w:tc>
          <w:tcPr>
            <w:tcW w:type="dxa" w:w="3384"/>
            <w:vAlign w:val="center"/>
          </w:tcPr>
          <w:p>
            <w:r>
              <w:rPr>
                <w:b w:val="0"/>
                <w:i w:val="0"/>
                <w:sz w:val="18"/>
              </w:rPr>
              <w:t>Non-compliance risks disallowed costs. Build America, Buy America Act, IIJA §§ 70911–70917 (Pub. L. 117-58); 2 CFR Part 184; and NTIA BABA award terms; 2 CFR 200.216 (Prohibition on certain telecommunications and video surveillance — §889 covered equipment)</w:t>
            </w:r>
          </w:p>
        </w:tc>
        <w:tc>
          <w:tcPr>
            <w:tcW w:type="dxa" w:w="1440"/>
            <w:vAlign w:val="center"/>
          </w:tcPr>
          <w:p>
            <w:r>
              <w:rPr>
                <w:b w:val="0"/>
                <w:i w:val="0"/>
                <w:sz w:val="18"/>
              </w:rPr>
              <w:t>RIVR Tech</w:t>
            </w:r>
          </w:p>
        </w:tc>
        <w:tc>
          <w:tcPr>
            <w:tcW w:type="dxa" w:w="1296"/>
            <w:vAlign w:val="center"/>
          </w:tcPr>
          <w:p>
            <w:pPr>
              <w:jc w:val="center"/>
            </w:pPr>
            <w:r>
              <w:rPr>
                <w:b w:val="0"/>
                <w:i w:val="0"/>
                <w:sz w:val="18"/>
              </w:rPr>
              <w:t>P2</w:t>
            </w:r>
          </w:p>
        </w:tc>
      </w:tr>
    </w:tbl>
    <w:p/>
    <w:p>
      <w:pPr>
        <w:pStyle w:val="Heading1"/>
        <w:spacing w:before="240" w:after="120"/>
      </w:pPr>
      <w:r>
        <w:rPr>
          <w:rFonts w:ascii="Calibri" w:hAnsi="Calibri"/>
          <w:b/>
          <w:color w:val="1F3864"/>
          <w:sz w:val="26"/>
        </w:rPr>
        <w:t>ARTICLE 4.  ENGINEERING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Approved network design, routes, GIS/KMZ, and useful-life data</w:t>
            </w:r>
          </w:p>
        </w:tc>
        <w:tc>
          <w:tcPr>
            <w:tcW w:type="dxa" w:w="3384"/>
            <w:vAlign w:val="center"/>
          </w:tcPr>
          <w:p>
            <w:r>
              <w:rPr>
                <w:b w:val="0"/>
                <w:i w:val="0"/>
                <w:sz w:val="18"/>
              </w:rPr>
              <w:t>Defines scope, acceptance, and IRU capacity. Routes/useful life NOT supplied.</w:t>
            </w:r>
          </w:p>
        </w:tc>
        <w:tc>
          <w:tcPr>
            <w:tcW w:type="dxa" w:w="1440"/>
            <w:vAlign w:val="center"/>
          </w:tcPr>
          <w:p>
            <w:r>
              <w:rPr>
                <w:b w:val="0"/>
                <w:i w:val="0"/>
                <w:sz w:val="18"/>
              </w:rPr>
              <w:t>RIVR Tech</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Bill of materials and equipment list (with §889/BABA status)</w:t>
            </w:r>
          </w:p>
        </w:tc>
        <w:tc>
          <w:tcPr>
            <w:tcW w:type="dxa" w:w="3384"/>
            <w:shd w:val="clear" w:color="auto" w:fill="F2F2F2"/>
            <w:vAlign w:val="center"/>
          </w:tcPr>
          <w:p>
            <w:r>
              <w:rPr>
                <w:b w:val="0"/>
                <w:i w:val="0"/>
                <w:sz w:val="18"/>
              </w:rPr>
              <w:t>Supply-chain compliance and cost allocation.</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r>
        <w:tc>
          <w:tcPr>
            <w:tcW w:type="dxa" w:w="504"/>
            <w:vAlign w:val="center"/>
          </w:tcPr>
          <w:p>
            <w:pPr>
              <w:jc w:val="center"/>
            </w:pPr>
            <w:r>
              <w:rPr>
                <w:b w:val="0"/>
                <w:i w:val="0"/>
                <w:sz w:val="18"/>
              </w:rPr>
              <w:t>3</w:t>
            </w:r>
          </w:p>
        </w:tc>
        <w:tc>
          <w:tcPr>
            <w:tcW w:type="dxa" w:w="2736"/>
            <w:vAlign w:val="center"/>
          </w:tcPr>
          <w:p>
            <w:r>
              <w:rPr>
                <w:b w:val="0"/>
                <w:i w:val="0"/>
                <w:sz w:val="18"/>
              </w:rPr>
              <w:t>Interconnection points, transport, and demarcation design</w:t>
            </w:r>
          </w:p>
        </w:tc>
        <w:tc>
          <w:tcPr>
            <w:tcW w:type="dxa" w:w="3384"/>
            <w:vAlign w:val="center"/>
          </w:tcPr>
          <w:p>
            <w:r>
              <w:rPr>
                <w:b w:val="0"/>
                <w:i w:val="0"/>
                <w:sz w:val="18"/>
              </w:rPr>
              <w:t>Determines interconnection approvals and asset boundaries.</w:t>
            </w:r>
          </w:p>
        </w:tc>
        <w:tc>
          <w:tcPr>
            <w:tcW w:type="dxa" w:w="1440"/>
            <w:vAlign w:val="center"/>
          </w:tcPr>
          <w:p>
            <w:r>
              <w:rPr>
                <w:b w:val="0"/>
                <w:i w:val="0"/>
                <w:sz w:val="18"/>
              </w:rPr>
              <w:t>RIVR Tech</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Acceptance-testing standards and segment-acceptance procedure</w:t>
            </w:r>
          </w:p>
        </w:tc>
        <w:tc>
          <w:tcPr>
            <w:tcW w:type="dxa" w:w="3384"/>
            <w:shd w:val="clear" w:color="auto" w:fill="F2F2F2"/>
            <w:vAlign w:val="center"/>
          </w:tcPr>
          <w:p>
            <w:r>
              <w:rPr>
                <w:b w:val="0"/>
                <w:i w:val="0"/>
                <w:sz w:val="18"/>
              </w:rPr>
              <w:t>Trigger for the term start (acceptance of each Network segment).</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bl>
    <w:p/>
    <w:p>
      <w:pPr>
        <w:pStyle w:val="Heading1"/>
        <w:spacing w:before="240" w:after="120"/>
      </w:pPr>
      <w:r>
        <w:rPr>
          <w:rFonts w:ascii="Calibri" w:hAnsi="Calibri"/>
          <w:b/>
          <w:color w:val="1F3864"/>
          <w:sz w:val="26"/>
        </w:rPr>
        <w:t>ARTICLE 5.  FINANCE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Valuation and cost allocation of the RIVR Tech Existing Network</w:t>
            </w:r>
          </w:p>
        </w:tc>
        <w:tc>
          <w:tcPr>
            <w:tcW w:type="dxa" w:w="3384"/>
            <w:vAlign w:val="center"/>
          </w:tcPr>
          <w:p>
            <w:r>
              <w:rPr>
                <w:b w:val="0"/>
                <w:i w:val="0"/>
                <w:sz w:val="18"/>
              </w:rPr>
              <w:t>Existing assets are not a free contribution; must be priced. 2 CFR Part 200, Subpart E (Cost Principles — allowability, allocability, reasonableness)</w:t>
            </w:r>
          </w:p>
        </w:tc>
        <w:tc>
          <w:tcPr>
            <w:tcW w:type="dxa" w:w="1440"/>
            <w:vAlign w:val="center"/>
          </w:tcPr>
          <w:p>
            <w:r>
              <w:rPr>
                <w:b w:val="0"/>
                <w:i w:val="0"/>
                <w:sz w:val="18"/>
              </w:rPr>
              <w:t>RIVR Tech</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Proposed per-Active-Subscriber amount and supporting model</w:t>
            </w:r>
          </w:p>
        </w:tc>
        <w:tc>
          <w:tcPr>
            <w:tcW w:type="dxa" w:w="3384"/>
            <w:shd w:val="clear" w:color="auto" w:fill="F2F2F2"/>
            <w:vAlign w:val="center"/>
          </w:tcPr>
          <w:p>
            <w:r>
              <w:rPr>
                <w:b w:val="0"/>
                <w:i w:val="0"/>
                <w:sz w:val="18"/>
              </w:rPr>
              <w:t>Sets primary economics; $[X] per Active Subscriber per month. 2 CFR 200.307 (Program income)</w:t>
            </w:r>
          </w:p>
        </w:tc>
        <w:tc>
          <w:tcPr>
            <w:tcW w:type="dxa" w:w="1440"/>
            <w:shd w:val="clear" w:color="auto" w:fill="F2F2F2"/>
            <w:vAlign w:val="center"/>
          </w:tcPr>
          <w:p>
            <w:r>
              <w:rPr>
                <w:b w:val="0"/>
                <w:i w:val="0"/>
                <w:sz w:val="18"/>
              </w:rPr>
              <w:t>RIVR Tech / Lumbee Tribe</w:t>
            </w:r>
          </w:p>
        </w:tc>
        <w:tc>
          <w:tcPr>
            <w:tcW w:type="dxa" w:w="1296"/>
            <w:shd w:val="clear" w:color="auto" w:fill="F2F2F2"/>
            <w:vAlign w:val="center"/>
          </w:tcPr>
          <w:p>
            <w:pPr>
              <w:jc w:val="center"/>
            </w:pPr>
            <w:r>
              <w:rPr>
                <w:b w:val="0"/>
                <w:i w:val="0"/>
                <w:sz w:val="18"/>
              </w:rPr>
              <w:t>P1</w:t>
            </w:r>
          </w:p>
        </w:tc>
      </w:tr>
      <w:tr>
        <w:tc>
          <w:tcPr>
            <w:tcW w:type="dxa" w:w="504"/>
            <w:vAlign w:val="center"/>
          </w:tcPr>
          <w:p>
            <w:pPr>
              <w:jc w:val="center"/>
            </w:pPr>
            <w:r>
              <w:rPr>
                <w:b w:val="0"/>
                <w:i w:val="0"/>
                <w:sz w:val="18"/>
              </w:rPr>
              <w:t>3</w:t>
            </w:r>
          </w:p>
        </w:tc>
        <w:tc>
          <w:tcPr>
            <w:tcW w:type="dxa" w:w="2736"/>
            <w:vAlign w:val="center"/>
          </w:tcPr>
          <w:p>
            <w:r>
              <w:rPr>
                <w:b w:val="0"/>
                <w:i w:val="0"/>
                <w:sz w:val="18"/>
              </w:rPr>
              <w:t>Program-income history and treatment for prior awards</w:t>
            </w:r>
          </w:p>
        </w:tc>
        <w:tc>
          <w:tcPr>
            <w:tcW w:type="dxa" w:w="3384"/>
            <w:vAlign w:val="center"/>
          </w:tcPr>
          <w:p>
            <w:r>
              <w:rPr>
                <w:b w:val="0"/>
                <w:i w:val="0"/>
                <w:sz w:val="18"/>
              </w:rPr>
              <w:t>Informs program-income determination. 2 CFR 200.307 (Program income)</w:t>
            </w:r>
          </w:p>
        </w:tc>
        <w:tc>
          <w:tcPr>
            <w:tcW w:type="dxa" w:w="1440"/>
            <w:vAlign w:val="center"/>
          </w:tcPr>
          <w:p>
            <w:r>
              <w:rPr>
                <w:b w:val="0"/>
                <w:i w:val="0"/>
                <w:sz w:val="18"/>
              </w:rPr>
              <w:t>Lumbee Tribe</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Contractor pricing / margin basis for reasonableness review</w:t>
            </w:r>
          </w:p>
        </w:tc>
        <w:tc>
          <w:tcPr>
            <w:tcW w:type="dxa" w:w="3384"/>
            <w:shd w:val="clear" w:color="auto" w:fill="F2F2F2"/>
            <w:vAlign w:val="center"/>
          </w:tcPr>
          <w:p>
            <w:r>
              <w:rPr>
                <w:b w:val="0"/>
                <w:i w:val="0"/>
                <w:sz w:val="18"/>
              </w:rPr>
              <w:t>Required cost/price analysis. 2 CFR 200.317–200.327 (Procurement standards)</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r>
        <w:tc>
          <w:tcPr>
            <w:tcW w:type="dxa" w:w="504"/>
            <w:vAlign w:val="center"/>
          </w:tcPr>
          <w:p>
            <w:pPr>
              <w:jc w:val="center"/>
            </w:pPr>
            <w:r>
              <w:rPr>
                <w:b w:val="0"/>
                <w:i w:val="0"/>
                <w:sz w:val="18"/>
              </w:rPr>
              <w:t>5</w:t>
            </w:r>
          </w:p>
        </w:tc>
        <w:tc>
          <w:tcPr>
            <w:tcW w:type="dxa" w:w="2736"/>
            <w:vAlign w:val="center"/>
          </w:tcPr>
          <w:p>
            <w:r>
              <w:rPr>
                <w:b w:val="0"/>
                <w:i w:val="0"/>
                <w:sz w:val="18"/>
              </w:rPr>
              <w:t>Most recent single-audit report(s)</w:t>
            </w:r>
          </w:p>
        </w:tc>
        <w:tc>
          <w:tcPr>
            <w:tcW w:type="dxa" w:w="3384"/>
            <w:vAlign w:val="center"/>
          </w:tcPr>
          <w:p>
            <w:r>
              <w:rPr>
                <w:b w:val="0"/>
                <w:i w:val="0"/>
                <w:sz w:val="18"/>
              </w:rPr>
              <w:t>Risk assessment and audit posture. 2 CFR Part 200, Subpart F (Audit Requirements; single-audit threshold $1,000,000)</w:t>
            </w:r>
          </w:p>
        </w:tc>
        <w:tc>
          <w:tcPr>
            <w:tcW w:type="dxa" w:w="1440"/>
            <w:vAlign w:val="center"/>
          </w:tcPr>
          <w:p>
            <w:r>
              <w:rPr>
                <w:b w:val="0"/>
                <w:i w:val="0"/>
                <w:sz w:val="18"/>
              </w:rPr>
              <w:t>Lumbee Tribe</w:t>
            </w:r>
          </w:p>
        </w:tc>
        <w:tc>
          <w:tcPr>
            <w:tcW w:type="dxa" w:w="1296"/>
            <w:vAlign w:val="center"/>
          </w:tcPr>
          <w:p>
            <w:pPr>
              <w:jc w:val="center"/>
            </w:pPr>
            <w:r>
              <w:rPr>
                <w:b w:val="0"/>
                <w:i w:val="0"/>
                <w:sz w:val="18"/>
              </w:rPr>
              <w:t>P3</w:t>
            </w:r>
          </w:p>
        </w:tc>
      </w:tr>
    </w:tbl>
    <w:p/>
    <w:p>
      <w:pPr>
        <w:pStyle w:val="Heading1"/>
        <w:spacing w:before="240" w:after="120"/>
      </w:pPr>
      <w:r>
        <w:rPr>
          <w:rFonts w:ascii="Calibri" w:hAnsi="Calibri"/>
          <w:b/>
          <w:color w:val="1F3864"/>
          <w:sz w:val="26"/>
        </w:rPr>
        <w:t>ARTICLE 6.  CUSTOMER OPERATIONS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Provider-of-record structure and existing customer contracts</w:t>
            </w:r>
          </w:p>
        </w:tc>
        <w:tc>
          <w:tcPr>
            <w:tcW w:type="dxa" w:w="3384"/>
            <w:vAlign w:val="center"/>
          </w:tcPr>
          <w:p>
            <w:r>
              <w:rPr>
                <w:b w:val="0"/>
                <w:i w:val="0"/>
                <w:sz w:val="18"/>
              </w:rPr>
              <w:t>Confirms retail role and non-project customers.</w:t>
            </w:r>
          </w:p>
        </w:tc>
        <w:tc>
          <w:tcPr>
            <w:tcW w:type="dxa" w:w="1440"/>
            <w:vAlign w:val="center"/>
          </w:tcPr>
          <w:p>
            <w:r>
              <w:rPr>
                <w:b w:val="0"/>
                <w:i w:val="0"/>
                <w:sz w:val="18"/>
              </w:rPr>
              <w:t>RIVR Tech</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Billing/OSS/BSS systems, data ownership, and portability</w:t>
            </w:r>
          </w:p>
        </w:tc>
        <w:tc>
          <w:tcPr>
            <w:tcW w:type="dxa" w:w="3384"/>
            <w:shd w:val="clear" w:color="auto" w:fill="F2F2F2"/>
            <w:vAlign w:val="center"/>
          </w:tcPr>
          <w:p>
            <w:r>
              <w:rPr>
                <w:b w:val="0"/>
                <w:i w:val="0"/>
                <w:sz w:val="18"/>
              </w:rPr>
              <w:t>Affects step-in, transition, and program-income tracking.</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r>
        <w:tc>
          <w:tcPr>
            <w:tcW w:type="dxa" w:w="504"/>
            <w:vAlign w:val="center"/>
          </w:tcPr>
          <w:p>
            <w:pPr>
              <w:jc w:val="center"/>
            </w:pPr>
            <w:r>
              <w:rPr>
                <w:b w:val="0"/>
                <w:i w:val="0"/>
                <w:sz w:val="18"/>
              </w:rPr>
              <w:t>3</w:t>
            </w:r>
          </w:p>
        </w:tc>
        <w:tc>
          <w:tcPr>
            <w:tcW w:type="dxa" w:w="2736"/>
            <w:vAlign w:val="center"/>
          </w:tcPr>
          <w:p>
            <w:r>
              <w:rPr>
                <w:b w:val="0"/>
                <w:i w:val="0"/>
                <w:sz w:val="18"/>
              </w:rPr>
              <w:t>Affordability program design (e.g., low-cost service option)</w:t>
            </w:r>
          </w:p>
        </w:tc>
        <w:tc>
          <w:tcPr>
            <w:tcW w:type="dxa" w:w="3384"/>
            <w:vAlign w:val="center"/>
          </w:tcPr>
          <w:p>
            <w:r>
              <w:rPr>
                <w:b w:val="0"/>
                <w:i w:val="0"/>
                <w:sz w:val="18"/>
              </w:rPr>
              <w:t>Confirm against approved service commitments.</w:t>
            </w:r>
          </w:p>
        </w:tc>
        <w:tc>
          <w:tcPr>
            <w:tcW w:type="dxa" w:w="1440"/>
            <w:vAlign w:val="center"/>
          </w:tcPr>
          <w:p>
            <w:r>
              <w:rPr>
                <w:b w:val="0"/>
                <w:i w:val="0"/>
                <w:sz w:val="18"/>
              </w:rPr>
              <w:t>RIVR Tech / Lumbee Tribe</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Customer-receipt and revenue-recording procedures</w:t>
            </w:r>
          </w:p>
        </w:tc>
        <w:tc>
          <w:tcPr>
            <w:tcW w:type="dxa" w:w="3384"/>
            <w:shd w:val="clear" w:color="auto" w:fill="F2F2F2"/>
            <w:vAlign w:val="center"/>
          </w:tcPr>
          <w:p>
            <w:r>
              <w:rPr>
                <w:b w:val="0"/>
                <w:i w:val="0"/>
                <w:sz w:val="18"/>
              </w:rPr>
              <w:t>Program-income tracking and record retention. 2 CFR 200.334–200.337 (Record retention and access; three-year retention)</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bl>
    <w:p/>
    <w:p>
      <w:pPr>
        <w:pStyle w:val="Heading1"/>
        <w:spacing w:before="240" w:after="120"/>
      </w:pPr>
      <w:r>
        <w:rPr>
          <w:rFonts w:ascii="Calibri" w:hAnsi="Calibri"/>
          <w:b/>
          <w:color w:val="1F3864"/>
          <w:sz w:val="26"/>
        </w:rPr>
        <w:t>ARTICLE 7.  LAND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LREMC pole, conduit, easement, ROW, land, hut, and power records</w:t>
            </w:r>
          </w:p>
        </w:tc>
        <w:tc>
          <w:tcPr>
            <w:tcW w:type="dxa" w:w="3384"/>
            <w:vAlign w:val="center"/>
          </w:tcPr>
          <w:p>
            <w:r>
              <w:rPr>
                <w:b w:val="0"/>
                <w:i w:val="0"/>
                <w:sz w:val="18"/>
              </w:rPr>
              <w:t>LREMC is a separate owner; access needs consent/joinder. N.C. Gen. Stat. § 62-350 (broadband attachment to utility poles)</w:t>
            </w:r>
          </w:p>
        </w:tc>
        <w:tc>
          <w:tcPr>
            <w:tcW w:type="dxa" w:w="1440"/>
            <w:vAlign w:val="center"/>
          </w:tcPr>
          <w:p>
            <w:r>
              <w:rPr>
                <w:b w:val="0"/>
                <w:i w:val="0"/>
                <w:sz w:val="18"/>
              </w:rPr>
              <w:t>LREMC</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Title and real-property records for all sites</w:t>
            </w:r>
          </w:p>
        </w:tc>
        <w:tc>
          <w:tcPr>
            <w:tcW w:type="dxa" w:w="3384"/>
            <w:shd w:val="clear" w:color="auto" w:fill="F2F2F2"/>
            <w:vAlign w:val="center"/>
          </w:tcPr>
          <w:p>
            <w:r>
              <w:rPr>
                <w:b w:val="0"/>
                <w:i w:val="0"/>
                <w:sz w:val="18"/>
              </w:rPr>
              <w:t>Confirms rights and federal-interest placement. 2 CFR 200.311 (Real property — use, encumbrance, and disposition)</w:t>
            </w:r>
          </w:p>
        </w:tc>
        <w:tc>
          <w:tcPr>
            <w:tcW w:type="dxa" w:w="1440"/>
            <w:shd w:val="clear" w:color="auto" w:fill="F2F2F2"/>
            <w:vAlign w:val="center"/>
          </w:tcPr>
          <w:p>
            <w:r>
              <w:rPr>
                <w:b w:val="0"/>
                <w:i w:val="0"/>
                <w:sz w:val="18"/>
              </w:rPr>
              <w:t>LREMC / Lumbee Tribe</w:t>
            </w:r>
          </w:p>
        </w:tc>
        <w:tc>
          <w:tcPr>
            <w:tcW w:type="dxa" w:w="1296"/>
            <w:shd w:val="clear" w:color="auto" w:fill="F2F2F2"/>
            <w:vAlign w:val="center"/>
          </w:tcPr>
          <w:p>
            <w:pPr>
              <w:jc w:val="center"/>
            </w:pPr>
            <w:r>
              <w:rPr>
                <w:b w:val="0"/>
                <w:i w:val="0"/>
                <w:sz w:val="18"/>
              </w:rPr>
              <w:t>P1</w:t>
            </w:r>
          </w:p>
        </w:tc>
      </w:tr>
      <w:tr>
        <w:tc>
          <w:tcPr>
            <w:tcW w:type="dxa" w:w="504"/>
            <w:vAlign w:val="center"/>
          </w:tcPr>
          <w:p>
            <w:pPr>
              <w:jc w:val="center"/>
            </w:pPr>
            <w:r>
              <w:rPr>
                <w:b w:val="0"/>
                <w:i w:val="0"/>
                <w:sz w:val="18"/>
              </w:rPr>
              <w:t>3</w:t>
            </w:r>
          </w:p>
        </w:tc>
        <w:tc>
          <w:tcPr>
            <w:tcW w:type="dxa" w:w="2736"/>
            <w:vAlign w:val="center"/>
          </w:tcPr>
          <w:p>
            <w:r>
              <w:rPr>
                <w:b w:val="0"/>
                <w:i w:val="0"/>
                <w:sz w:val="18"/>
              </w:rPr>
              <w:t>Whether any trust/restricted Indian land is used or crossed</w:t>
            </w:r>
          </w:p>
        </w:tc>
        <w:tc>
          <w:tcPr>
            <w:tcW w:type="dxa" w:w="3384"/>
            <w:vAlign w:val="center"/>
          </w:tcPr>
          <w:p>
            <w:r>
              <w:rPr>
                <w:b w:val="0"/>
                <w:i w:val="0"/>
                <w:sz w:val="18"/>
              </w:rPr>
              <w:t>Triggers BIA leasing/ROW approval. 25 U.S.C. §§ 415, 81 and 25 CFR Parts 162/169 (BIA approval of certain leases/ROW/contracts on Indian land)</w:t>
            </w:r>
          </w:p>
        </w:tc>
        <w:tc>
          <w:tcPr>
            <w:tcW w:type="dxa" w:w="1440"/>
            <w:vAlign w:val="center"/>
          </w:tcPr>
          <w:p>
            <w:r>
              <w:rPr>
                <w:b w:val="0"/>
                <w:i w:val="0"/>
                <w:sz w:val="18"/>
              </w:rPr>
              <w:t>Lumbee Tribe counsel</w:t>
            </w:r>
          </w:p>
        </w:tc>
        <w:tc>
          <w:tcPr>
            <w:tcW w:type="dxa" w:w="1296"/>
            <w:vAlign w:val="center"/>
          </w:tcPr>
          <w:p>
            <w:pPr>
              <w:jc w:val="center"/>
            </w:pPr>
            <w:r>
              <w:rPr>
                <w:b w:val="0"/>
                <w:i w:val="0"/>
                <w:sz w:val="18"/>
              </w:rPr>
              <w:t>P1</w:t>
            </w:r>
          </w:p>
        </w:tc>
      </w:tr>
      <w:tr>
        <w:tc>
          <w:tcPr>
            <w:tcW w:type="dxa" w:w="504"/>
            <w:shd w:val="clear" w:color="auto" w:fill="F2F2F2"/>
            <w:vAlign w:val="center"/>
          </w:tcPr>
          <w:p>
            <w:pPr>
              <w:jc w:val="center"/>
            </w:pPr>
            <w:r>
              <w:rPr>
                <w:b w:val="0"/>
                <w:i w:val="0"/>
                <w:sz w:val="18"/>
              </w:rPr>
              <w:t>4</w:t>
            </w:r>
          </w:p>
        </w:tc>
        <w:tc>
          <w:tcPr>
            <w:tcW w:type="dxa" w:w="2736"/>
            <w:shd w:val="clear" w:color="auto" w:fill="F2F2F2"/>
            <w:vAlign w:val="center"/>
          </w:tcPr>
          <w:p>
            <w:r>
              <w:rPr>
                <w:b w:val="0"/>
                <w:i w:val="0"/>
                <w:sz w:val="18"/>
              </w:rPr>
              <w:t>NCDOT encroachment and 811/locate compliance records</w:t>
            </w:r>
          </w:p>
        </w:tc>
        <w:tc>
          <w:tcPr>
            <w:tcW w:type="dxa" w:w="3384"/>
            <w:shd w:val="clear" w:color="auto" w:fill="F2F2F2"/>
            <w:vAlign w:val="center"/>
          </w:tcPr>
          <w:p>
            <w:r>
              <w:rPr>
                <w:b w:val="0"/>
                <w:i w:val="0"/>
                <w:sz w:val="18"/>
              </w:rPr>
              <w:t>N.C. Gen. Stat. § 136-18 and NCDOT utility accommodation policy (encroachment/ROW in NCDOT corridors); N.C. Gen. Stat. Ch. 87, Art. 8A (Underground Utility Safety and Damage Prevention Act / 811 locates)</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bl>
    <w:p/>
    <w:p>
      <w:pPr>
        <w:pStyle w:val="Heading1"/>
        <w:spacing w:before="240" w:after="120"/>
      </w:pPr>
      <w:r>
        <w:rPr>
          <w:rFonts w:ascii="Calibri" w:hAnsi="Calibri"/>
          <w:b/>
          <w:color w:val="1F3864"/>
          <w:sz w:val="26"/>
        </w:rPr>
        <w:t>ARTICLE 8.  CYBERSECURITY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System Security Plan, supply-chain risk plan, and incident-response plan</w:t>
            </w:r>
          </w:p>
        </w:tc>
        <w:tc>
          <w:tcPr>
            <w:tcW w:type="dxa" w:w="3384"/>
            <w:vAlign w:val="center"/>
          </w:tcPr>
          <w:p>
            <w:r>
              <w:rPr>
                <w:b w:val="0"/>
                <w:i w:val="0"/>
                <w:sz w:val="18"/>
              </w:rPr>
              <w:t>Required for operations and data protection.</w:t>
            </w:r>
          </w:p>
        </w:tc>
        <w:tc>
          <w:tcPr>
            <w:tcW w:type="dxa" w:w="1440"/>
            <w:vAlign w:val="center"/>
          </w:tcPr>
          <w:p>
            <w:r>
              <w:rPr>
                <w:b w:val="0"/>
                <w:i w:val="0"/>
                <w:sz w:val="18"/>
              </w:rPr>
              <w:t>RIVR Tech</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CPNI and customer-data handling policies</w:t>
            </w:r>
          </w:p>
        </w:tc>
        <w:tc>
          <w:tcPr>
            <w:tcW w:type="dxa" w:w="3384"/>
            <w:shd w:val="clear" w:color="auto" w:fill="F2F2F2"/>
            <w:vAlign w:val="center"/>
          </w:tcPr>
          <w:p>
            <w:r>
              <w:rPr>
                <w:b w:val="0"/>
                <w:i w:val="0"/>
                <w:sz w:val="18"/>
              </w:rPr>
              <w:t>47 U.S.C. § 222 and 47 CFR §§ 64.2001–64.2011 (Customer Proprietary Network Information)</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r>
        <w:tc>
          <w:tcPr>
            <w:tcW w:type="dxa" w:w="504"/>
            <w:vAlign w:val="center"/>
          </w:tcPr>
          <w:p>
            <w:pPr>
              <w:jc w:val="center"/>
            </w:pPr>
            <w:r>
              <w:rPr>
                <w:b w:val="0"/>
                <w:i w:val="0"/>
                <w:sz w:val="18"/>
              </w:rPr>
              <w:t>3</w:t>
            </w:r>
          </w:p>
        </w:tc>
        <w:tc>
          <w:tcPr>
            <w:tcW w:type="dxa" w:w="2736"/>
            <w:vAlign w:val="center"/>
          </w:tcPr>
          <w:p>
            <w:r>
              <w:rPr>
                <w:b w:val="0"/>
                <w:i w:val="0"/>
                <w:sz w:val="18"/>
              </w:rPr>
              <w:t>Disaster-recovery and business-continuity plans</w:t>
            </w:r>
          </w:p>
        </w:tc>
        <w:tc>
          <w:tcPr>
            <w:tcW w:type="dxa" w:w="3384"/>
            <w:vAlign w:val="center"/>
          </w:tcPr>
          <w:p>
            <w:r>
              <w:rPr>
                <w:b w:val="0"/>
                <w:i w:val="0"/>
                <w:sz w:val="18"/>
              </w:rPr>
              <w:t>Supports step-in and continuity obligations.</w:t>
            </w:r>
          </w:p>
        </w:tc>
        <w:tc>
          <w:tcPr>
            <w:tcW w:type="dxa" w:w="1440"/>
            <w:vAlign w:val="center"/>
          </w:tcPr>
          <w:p>
            <w:r>
              <w:rPr>
                <w:b w:val="0"/>
                <w:i w:val="0"/>
                <w:sz w:val="18"/>
              </w:rPr>
              <w:t>RIVR Tech</w:t>
            </w:r>
          </w:p>
        </w:tc>
        <w:tc>
          <w:tcPr>
            <w:tcW w:type="dxa" w:w="1296"/>
            <w:vAlign w:val="center"/>
          </w:tcPr>
          <w:p>
            <w:pPr>
              <w:jc w:val="center"/>
            </w:pPr>
            <w:r>
              <w:rPr>
                <w:b w:val="0"/>
                <w:i w:val="0"/>
                <w:sz w:val="18"/>
              </w:rPr>
              <w:t>P3</w:t>
            </w:r>
          </w:p>
        </w:tc>
      </w:tr>
    </w:tbl>
    <w:p/>
    <w:p>
      <w:pPr>
        <w:pStyle w:val="Heading1"/>
        <w:spacing w:before="240" w:after="120"/>
      </w:pPr>
      <w:r>
        <w:rPr>
          <w:rFonts w:ascii="Calibri" w:hAnsi="Calibri"/>
          <w:b/>
          <w:color w:val="1F3864"/>
          <w:sz w:val="26"/>
        </w:rPr>
        <w:t>ARTICLE 9.  INSURANCE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Certificates of insurance and full policies (both parties)</w:t>
            </w:r>
          </w:p>
        </w:tc>
        <w:tc>
          <w:tcPr>
            <w:tcW w:type="dxa" w:w="3384"/>
            <w:vAlign w:val="center"/>
          </w:tcPr>
          <w:p>
            <w:r>
              <w:rPr>
                <w:b w:val="0"/>
                <w:i w:val="0"/>
                <w:sz w:val="18"/>
              </w:rPr>
              <w:t>Confirm coverage adequacy and additional-insured status. 2 CFR 200.310 (Insurance coverage)</w:t>
            </w:r>
          </w:p>
        </w:tc>
        <w:tc>
          <w:tcPr>
            <w:tcW w:type="dxa" w:w="1440"/>
            <w:vAlign w:val="center"/>
          </w:tcPr>
          <w:p>
            <w:r>
              <w:rPr>
                <w:b w:val="0"/>
                <w:i w:val="0"/>
                <w:sz w:val="18"/>
              </w:rPr>
              <w:t>Both Parties</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Builder's risk / property coverage for grant-funded assets</w:t>
            </w:r>
          </w:p>
        </w:tc>
        <w:tc>
          <w:tcPr>
            <w:tcW w:type="dxa" w:w="3384"/>
            <w:shd w:val="clear" w:color="auto" w:fill="F2F2F2"/>
            <w:vAlign w:val="center"/>
          </w:tcPr>
          <w:p>
            <w:r>
              <w:rPr>
                <w:b w:val="0"/>
                <w:i w:val="0"/>
                <w:sz w:val="18"/>
              </w:rPr>
              <w:t>Protects the Grant-Funded Assets during construction.</w:t>
            </w:r>
          </w:p>
        </w:tc>
        <w:tc>
          <w:tcPr>
            <w:tcW w:type="dxa" w:w="1440"/>
            <w:shd w:val="clear" w:color="auto" w:fill="F2F2F2"/>
            <w:vAlign w:val="center"/>
          </w:tcPr>
          <w:p>
            <w:r>
              <w:rPr>
                <w:b w:val="0"/>
                <w:i w:val="0"/>
                <w:sz w:val="18"/>
              </w:rPr>
              <w:t>RIVR Tech</w:t>
            </w:r>
          </w:p>
        </w:tc>
        <w:tc>
          <w:tcPr>
            <w:tcW w:type="dxa" w:w="1296"/>
            <w:shd w:val="clear" w:color="auto" w:fill="F2F2F2"/>
            <w:vAlign w:val="center"/>
          </w:tcPr>
          <w:p>
            <w:pPr>
              <w:jc w:val="center"/>
            </w:pPr>
            <w:r>
              <w:rPr>
                <w:b w:val="0"/>
                <w:i w:val="0"/>
                <w:sz w:val="18"/>
              </w:rPr>
              <w:t>P2</w:t>
            </w:r>
          </w:p>
        </w:tc>
      </w:tr>
    </w:tbl>
    <w:p/>
    <w:p>
      <w:pPr>
        <w:pStyle w:val="Heading1"/>
        <w:spacing w:before="240" w:after="120"/>
      </w:pPr>
      <w:r>
        <w:rPr>
          <w:rFonts w:ascii="Calibri" w:hAnsi="Calibri"/>
          <w:b/>
          <w:color w:val="1F3864"/>
          <w:sz w:val="26"/>
        </w:rPr>
        <w:t>ARTICLE 10.  TAX / TERO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864"/>
            <w:vAlign w:val="center"/>
          </w:tcPr>
          <w:p>
            <w:pPr>
              <w:jc w:val="center"/>
            </w:pPr>
            <w:r>
              <w:rPr>
                <w:b/>
                <w:color w:val="FFFFFF"/>
                <w:sz w:val="18"/>
              </w:rPr>
              <w:t>#</w:t>
            </w:r>
          </w:p>
        </w:tc>
        <w:tc>
          <w:tcPr>
            <w:tcW w:type="dxa" w:w="2736"/>
            <w:shd w:val="clear" w:color="auto" w:fill="1F3864"/>
            <w:vAlign w:val="center"/>
          </w:tcPr>
          <w:p>
            <w:pPr>
              <w:jc w:val="center"/>
            </w:pPr>
            <w:r>
              <w:rPr>
                <w:b/>
                <w:color w:val="FFFFFF"/>
                <w:sz w:val="18"/>
              </w:rPr>
              <w:t>Information Needed</w:t>
            </w:r>
          </w:p>
        </w:tc>
        <w:tc>
          <w:tcPr>
            <w:tcW w:type="dxa" w:w="3384"/>
            <w:shd w:val="clear" w:color="auto" w:fill="1F3864"/>
            <w:vAlign w:val="center"/>
          </w:tcPr>
          <w:p>
            <w:pPr>
              <w:jc w:val="center"/>
            </w:pPr>
            <w:r>
              <w:rPr>
                <w:b/>
                <w:color w:val="FFFFFF"/>
                <w:sz w:val="18"/>
              </w:rPr>
              <w:t>Why It Matters</w:t>
            </w:r>
          </w:p>
        </w:tc>
        <w:tc>
          <w:tcPr>
            <w:tcW w:type="dxa" w:w="1440"/>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Priority</w:t>
            </w:r>
          </w:p>
        </w:tc>
      </w:tr>
      <w:tr>
        <w:tc>
          <w:tcPr>
            <w:tcW w:type="dxa" w:w="504"/>
            <w:vAlign w:val="center"/>
          </w:tcPr>
          <w:p>
            <w:pPr>
              <w:jc w:val="center"/>
            </w:pPr>
            <w:r>
              <w:rPr>
                <w:b w:val="0"/>
                <w:i w:val="0"/>
                <w:sz w:val="18"/>
              </w:rPr>
              <w:t>1</w:t>
            </w:r>
          </w:p>
        </w:tc>
        <w:tc>
          <w:tcPr>
            <w:tcW w:type="dxa" w:w="2736"/>
            <w:vAlign w:val="center"/>
          </w:tcPr>
          <w:p>
            <w:r>
              <w:rPr>
                <w:b w:val="0"/>
                <w:i w:val="0"/>
                <w:sz w:val="18"/>
              </w:rPr>
              <w:t>Applicable Tribal tax, TERO, and preference requirements</w:t>
            </w:r>
          </w:p>
        </w:tc>
        <w:tc>
          <w:tcPr>
            <w:tcW w:type="dxa" w:w="3384"/>
            <w:vAlign w:val="center"/>
          </w:tcPr>
          <w:p>
            <w:r>
              <w:rPr>
                <w:b w:val="0"/>
                <w:i w:val="0"/>
                <w:sz w:val="18"/>
              </w:rPr>
              <w:t>Applicable Tribal Employment Rights Ordinance (TERO) and Tribal preference requirements [COUNSEL TO CONFIRM applicability to the Lumbee Tribe]</w:t>
            </w:r>
          </w:p>
        </w:tc>
        <w:tc>
          <w:tcPr>
            <w:tcW w:type="dxa" w:w="1440"/>
            <w:vAlign w:val="center"/>
          </w:tcPr>
          <w:p>
            <w:r>
              <w:rPr>
                <w:b w:val="0"/>
                <w:i w:val="0"/>
                <w:sz w:val="18"/>
              </w:rPr>
              <w:t>Lumbee Tribe</w:t>
            </w:r>
          </w:p>
        </w:tc>
        <w:tc>
          <w:tcPr>
            <w:tcW w:type="dxa" w:w="1296"/>
            <w:vAlign w:val="center"/>
          </w:tcPr>
          <w:p>
            <w:pPr>
              <w:jc w:val="center"/>
            </w:pPr>
            <w:r>
              <w:rPr>
                <w:b w:val="0"/>
                <w:i w:val="0"/>
                <w:sz w:val="18"/>
              </w:rPr>
              <w:t>P2</w:t>
            </w:r>
          </w:p>
        </w:tc>
      </w:tr>
      <w:tr>
        <w:tc>
          <w:tcPr>
            <w:tcW w:type="dxa" w:w="504"/>
            <w:shd w:val="clear" w:color="auto" w:fill="F2F2F2"/>
            <w:vAlign w:val="center"/>
          </w:tcPr>
          <w:p>
            <w:pPr>
              <w:jc w:val="center"/>
            </w:pPr>
            <w:r>
              <w:rPr>
                <w:b w:val="0"/>
                <w:i w:val="0"/>
                <w:sz w:val="18"/>
              </w:rPr>
              <w:t>2</w:t>
            </w:r>
          </w:p>
        </w:tc>
        <w:tc>
          <w:tcPr>
            <w:tcW w:type="dxa" w:w="2736"/>
            <w:shd w:val="clear" w:color="auto" w:fill="F2F2F2"/>
            <w:vAlign w:val="center"/>
          </w:tcPr>
          <w:p>
            <w:r>
              <w:rPr>
                <w:b w:val="0"/>
                <w:i w:val="0"/>
                <w:sz w:val="18"/>
              </w:rPr>
              <w:t>State/local tax treatment of assets, services, and payments</w:t>
            </w:r>
          </w:p>
        </w:tc>
        <w:tc>
          <w:tcPr>
            <w:tcW w:type="dxa" w:w="3384"/>
            <w:shd w:val="clear" w:color="auto" w:fill="F2F2F2"/>
            <w:vAlign w:val="center"/>
          </w:tcPr>
          <w:p>
            <w:r>
              <w:rPr>
                <w:b w:val="0"/>
                <w:i w:val="0"/>
                <w:sz w:val="18"/>
              </w:rPr>
              <w:t>Affects economics and payment characterization.</w:t>
            </w:r>
          </w:p>
        </w:tc>
        <w:tc>
          <w:tcPr>
            <w:tcW w:type="dxa" w:w="1440"/>
            <w:shd w:val="clear" w:color="auto" w:fill="F2F2F2"/>
            <w:vAlign w:val="center"/>
          </w:tcPr>
          <w:p>
            <w:r>
              <w:rPr>
                <w:b w:val="0"/>
                <w:i w:val="0"/>
                <w:sz w:val="18"/>
              </w:rPr>
              <w:t>Tax advisor</w:t>
            </w:r>
          </w:p>
        </w:tc>
        <w:tc>
          <w:tcPr>
            <w:tcW w:type="dxa" w:w="1296"/>
            <w:shd w:val="clear" w:color="auto" w:fill="F2F2F2"/>
            <w:vAlign w:val="center"/>
          </w:tcPr>
          <w:p>
            <w:pPr>
              <w:jc w:val="center"/>
            </w:pPr>
            <w:r>
              <w:rPr>
                <w:b w:val="0"/>
                <w:i w:val="0"/>
                <w:sz w:val="18"/>
              </w:rPr>
              <w:t>P3</w:t>
            </w:r>
          </w:p>
        </w:tc>
      </w:tr>
    </w:tbl>
    <w:p/>
    <w:p>
      <w:pPr>
        <w:pStyle w:val="Heading1"/>
        <w:spacing w:before="240" w:after="120"/>
      </w:pPr>
      <w:r>
        <w:rPr>
          <w:rFonts w:ascii="Calibri" w:hAnsi="Calibri"/>
          <w:b/>
          <w:color w:val="1F3864"/>
          <w:sz w:val="26"/>
        </w:rPr>
        <w:t>ARTICLE 11.  CLOSING DISCLAIMER AND RESERVATION</w:t>
      </w:r>
    </w:p>
    <w:p>
      <w:r>
        <w:rPr>
          <w:b w:val="0"/>
          <w:i/>
        </w:rPr>
        <w:t>These drafts are provided for business planning and attorney review only. They are preliminary, non-binding, incomplete, and prepared without any controlling TBCP award or source documents. The provisional baseline is the March 2024 amended Round 2 NOFO; Round 3 is the live TBCP round as of the version date, and the controlling round and executed award must be confirmed before anything here is finalized. Every bracketed item, highlighted placeholder, and flagged provision requires confirmation by qualified counsel, grant, financial, and technical advisors. Nothing in these drafts constitutes legal, financial, tax, or grant-compliance advice, creates any binding obligation, or waives any right, remedy, or sovereign immunity. In the event of any conflict, the executed TBCP award, applicable federal and state law, and any required governmental consent control; nothing in these drafts may be relied upon to supersede the TBCP award, applicable law, or required governmental consent.</w:t>
      </w:r>
    </w:p>
    <w:p>
      <w:pPr>
        <w:ind w:left="504"/>
      </w:pPr>
      <w:r>
        <w:rPr>
          <w:b/>
          <w:color w:val="0000C0"/>
        </w:rPr>
        <w:t xml:space="preserve">[ATTORNEY REVIEW REQUIRED]  </w:t>
      </w:r>
      <w:r>
        <w:rPr>
          <w:i/>
          <w:color w:val="595959"/>
        </w:rPr>
        <w:t>This document is attorney work product prepared for the common interest of the Lumbee Tribe and RIVR Tech; it is not final legal advice and must be reviewed and completed by qualified counsel before use.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Missing-Info Request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