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DOCUMENT 08 — TERM SHEET AND DECISION REGISTER</w:t>
      </w:r>
    </w:p>
    <w:p>
      <w:pPr>
        <w:jc w:val="center"/>
      </w:pPr>
      <w:r>
        <w:rPr>
          <w:b/>
          <w:color w:val="1F3864"/>
          <w:sz w:val="48"/>
        </w:rPr>
        <w:t>Term Sheet and Decision Register</w:t>
      </w:r>
    </w:p>
    <w:p>
      <w:pPr>
        <w:jc w:val="center"/>
      </w:pPr>
      <w:r>
        <w:rPr>
          <w:color w:val="595959"/>
          <w:sz w:val="28"/>
        </w:rPr>
        <w:t>Phase 1 Diligence — Recommended Positions, Alternatives, and Open Decisions</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pPr>
        <w:pStyle w:val="Heading1"/>
        <w:spacing w:before="240" w:after="120"/>
      </w:pPr>
      <w:r>
        <w:rPr>
          <w:rFonts w:ascii="Calibri" w:hAnsi="Calibri"/>
          <w:b/>
          <w:color w:val="1F3864"/>
          <w:sz w:val="26"/>
        </w:rPr>
        <w:t>ARTICLE 1.  PURPOSE</w:t>
      </w:r>
    </w:p>
    <w:p>
      <w:r>
        <w:rPr>
          <w:b w:val="0"/>
          <w:i w:val="0"/>
        </w:rPr>
        <w:t>This term sheet records, for each open decision, a recommended position, alternatives, required approvals, a fallback, and the responsible party. It is non-binding and provisional. No executed TBCP award, CD-450 Financial Assistance Award, Notice of Funding Opportunity PDF, Specific Award Conditions, Tribal resolution, title/easement record, or existing RIVR Tech / LREMC contract was supplied for this work product. All conclusions are provisional and keyed to the assumptions register in Document 01.</w:t>
      </w:r>
    </w:p>
    <w:p>
      <w:pPr>
        <w:pStyle w:val="Heading1"/>
        <w:spacing w:before="240" w:after="120"/>
      </w:pPr>
      <w:r>
        <w:rPr>
          <w:rFonts w:ascii="Calibri" w:hAnsi="Calibri"/>
          <w:b/>
          <w:color w:val="1F3864"/>
          <w:sz w:val="26"/>
        </w:rPr>
        <w:t>ARTICLE 2.  PAYMENT AMOUNT + CHARACTERIZATION</w:t>
      </w:r>
    </w:p>
    <w:p>
      <w:r>
        <w:rPr>
          <w:b w:val="0"/>
          <w:i w:val="0"/>
        </w:rPr>
        <w:t>Recommended position: Recommend $[X] per Active Subscriber per month as a Per-Active-Subscriber Operating Payment (Option D).</w:t>
      </w:r>
    </w:p>
    <w:p>
      <w:r>
        <w:rPr>
          <w:b w:val="0"/>
          <w:i w:val="0"/>
        </w:rPr>
        <w:t>Alternatives: Options A (asset-use/license), B (IRU consideration), C (revenue share), E (hybrid).</w:t>
      </w:r>
    </w:p>
    <w:p>
      <w:r>
        <w:rPr>
          <w:b w:val="0"/>
          <w:i w:val="0"/>
        </w:rPr>
        <w:t>Required approvals: Written program-income determination (label does not control). 2 CFR 200.307 (Program income)</w:t>
      </w:r>
    </w:p>
    <w:p>
      <w:r>
        <w:rPr>
          <w:b w:val="0"/>
          <w:i w:val="0"/>
        </w:rPr>
        <w:t>Fallback: If Option D is disallowed, fall back to Option B (defined IRU consideration) or E (hybrid).</w:t>
      </w:r>
    </w:p>
    <w:p>
      <w:r>
        <w:rPr>
          <w:b w:val="0"/>
          <w:i w:val="0"/>
        </w:rPr>
        <w:t>Responsible party: Lumbee Tribe / RIVR Tech; grants officer</w:t>
      </w:r>
    </w:p>
    <w:p>
      <w:pPr>
        <w:pStyle w:val="Heading1"/>
        <w:spacing w:before="240" w:after="120"/>
      </w:pPr>
      <w:r>
        <w:rPr>
          <w:rFonts w:ascii="Calibri" w:hAnsi="Calibri"/>
          <w:b/>
          <w:color w:val="1F3864"/>
          <w:sz w:val="26"/>
        </w:rPr>
        <w:t>ARTICLE 3.  TERM / RENEWAL</w:t>
      </w:r>
    </w:p>
    <w:p>
      <w:r>
        <w:rPr>
          <w:b w:val="0"/>
          <w:i w:val="0"/>
        </w:rPr>
        <w:t>Recommended position: Recommend 20 years from acceptance of each Network segment + two (2) optional renewal terms of five (5) years each.</w:t>
      </w:r>
    </w:p>
    <w:p>
      <w:r>
        <w:rPr>
          <w:b w:val="0"/>
          <w:i w:val="0"/>
        </w:rPr>
        <w:t>Alternatives: Shorter base term; single renewal; renewal tied to compliance.</w:t>
      </w:r>
    </w:p>
    <w:p>
      <w:r>
        <w:rPr>
          <w:b w:val="0"/>
          <w:i w:val="0"/>
        </w:rPr>
        <w:t>Required approvals: Term cannot exceed the useful life of the Grant-Funded Assets, the duration of the underlying land/access rights, the Federal Interest period, and the controlling Award. 2 CFR 200.313 (Equipment — use, management, and disposition)</w:t>
      </w:r>
    </w:p>
    <w:p>
      <w:r>
        <w:rPr>
          <w:b w:val="0"/>
          <w:i w:val="0"/>
        </w:rPr>
        <w:t>Fallback: Cap term at the shortest of useful life, land rights, federal-interest period, and the Award.</w:t>
      </w:r>
    </w:p>
    <w:p>
      <w:r>
        <w:rPr>
          <w:b w:val="0"/>
          <w:i w:val="0"/>
        </w:rPr>
        <w:t>Responsible party: Lumbee Tribe counsel; grants officer</w:t>
      </w:r>
    </w:p>
    <w:p>
      <w:pPr>
        <w:pStyle w:val="Heading1"/>
        <w:spacing w:before="240" w:after="120"/>
      </w:pPr>
      <w:r>
        <w:rPr>
          <w:rFonts w:ascii="Calibri" w:hAnsi="Calibri"/>
          <w:b/>
          <w:color w:val="1F3864"/>
          <w:sz w:val="26"/>
        </w:rPr>
        <w:t>ARTICLE 4.  EXCLUSIVITY LIMITS</w:t>
      </w:r>
    </w:p>
    <w:p>
      <w:r>
        <w:rPr>
          <w:b w:val="0"/>
          <w:i w:val="0"/>
        </w:rPr>
        <w:t>Recommended position: Recommend non-exclusive operating rights within approved scope; no exclusivity over grant capacity beyond the Award.</w:t>
      </w:r>
    </w:p>
    <w:p>
      <w:r>
        <w:rPr>
          <w:b w:val="0"/>
          <w:i w:val="0"/>
        </w:rPr>
        <w:t>Alternatives: Limited exclusivity for retail within the Approved Project Area (if permissible).</w:t>
      </w:r>
    </w:p>
    <w:p>
      <w:r>
        <w:rPr>
          <w:b w:val="0"/>
          <w:i w:val="0"/>
        </w:rPr>
        <w:t>Required approvals: Confirm no conflict with program requirements. 2 CFR 200.307 (Program income)</w:t>
      </w:r>
    </w:p>
    <w:p>
      <w:r>
        <w:rPr>
          <w:b w:val="0"/>
          <w:i w:val="0"/>
        </w:rPr>
        <w:t>Fallback: No exclusivity if it impairs program purpose or competition.</w:t>
      </w:r>
    </w:p>
    <w:p>
      <w:r>
        <w:rPr>
          <w:b w:val="0"/>
          <w:i w:val="0"/>
        </w:rPr>
        <w:t>Responsible party: Lumbee Tribe; grants officer</w:t>
      </w:r>
    </w:p>
    <w:p>
      <w:pPr>
        <w:pStyle w:val="Heading1"/>
        <w:spacing w:before="240" w:after="120"/>
      </w:pPr>
      <w:r>
        <w:rPr>
          <w:rFonts w:ascii="Calibri" w:hAnsi="Calibri"/>
          <w:b/>
          <w:color w:val="1F3864"/>
          <w:sz w:val="26"/>
        </w:rPr>
        <w:t>ARTICLE 5.  COMMERCIAL / NON-PROJECT CAPACITY</w:t>
      </w:r>
    </w:p>
    <w:p>
      <w:r>
        <w:rPr>
          <w:b w:val="0"/>
          <w:i w:val="0"/>
        </w:rPr>
        <w:t>Recommended position: Recommend defining reserved commercial capacity separately, valued and approved before use.</w:t>
      </w:r>
    </w:p>
    <w:p>
      <w:r>
        <w:rPr>
          <w:b w:val="0"/>
          <w:i w:val="0"/>
        </w:rPr>
        <w:t>Alternatives: No commercial use; or commercial use only on non-grant assets.</w:t>
      </w:r>
    </w:p>
    <w:p>
      <w:r>
        <w:rPr>
          <w:b w:val="0"/>
          <w:i w:val="0"/>
        </w:rPr>
        <w:t>Required approvals: Written commercial-capacity determination. 2 CFR 200.307 (Program income)</w:t>
      </w:r>
    </w:p>
    <w:p>
      <w:r>
        <w:rPr>
          <w:b w:val="0"/>
          <w:i w:val="0"/>
        </w:rPr>
        <w:t>Fallback: If not approved, prohibit commercial use of grant capacity.</w:t>
      </w:r>
    </w:p>
    <w:p>
      <w:r>
        <w:rPr>
          <w:b w:val="0"/>
          <w:i w:val="0"/>
        </w:rPr>
        <w:t>Responsible party: RIVR Tech; grants officer</w:t>
      </w:r>
    </w:p>
    <w:p>
      <w:pPr>
        <w:pStyle w:val="Heading1"/>
        <w:spacing w:before="240" w:after="120"/>
      </w:pPr>
      <w:r>
        <w:rPr>
          <w:rFonts w:ascii="Calibri" w:hAnsi="Calibri"/>
          <w:b/>
          <w:color w:val="1F3864"/>
          <w:sz w:val="26"/>
        </w:rPr>
        <w:t>ARTICLE 6.  RESERVED FIBER</w:t>
      </w:r>
    </w:p>
    <w:p>
      <w:r>
        <w:rPr>
          <w:b w:val="0"/>
          <w:i w:val="0"/>
        </w:rPr>
        <w:t>Recommended position: Recommend reserving defined dark-fiber/strand capacity for the Tribe and public use.</w:t>
      </w:r>
    </w:p>
    <w:p>
      <w:r>
        <w:rPr>
          <w:b w:val="0"/>
          <w:i w:val="0"/>
        </w:rPr>
        <w:t>Alternatives: No reservation; reservation by segment.</w:t>
      </w:r>
    </w:p>
    <w:p>
      <w:r>
        <w:rPr>
          <w:b w:val="0"/>
          <w:i w:val="0"/>
        </w:rPr>
        <w:t xml:space="preserve">Required approvals: Confirm against approved design. </w:t>
      </w:r>
      <w:r>
        <w:rPr>
          <w:b w:val="0"/>
          <w:i w:val="0"/>
          <w:color w:val="804000"/>
          <w:highlight w:val="yellow"/>
        </w:rPr>
        <w:t>[■ strand count - not supplied]</w:t>
      </w:r>
    </w:p>
    <w:p>
      <w:r>
        <w:rPr>
          <w:b w:val="0"/>
          <w:i w:val="0"/>
        </w:rPr>
        <w:t>Fallback: Reserve at least the Tribe's operational needs.</w:t>
      </w:r>
    </w:p>
    <w:p>
      <w:r>
        <w:rPr>
          <w:b w:val="0"/>
          <w:i w:val="0"/>
        </w:rPr>
        <w:t>Responsible party: Lumbee Tribe; RIVR Tech</w:t>
      </w:r>
    </w:p>
    <w:p>
      <w:pPr>
        <w:pStyle w:val="Heading1"/>
        <w:spacing w:before="240" w:after="120"/>
      </w:pPr>
      <w:r>
        <w:rPr>
          <w:rFonts w:ascii="Calibri" w:hAnsi="Calibri"/>
          <w:b/>
          <w:color w:val="1F3864"/>
          <w:sz w:val="26"/>
        </w:rPr>
        <w:t>ARTICLE 7.  LREMC SCOPE</w:t>
      </w:r>
    </w:p>
    <w:p>
      <w:r>
        <w:rPr>
          <w:b w:val="0"/>
          <w:i w:val="0"/>
        </w:rPr>
        <w:t>Recommended position: Recommend a separate LREMC consent/joinder for all LREMC Facilities used.</w:t>
      </w:r>
    </w:p>
    <w:p>
      <w:r>
        <w:rPr>
          <w:b w:val="0"/>
          <w:i w:val="0"/>
        </w:rPr>
        <w:t>Alternatives: Bundle into master agreement (not recommended - LREMC is a separate owner).</w:t>
      </w:r>
    </w:p>
    <w:p>
      <w:r>
        <w:rPr>
          <w:b w:val="0"/>
          <w:i w:val="0"/>
        </w:rPr>
        <w:t>Required approvals: LREMC board approval; arm's-length pricing. N.C. Gen. Stat. § 62-350 (broadband attachment to utility poles)</w:t>
      </w:r>
    </w:p>
    <w:p>
      <w:r>
        <w:rPr>
          <w:b w:val="0"/>
          <w:i w:val="0"/>
        </w:rPr>
        <w:t>Fallback: No access without executed LREMC instruments.</w:t>
      </w:r>
    </w:p>
    <w:p>
      <w:r>
        <w:rPr>
          <w:b w:val="0"/>
          <w:i w:val="0"/>
        </w:rPr>
        <w:t>Responsible party: LREMC; Lumbee Tribe</w:t>
      </w:r>
    </w:p>
    <w:p>
      <w:pPr>
        <w:pStyle w:val="Heading1"/>
        <w:spacing w:before="240" w:after="120"/>
      </w:pPr>
      <w:r>
        <w:rPr>
          <w:rFonts w:ascii="Calibri" w:hAnsi="Calibri"/>
          <w:b/>
          <w:color w:val="1F3864"/>
          <w:sz w:val="26"/>
        </w:rPr>
        <w:t>ARTICLE 8.  SOVEREIGN-IMMUNITY APPROACH</w:t>
      </w:r>
    </w:p>
    <w:p>
      <w:r>
        <w:rPr>
          <w:b w:val="0"/>
          <w:i w:val="0"/>
        </w:rPr>
        <w:t>Recommended position: Present bracketed alternatives (no waiver / limited express waiver for defined disputes) for Council decision.</w:t>
      </w:r>
    </w:p>
    <w:p>
      <w:r>
        <w:rPr>
          <w:b w:val="0"/>
          <w:i w:val="0"/>
        </w:rPr>
        <w:t>Alternatives: Limited waiver to arbitration with a damages cap; no waiver.</w:t>
      </w:r>
    </w:p>
    <w:p>
      <w:r>
        <w:rPr>
          <w:b w:val="0"/>
          <w:i w:val="0"/>
        </w:rPr>
        <w:t>Required approvals: Council approval; express, unequivocal waiver required. Santa Clara Pueblo v. Martinez, 436 U.S. 49 (1978); C&amp;L Enterprises v. Citizen Band Potawatomi, 532 U.S. 411 (2001); Michigan v. Bay Mills, 572 U.S. 782 (2014) (tribal sovereign immunity; clear express waiver required)</w:t>
      </w:r>
    </w:p>
    <w:p>
      <w:r>
        <w:rPr>
          <w:b w:val="0"/>
          <w:i w:val="0"/>
        </w:rPr>
        <w:t>Fallback: Default to no waiver absent Council action.</w:t>
      </w:r>
    </w:p>
    <w:p>
      <w:r>
        <w:rPr>
          <w:b w:val="0"/>
          <w:i w:val="0"/>
        </w:rPr>
        <w:t>Responsible party: Lumbee Tribe counsel; Council</w:t>
      </w:r>
    </w:p>
    <w:p>
      <w:pPr>
        <w:pStyle w:val="Heading1"/>
        <w:spacing w:before="240" w:after="120"/>
      </w:pPr>
      <w:r>
        <w:rPr>
          <w:rFonts w:ascii="Calibri" w:hAnsi="Calibri"/>
          <w:b/>
          <w:color w:val="1F3864"/>
          <w:sz w:val="26"/>
        </w:rPr>
        <w:t>ARTICLE 9.  GOVERNING LAW / FORUM</w:t>
      </w:r>
    </w:p>
    <w:p>
      <w:r>
        <w:rPr>
          <w:b w:val="0"/>
          <w:i w:val="0"/>
        </w:rPr>
        <w:t>Recommended position: Present bracketed alternatives (Tribal law/forum; federal law; NC law) - do not choose silently.</w:t>
      </w:r>
    </w:p>
    <w:p>
      <w:r>
        <w:rPr>
          <w:b w:val="0"/>
          <w:i w:val="0"/>
        </w:rPr>
        <w:t>Alternatives: Arbitration seat; choice-of-law variations.</w:t>
      </w:r>
    </w:p>
    <w:p>
      <w:r>
        <w:rPr>
          <w:b w:val="0"/>
          <w:i w:val="0"/>
        </w:rPr>
        <w:t xml:space="preserve">Required approvals: Consistency with federal award and enforceability. </w:t>
      </w:r>
      <w:r>
        <w:rPr>
          <w:b/>
          <w:i w:val="0"/>
          <w:color w:val="0000C0"/>
        </w:rPr>
        <w:t>[ATTORNEY REVIEW REQUIRED]</w:t>
      </w:r>
    </w:p>
    <w:p>
      <w:r>
        <w:rPr>
          <w:b w:val="0"/>
          <w:i w:val="0"/>
        </w:rPr>
        <w:t>Fallback: Default to negotiated neutral arbitration if unresolved.</w:t>
      </w:r>
    </w:p>
    <w:p>
      <w:r>
        <w:rPr>
          <w:b w:val="0"/>
          <w:i w:val="0"/>
        </w:rPr>
        <w:t>Responsible party: Lumbee Tribe counsel</w:t>
      </w:r>
    </w:p>
    <w:p>
      <w:pPr>
        <w:pStyle w:val="Heading1"/>
        <w:spacing w:before="240" w:after="120"/>
      </w:pPr>
      <w:r>
        <w:rPr>
          <w:rFonts w:ascii="Calibri" w:hAnsi="Calibri"/>
          <w:b/>
          <w:color w:val="1F3864"/>
          <w:sz w:val="26"/>
        </w:rPr>
        <w:t>ARTICLE 10.  PROVIDER OF RECORD</w:t>
      </w:r>
    </w:p>
    <w:p>
      <w:r>
        <w:rPr>
          <w:b w:val="0"/>
          <w:i w:val="0"/>
        </w:rPr>
        <w:t>Recommended position: Recommend RIVR Tech as retail provider of record, subject to written determination.</w:t>
      </w:r>
    </w:p>
    <w:p>
      <w:r>
        <w:rPr>
          <w:b w:val="0"/>
          <w:i w:val="0"/>
        </w:rPr>
        <w:t>Alternatives: Tribe as provider of record with RIVR Tech as operator.</w:t>
      </w:r>
    </w:p>
    <w:p>
      <w:r>
        <w:rPr>
          <w:b w:val="0"/>
          <w:i w:val="0"/>
        </w:rPr>
        <w:t>Required approvals: Written operating-appointment determination. 2 CFR 200.313 (Equipment — use, management, and disposition)</w:t>
      </w:r>
    </w:p>
    <w:p>
      <w:r>
        <w:rPr>
          <w:b w:val="0"/>
          <w:i w:val="0"/>
        </w:rPr>
        <w:t>Fallback: If not approved, Tribe-controlled retail with RIVR Tech operations only.</w:t>
      </w:r>
    </w:p>
    <w:p>
      <w:r>
        <w:rPr>
          <w:b w:val="0"/>
          <w:i w:val="0"/>
        </w:rPr>
        <w:t>Responsible party: Lumbee Tribe; RIVR Tech; grants officer</w:t>
      </w:r>
    </w:p>
    <w:p>
      <w:pPr>
        <w:pStyle w:val="Heading1"/>
        <w:spacing w:before="240" w:after="120"/>
      </w:pPr>
      <w:r>
        <w:rPr>
          <w:rFonts w:ascii="Calibri" w:hAnsi="Calibri"/>
          <w:b/>
          <w:color w:val="1F3864"/>
          <w:sz w:val="26"/>
        </w:rPr>
        <w:t>ARTICLE 11.  AFFORDABILITY</w:t>
      </w:r>
    </w:p>
    <w:p>
      <w:r>
        <w:rPr>
          <w:b w:val="0"/>
          <w:i w:val="0"/>
        </w:rPr>
        <w:t>Recommended position: Recommend a low-cost service option consistent with approved commitments.</w:t>
      </w:r>
    </w:p>
    <w:p>
      <w:r>
        <w:rPr>
          <w:b w:val="0"/>
          <w:i w:val="0"/>
        </w:rPr>
        <w:t>Alternatives: Program-specific affordability tiers.</w:t>
      </w:r>
    </w:p>
    <w:p>
      <w:r>
        <w:rPr>
          <w:b w:val="0"/>
          <w:i w:val="0"/>
        </w:rPr>
        <w:t xml:space="preserve">Required approvals: Confirm against approved service commitments. </w:t>
      </w:r>
      <w:r>
        <w:rPr>
          <w:b w:val="0"/>
          <w:i w:val="0"/>
          <w:color w:val="804000"/>
          <w:highlight w:val="yellow"/>
        </w:rPr>
        <w:t>[■ commitments - not supplied]</w:t>
      </w:r>
    </w:p>
    <w:p>
      <w:r>
        <w:rPr>
          <w:b w:val="0"/>
          <w:i w:val="0"/>
        </w:rPr>
        <w:t>Fallback: Adopt the Award's minimum affordability commitment.</w:t>
      </w:r>
    </w:p>
    <w:p>
      <w:r>
        <w:rPr>
          <w:b w:val="0"/>
          <w:i w:val="0"/>
        </w:rPr>
        <w:t>Responsible party: RIVR Tech; Lumbee Tribe</w:t>
      </w:r>
    </w:p>
    <w:p>
      <w:pPr>
        <w:pStyle w:val="Heading1"/>
        <w:spacing w:before="240" w:after="120"/>
      </w:pPr>
      <w:r>
        <w:rPr>
          <w:rFonts w:ascii="Calibri" w:hAnsi="Calibri"/>
          <w:b/>
          <w:color w:val="1F3864"/>
          <w:sz w:val="26"/>
        </w:rPr>
        <w:t>ARTICLE 12.  DATA RIGHTS</w:t>
      </w:r>
    </w:p>
    <w:p>
      <w:r>
        <w:rPr>
          <w:b w:val="0"/>
          <w:i w:val="0"/>
        </w:rPr>
        <w:t>Recommended position: Recommend Tribe access to project-customer data; RIVR Tech custodian with portability on transition.</w:t>
      </w:r>
    </w:p>
    <w:p>
      <w:r>
        <w:rPr>
          <w:b w:val="0"/>
          <w:i w:val="0"/>
        </w:rPr>
        <w:t>Alternatives: Shared ownership; RIVR Tech ownership with license to Tribe.</w:t>
      </w:r>
    </w:p>
    <w:p>
      <w:r>
        <w:rPr>
          <w:b w:val="0"/>
          <w:i w:val="0"/>
        </w:rPr>
        <w:t>Required approvals: CPNI and privacy compliance. 47 U.S.C. § 222 and 47 CFR §§ 64.2001–64.2011 (Customer Proprietary Network Information)</w:t>
      </w:r>
    </w:p>
    <w:p>
      <w:r>
        <w:rPr>
          <w:b w:val="0"/>
          <w:i w:val="0"/>
        </w:rPr>
        <w:t>Fallback: Ensure portability and access on step-in/transition regardless of ownership.</w:t>
      </w:r>
    </w:p>
    <w:p>
      <w:r>
        <w:rPr>
          <w:b w:val="0"/>
          <w:i w:val="0"/>
        </w:rPr>
        <w:t>Responsible party: Lumbee Tribe; RIVR Tech</w:t>
      </w:r>
    </w:p>
    <w:p>
      <w:pPr>
        <w:pStyle w:val="Heading1"/>
        <w:spacing w:before="240" w:after="120"/>
      </w:pPr>
      <w:r>
        <w:rPr>
          <w:rFonts w:ascii="Calibri" w:hAnsi="Calibri"/>
          <w:b/>
          <w:color w:val="1F3864"/>
          <w:sz w:val="26"/>
        </w:rPr>
        <w:t>ARTICLE 13.  DECISION REGISTER</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576"/>
            <w:shd w:val="clear" w:color="auto" w:fill="1F3864"/>
            <w:vAlign w:val="center"/>
          </w:tcPr>
          <w:p>
            <w:pPr>
              <w:jc w:val="center"/>
            </w:pPr>
            <w:r>
              <w:rPr>
                <w:b/>
                <w:color w:val="FFFFFF"/>
                <w:sz w:val="18"/>
              </w:rPr>
              <w:t>ID</w:t>
            </w:r>
          </w:p>
        </w:tc>
        <w:tc>
          <w:tcPr>
            <w:tcW w:type="dxa" w:w="1584"/>
            <w:shd w:val="clear" w:color="auto" w:fill="1F3864"/>
            <w:vAlign w:val="center"/>
          </w:tcPr>
          <w:p>
            <w:pPr>
              <w:jc w:val="center"/>
            </w:pPr>
            <w:r>
              <w:rPr>
                <w:b/>
                <w:color w:val="FFFFFF"/>
                <w:sz w:val="18"/>
              </w:rPr>
              <w:t>Decision</w:t>
            </w:r>
          </w:p>
        </w:tc>
        <w:tc>
          <w:tcPr>
            <w:tcW w:type="dxa" w:w="2160"/>
            <w:shd w:val="clear" w:color="auto" w:fill="1F3864"/>
            <w:vAlign w:val="center"/>
          </w:tcPr>
          <w:p>
            <w:pPr>
              <w:jc w:val="center"/>
            </w:pPr>
            <w:r>
              <w:rPr>
                <w:b/>
                <w:color w:val="FFFFFF"/>
                <w:sz w:val="18"/>
              </w:rPr>
              <w:t>Options</w:t>
            </w:r>
          </w:p>
        </w:tc>
        <w:tc>
          <w:tcPr>
            <w:tcW w:type="dxa" w:w="1872"/>
            <w:shd w:val="clear" w:color="auto" w:fill="1F3864"/>
            <w:vAlign w:val="center"/>
          </w:tcPr>
          <w:p>
            <w:pPr>
              <w:jc w:val="center"/>
            </w:pPr>
            <w:r>
              <w:rPr>
                <w:b/>
                <w:color w:val="FFFFFF"/>
                <w:sz w:val="18"/>
              </w:rPr>
              <w:t>Recommended</w:t>
            </w:r>
          </w:p>
        </w:tc>
        <w:tc>
          <w:tcPr>
            <w:tcW w:type="dxa" w:w="1152"/>
            <w:shd w:val="clear" w:color="auto" w:fill="1F3864"/>
            <w:vAlign w:val="center"/>
          </w:tcPr>
          <w:p>
            <w:pPr>
              <w:jc w:val="center"/>
            </w:pPr>
            <w:r>
              <w:rPr>
                <w:b/>
                <w:color w:val="FFFFFF"/>
                <w:sz w:val="18"/>
              </w:rPr>
              <w:t>Owner</w:t>
            </w:r>
          </w:p>
        </w:tc>
        <w:tc>
          <w:tcPr>
            <w:tcW w:type="dxa" w:w="1296"/>
            <w:shd w:val="clear" w:color="auto" w:fill="1F3864"/>
            <w:vAlign w:val="center"/>
          </w:tcPr>
          <w:p>
            <w:pPr>
              <w:jc w:val="center"/>
            </w:pPr>
            <w:r>
              <w:rPr>
                <w:b/>
                <w:color w:val="FFFFFF"/>
                <w:sz w:val="18"/>
              </w:rPr>
              <w:t>Approval Needed</w:t>
            </w:r>
          </w:p>
        </w:tc>
        <w:tc>
          <w:tcPr>
            <w:tcW w:type="dxa" w:w="720"/>
            <w:shd w:val="clear" w:color="auto" w:fill="1F3864"/>
            <w:vAlign w:val="center"/>
          </w:tcPr>
          <w:p>
            <w:pPr>
              <w:jc w:val="center"/>
            </w:pPr>
            <w:r>
              <w:rPr>
                <w:b/>
                <w:color w:val="FFFFFF"/>
                <w:sz w:val="18"/>
              </w:rPr>
              <w:t>Status</w:t>
            </w:r>
          </w:p>
        </w:tc>
      </w:tr>
      <w:tr>
        <w:tc>
          <w:tcPr>
            <w:tcW w:type="dxa" w:w="576"/>
            <w:vAlign w:val="center"/>
          </w:tcPr>
          <w:p>
            <w:pPr>
              <w:jc w:val="center"/>
            </w:pPr>
            <w:r>
              <w:rPr>
                <w:b w:val="0"/>
                <w:i w:val="0"/>
                <w:sz w:val="18"/>
              </w:rPr>
              <w:t>D1</w:t>
            </w:r>
          </w:p>
        </w:tc>
        <w:tc>
          <w:tcPr>
            <w:tcW w:type="dxa" w:w="1584"/>
            <w:vAlign w:val="center"/>
          </w:tcPr>
          <w:p>
            <w:r>
              <w:rPr>
                <w:b w:val="0"/>
                <w:i w:val="0"/>
                <w:sz w:val="18"/>
              </w:rPr>
              <w:t>Payment amount + characterization</w:t>
            </w:r>
          </w:p>
        </w:tc>
        <w:tc>
          <w:tcPr>
            <w:tcW w:type="dxa" w:w="2160"/>
            <w:vAlign w:val="center"/>
          </w:tcPr>
          <w:p>
            <w:r>
              <w:rPr>
                <w:b w:val="0"/>
                <w:i w:val="0"/>
                <w:sz w:val="18"/>
              </w:rPr>
              <w:t>A-E</w:t>
            </w:r>
          </w:p>
        </w:tc>
        <w:tc>
          <w:tcPr>
            <w:tcW w:type="dxa" w:w="1872"/>
            <w:vAlign w:val="center"/>
          </w:tcPr>
          <w:p>
            <w:r>
              <w:rPr>
                <w:b w:val="0"/>
                <w:i w:val="0"/>
                <w:sz w:val="18"/>
              </w:rPr>
              <w:t>Option D per-sub</w:t>
            </w:r>
          </w:p>
        </w:tc>
        <w:tc>
          <w:tcPr>
            <w:tcW w:type="dxa" w:w="1152"/>
            <w:vAlign w:val="center"/>
          </w:tcPr>
          <w:p>
            <w:r>
              <w:rPr>
                <w:b w:val="0"/>
                <w:i w:val="0"/>
                <w:sz w:val="18"/>
              </w:rPr>
              <w:t>Tribe/RIVR</w:t>
            </w:r>
          </w:p>
        </w:tc>
        <w:tc>
          <w:tcPr>
            <w:tcW w:type="dxa" w:w="1296"/>
            <w:vAlign w:val="center"/>
          </w:tcPr>
          <w:p>
            <w:r>
              <w:rPr>
                <w:b w:val="0"/>
                <w:i w:val="0"/>
                <w:sz w:val="18"/>
              </w:rPr>
              <w:t>Program income</w:t>
            </w:r>
          </w:p>
        </w:tc>
        <w:tc>
          <w:tcPr>
            <w:tcW w:type="dxa" w:w="720"/>
            <w:vAlign w:val="center"/>
          </w:tcPr>
          <w:p>
            <w:pPr>
              <w:jc w:val="center"/>
            </w:pPr>
            <w:r>
              <w:rPr>
                <w:b w:val="0"/>
                <w:i w:val="0"/>
                <w:sz w:val="18"/>
              </w:rPr>
              <w:t>OPEN</w:t>
            </w:r>
          </w:p>
        </w:tc>
      </w:tr>
      <w:tr>
        <w:tc>
          <w:tcPr>
            <w:tcW w:type="dxa" w:w="576"/>
            <w:shd w:val="clear" w:color="auto" w:fill="F2F2F2"/>
            <w:vAlign w:val="center"/>
          </w:tcPr>
          <w:p>
            <w:pPr>
              <w:jc w:val="center"/>
            </w:pPr>
            <w:r>
              <w:rPr>
                <w:b w:val="0"/>
                <w:i w:val="0"/>
                <w:sz w:val="18"/>
              </w:rPr>
              <w:t>D2</w:t>
            </w:r>
          </w:p>
        </w:tc>
        <w:tc>
          <w:tcPr>
            <w:tcW w:type="dxa" w:w="1584"/>
            <w:shd w:val="clear" w:color="auto" w:fill="F2F2F2"/>
            <w:vAlign w:val="center"/>
          </w:tcPr>
          <w:p>
            <w:r>
              <w:rPr>
                <w:b w:val="0"/>
                <w:i w:val="0"/>
                <w:sz w:val="18"/>
              </w:rPr>
              <w:t>Term / renewal</w:t>
            </w:r>
          </w:p>
        </w:tc>
        <w:tc>
          <w:tcPr>
            <w:tcW w:type="dxa" w:w="2160"/>
            <w:shd w:val="clear" w:color="auto" w:fill="F2F2F2"/>
            <w:vAlign w:val="center"/>
          </w:tcPr>
          <w:p>
            <w:r>
              <w:rPr>
                <w:b w:val="0"/>
                <w:i w:val="0"/>
                <w:sz w:val="18"/>
              </w:rPr>
              <w:t>see section</w:t>
            </w:r>
          </w:p>
        </w:tc>
        <w:tc>
          <w:tcPr>
            <w:tcW w:type="dxa" w:w="1872"/>
            <w:shd w:val="clear" w:color="auto" w:fill="F2F2F2"/>
            <w:vAlign w:val="center"/>
          </w:tcPr>
          <w:p>
            <w:r>
              <w:rPr>
                <w:b w:val="0"/>
                <w:i w:val="0"/>
                <w:sz w:val="18"/>
              </w:rPr>
              <w:t>20y + 2x5y</w:t>
            </w:r>
          </w:p>
        </w:tc>
        <w:tc>
          <w:tcPr>
            <w:tcW w:type="dxa" w:w="1152"/>
            <w:shd w:val="clear" w:color="auto" w:fill="F2F2F2"/>
            <w:vAlign w:val="center"/>
          </w:tcPr>
          <w:p>
            <w:r>
              <w:rPr>
                <w:b w:val="0"/>
                <w:i w:val="0"/>
                <w:sz w:val="18"/>
              </w:rPr>
              <w:t>Lumbee Tribe counsel</w:t>
            </w:r>
          </w:p>
        </w:tc>
        <w:tc>
          <w:tcPr>
            <w:tcW w:type="dxa" w:w="1296"/>
            <w:shd w:val="clear" w:color="auto" w:fill="F2F2F2"/>
            <w:vAlign w:val="center"/>
          </w:tcPr>
          <w:p>
            <w:r>
              <w:rPr>
                <w:b w:val="0"/>
                <w:i w:val="0"/>
                <w:sz w:val="18"/>
              </w:rPr>
              <w:t>Term ceiling</w:t>
            </w:r>
          </w:p>
        </w:tc>
        <w:tc>
          <w:tcPr>
            <w:tcW w:type="dxa" w:w="720"/>
            <w:shd w:val="clear" w:color="auto" w:fill="F2F2F2"/>
            <w:vAlign w:val="center"/>
          </w:tcPr>
          <w:p>
            <w:pPr>
              <w:jc w:val="center"/>
            </w:pPr>
            <w:r>
              <w:rPr>
                <w:b w:val="0"/>
                <w:i w:val="0"/>
                <w:sz w:val="18"/>
              </w:rPr>
              <w:t>OPEN</w:t>
            </w:r>
          </w:p>
        </w:tc>
      </w:tr>
      <w:tr>
        <w:tc>
          <w:tcPr>
            <w:tcW w:type="dxa" w:w="576"/>
            <w:vAlign w:val="center"/>
          </w:tcPr>
          <w:p>
            <w:pPr>
              <w:jc w:val="center"/>
            </w:pPr>
            <w:r>
              <w:rPr>
                <w:b w:val="0"/>
                <w:i w:val="0"/>
                <w:sz w:val="18"/>
              </w:rPr>
              <w:t>D3</w:t>
            </w:r>
          </w:p>
        </w:tc>
        <w:tc>
          <w:tcPr>
            <w:tcW w:type="dxa" w:w="1584"/>
            <w:vAlign w:val="center"/>
          </w:tcPr>
          <w:p>
            <w:r>
              <w:rPr>
                <w:b w:val="0"/>
                <w:i w:val="0"/>
                <w:sz w:val="18"/>
              </w:rPr>
              <w:t>Exclusivity limits</w:t>
            </w:r>
          </w:p>
        </w:tc>
        <w:tc>
          <w:tcPr>
            <w:tcW w:type="dxa" w:w="2160"/>
            <w:vAlign w:val="center"/>
          </w:tcPr>
          <w:p>
            <w:r>
              <w:rPr>
                <w:b w:val="0"/>
                <w:i w:val="0"/>
                <w:sz w:val="18"/>
              </w:rPr>
              <w:t>see section</w:t>
            </w:r>
          </w:p>
        </w:tc>
        <w:tc>
          <w:tcPr>
            <w:tcW w:type="dxa" w:w="1872"/>
            <w:vAlign w:val="center"/>
          </w:tcPr>
          <w:p>
            <w:r>
              <w:rPr>
                <w:b w:val="0"/>
                <w:i w:val="0"/>
                <w:sz w:val="18"/>
              </w:rPr>
              <w:t>Non-exclusive</w:t>
            </w:r>
          </w:p>
        </w:tc>
        <w:tc>
          <w:tcPr>
            <w:tcW w:type="dxa" w:w="1152"/>
            <w:vAlign w:val="center"/>
          </w:tcPr>
          <w:p>
            <w:r>
              <w:rPr>
                <w:b w:val="0"/>
                <w:i w:val="0"/>
                <w:sz w:val="18"/>
              </w:rPr>
              <w:t>Lumbee Tribe</w:t>
            </w:r>
          </w:p>
        </w:tc>
        <w:tc>
          <w:tcPr>
            <w:tcW w:type="dxa" w:w="1296"/>
            <w:vAlign w:val="center"/>
          </w:tcPr>
          <w:p>
            <w:r>
              <w:rPr>
                <w:b w:val="0"/>
                <w:i w:val="0"/>
                <w:sz w:val="18"/>
              </w:rPr>
              <w:t>Program reqs</w:t>
            </w:r>
          </w:p>
        </w:tc>
        <w:tc>
          <w:tcPr>
            <w:tcW w:type="dxa" w:w="720"/>
            <w:vAlign w:val="center"/>
          </w:tcPr>
          <w:p>
            <w:pPr>
              <w:jc w:val="center"/>
            </w:pPr>
            <w:r>
              <w:rPr>
                <w:b w:val="0"/>
                <w:i w:val="0"/>
                <w:sz w:val="18"/>
              </w:rPr>
              <w:t>OPEN</w:t>
            </w:r>
          </w:p>
        </w:tc>
      </w:tr>
      <w:tr>
        <w:tc>
          <w:tcPr>
            <w:tcW w:type="dxa" w:w="576"/>
            <w:shd w:val="clear" w:color="auto" w:fill="F2F2F2"/>
            <w:vAlign w:val="center"/>
          </w:tcPr>
          <w:p>
            <w:pPr>
              <w:jc w:val="center"/>
            </w:pPr>
            <w:r>
              <w:rPr>
                <w:b w:val="0"/>
                <w:i w:val="0"/>
                <w:sz w:val="18"/>
              </w:rPr>
              <w:t>D4</w:t>
            </w:r>
          </w:p>
        </w:tc>
        <w:tc>
          <w:tcPr>
            <w:tcW w:type="dxa" w:w="1584"/>
            <w:shd w:val="clear" w:color="auto" w:fill="F2F2F2"/>
            <w:vAlign w:val="center"/>
          </w:tcPr>
          <w:p>
            <w:r>
              <w:rPr>
                <w:b w:val="0"/>
                <w:i w:val="0"/>
                <w:sz w:val="18"/>
              </w:rPr>
              <w:t>Commercial / non-project capacity</w:t>
            </w:r>
          </w:p>
        </w:tc>
        <w:tc>
          <w:tcPr>
            <w:tcW w:type="dxa" w:w="2160"/>
            <w:shd w:val="clear" w:color="auto" w:fill="F2F2F2"/>
            <w:vAlign w:val="center"/>
          </w:tcPr>
          <w:p>
            <w:r>
              <w:rPr>
                <w:b w:val="0"/>
                <w:i w:val="0"/>
                <w:sz w:val="18"/>
              </w:rPr>
              <w:t>see section</w:t>
            </w:r>
          </w:p>
        </w:tc>
        <w:tc>
          <w:tcPr>
            <w:tcW w:type="dxa" w:w="1872"/>
            <w:shd w:val="clear" w:color="auto" w:fill="F2F2F2"/>
            <w:vAlign w:val="center"/>
          </w:tcPr>
          <w:p>
            <w:r>
              <w:rPr>
                <w:b w:val="0"/>
                <w:i w:val="0"/>
                <w:sz w:val="18"/>
              </w:rPr>
              <w:t>Reserved + valued</w:t>
            </w:r>
          </w:p>
        </w:tc>
        <w:tc>
          <w:tcPr>
            <w:tcW w:type="dxa" w:w="1152"/>
            <w:shd w:val="clear" w:color="auto" w:fill="F2F2F2"/>
            <w:vAlign w:val="center"/>
          </w:tcPr>
          <w:p>
            <w:r>
              <w:rPr>
                <w:b w:val="0"/>
                <w:i w:val="0"/>
                <w:sz w:val="18"/>
              </w:rPr>
              <w:t>RIVR Tech</w:t>
            </w:r>
          </w:p>
        </w:tc>
        <w:tc>
          <w:tcPr>
            <w:tcW w:type="dxa" w:w="1296"/>
            <w:shd w:val="clear" w:color="auto" w:fill="F2F2F2"/>
            <w:vAlign w:val="center"/>
          </w:tcPr>
          <w:p>
            <w:r>
              <w:rPr>
                <w:b w:val="0"/>
                <w:i w:val="0"/>
                <w:sz w:val="18"/>
              </w:rPr>
              <w:t>Commercial cap.</w:t>
            </w:r>
          </w:p>
        </w:tc>
        <w:tc>
          <w:tcPr>
            <w:tcW w:type="dxa" w:w="720"/>
            <w:shd w:val="clear" w:color="auto" w:fill="F2F2F2"/>
            <w:vAlign w:val="center"/>
          </w:tcPr>
          <w:p>
            <w:pPr>
              <w:jc w:val="center"/>
            </w:pPr>
            <w:r>
              <w:rPr>
                <w:b w:val="0"/>
                <w:i w:val="0"/>
                <w:sz w:val="18"/>
              </w:rPr>
              <w:t>OPEN</w:t>
            </w:r>
          </w:p>
        </w:tc>
      </w:tr>
      <w:tr>
        <w:tc>
          <w:tcPr>
            <w:tcW w:type="dxa" w:w="576"/>
            <w:vAlign w:val="center"/>
          </w:tcPr>
          <w:p>
            <w:pPr>
              <w:jc w:val="center"/>
            </w:pPr>
            <w:r>
              <w:rPr>
                <w:b w:val="0"/>
                <w:i w:val="0"/>
                <w:sz w:val="18"/>
              </w:rPr>
              <w:t>D5</w:t>
            </w:r>
          </w:p>
        </w:tc>
        <w:tc>
          <w:tcPr>
            <w:tcW w:type="dxa" w:w="1584"/>
            <w:vAlign w:val="center"/>
          </w:tcPr>
          <w:p>
            <w:r>
              <w:rPr>
                <w:b w:val="0"/>
                <w:i w:val="0"/>
                <w:sz w:val="18"/>
              </w:rPr>
              <w:t>Reserved fiber</w:t>
            </w:r>
          </w:p>
        </w:tc>
        <w:tc>
          <w:tcPr>
            <w:tcW w:type="dxa" w:w="2160"/>
            <w:vAlign w:val="center"/>
          </w:tcPr>
          <w:p>
            <w:r>
              <w:rPr>
                <w:b w:val="0"/>
                <w:i w:val="0"/>
                <w:color w:val="804000"/>
                <w:sz w:val="18"/>
                <w:highlight w:val="yellow"/>
              </w:rPr>
              <w:t>[■ see section]</w:t>
            </w:r>
          </w:p>
        </w:tc>
        <w:tc>
          <w:tcPr>
            <w:tcW w:type="dxa" w:w="1872"/>
            <w:vAlign w:val="center"/>
          </w:tcPr>
          <w:p>
            <w:r>
              <w:rPr>
                <w:b w:val="0"/>
                <w:i w:val="0"/>
                <w:sz w:val="18"/>
              </w:rPr>
              <w:t>Reserve capacity</w:t>
            </w:r>
          </w:p>
        </w:tc>
        <w:tc>
          <w:tcPr>
            <w:tcW w:type="dxa" w:w="1152"/>
            <w:vAlign w:val="center"/>
          </w:tcPr>
          <w:p>
            <w:r>
              <w:rPr>
                <w:b w:val="0"/>
                <w:i w:val="0"/>
                <w:sz w:val="18"/>
              </w:rPr>
              <w:t>Lumbee Tribe</w:t>
            </w:r>
          </w:p>
        </w:tc>
        <w:tc>
          <w:tcPr>
            <w:tcW w:type="dxa" w:w="1296"/>
            <w:vAlign w:val="center"/>
          </w:tcPr>
          <w:p>
            <w:r>
              <w:rPr>
                <w:b w:val="0"/>
                <w:i w:val="0"/>
                <w:sz w:val="18"/>
              </w:rPr>
              <w:t>Design</w:t>
            </w:r>
          </w:p>
        </w:tc>
        <w:tc>
          <w:tcPr>
            <w:tcW w:type="dxa" w:w="720"/>
            <w:vAlign w:val="center"/>
          </w:tcPr>
          <w:p>
            <w:pPr>
              <w:jc w:val="center"/>
            </w:pPr>
            <w:r>
              <w:rPr>
                <w:b w:val="0"/>
                <w:i w:val="0"/>
                <w:sz w:val="18"/>
              </w:rPr>
              <w:t>OPEN</w:t>
            </w:r>
          </w:p>
        </w:tc>
      </w:tr>
      <w:tr>
        <w:tc>
          <w:tcPr>
            <w:tcW w:type="dxa" w:w="576"/>
            <w:shd w:val="clear" w:color="auto" w:fill="F2F2F2"/>
            <w:vAlign w:val="center"/>
          </w:tcPr>
          <w:p>
            <w:pPr>
              <w:jc w:val="center"/>
            </w:pPr>
            <w:r>
              <w:rPr>
                <w:b w:val="0"/>
                <w:i w:val="0"/>
                <w:sz w:val="18"/>
              </w:rPr>
              <w:t>D6</w:t>
            </w:r>
          </w:p>
        </w:tc>
        <w:tc>
          <w:tcPr>
            <w:tcW w:type="dxa" w:w="1584"/>
            <w:shd w:val="clear" w:color="auto" w:fill="F2F2F2"/>
            <w:vAlign w:val="center"/>
          </w:tcPr>
          <w:p>
            <w:r>
              <w:rPr>
                <w:b w:val="0"/>
                <w:i w:val="0"/>
                <w:sz w:val="18"/>
              </w:rPr>
              <w:t>LREMC scope</w:t>
            </w:r>
          </w:p>
        </w:tc>
        <w:tc>
          <w:tcPr>
            <w:tcW w:type="dxa" w:w="2160"/>
            <w:shd w:val="clear" w:color="auto" w:fill="F2F2F2"/>
            <w:vAlign w:val="center"/>
          </w:tcPr>
          <w:p>
            <w:r>
              <w:rPr>
                <w:b w:val="0"/>
                <w:i w:val="0"/>
                <w:sz w:val="18"/>
              </w:rPr>
              <w:t>see section</w:t>
            </w:r>
          </w:p>
        </w:tc>
        <w:tc>
          <w:tcPr>
            <w:tcW w:type="dxa" w:w="1872"/>
            <w:shd w:val="clear" w:color="auto" w:fill="F2F2F2"/>
            <w:vAlign w:val="center"/>
          </w:tcPr>
          <w:p>
            <w:r>
              <w:rPr>
                <w:b w:val="0"/>
                <w:i w:val="0"/>
                <w:sz w:val="18"/>
              </w:rPr>
              <w:t>Separate joinder</w:t>
            </w:r>
          </w:p>
        </w:tc>
        <w:tc>
          <w:tcPr>
            <w:tcW w:type="dxa" w:w="1152"/>
            <w:shd w:val="clear" w:color="auto" w:fill="F2F2F2"/>
            <w:vAlign w:val="center"/>
          </w:tcPr>
          <w:p>
            <w:r>
              <w:rPr>
                <w:b w:val="0"/>
                <w:i w:val="0"/>
                <w:sz w:val="18"/>
              </w:rPr>
              <w:t>LREMC</w:t>
            </w:r>
          </w:p>
        </w:tc>
        <w:tc>
          <w:tcPr>
            <w:tcW w:type="dxa" w:w="1296"/>
            <w:shd w:val="clear" w:color="auto" w:fill="F2F2F2"/>
            <w:vAlign w:val="center"/>
          </w:tcPr>
          <w:p>
            <w:r>
              <w:rPr>
                <w:b w:val="0"/>
                <w:i w:val="0"/>
                <w:sz w:val="18"/>
              </w:rPr>
              <w:t>LREMC board</w:t>
            </w:r>
          </w:p>
        </w:tc>
        <w:tc>
          <w:tcPr>
            <w:tcW w:type="dxa" w:w="720"/>
            <w:shd w:val="clear" w:color="auto" w:fill="F2F2F2"/>
            <w:vAlign w:val="center"/>
          </w:tcPr>
          <w:p>
            <w:pPr>
              <w:jc w:val="center"/>
            </w:pPr>
            <w:r>
              <w:rPr>
                <w:b w:val="0"/>
                <w:i w:val="0"/>
                <w:sz w:val="18"/>
              </w:rPr>
              <w:t>OPEN</w:t>
            </w:r>
          </w:p>
        </w:tc>
      </w:tr>
      <w:tr>
        <w:tc>
          <w:tcPr>
            <w:tcW w:type="dxa" w:w="576"/>
            <w:vAlign w:val="center"/>
          </w:tcPr>
          <w:p>
            <w:pPr>
              <w:jc w:val="center"/>
            </w:pPr>
            <w:r>
              <w:rPr>
                <w:b w:val="0"/>
                <w:i w:val="0"/>
                <w:sz w:val="18"/>
              </w:rPr>
              <w:t>D7</w:t>
            </w:r>
          </w:p>
        </w:tc>
        <w:tc>
          <w:tcPr>
            <w:tcW w:type="dxa" w:w="1584"/>
            <w:vAlign w:val="center"/>
          </w:tcPr>
          <w:p>
            <w:r>
              <w:rPr>
                <w:b w:val="0"/>
                <w:i w:val="0"/>
                <w:sz w:val="18"/>
              </w:rPr>
              <w:t>Sovereign-immunity approach</w:t>
            </w:r>
          </w:p>
        </w:tc>
        <w:tc>
          <w:tcPr>
            <w:tcW w:type="dxa" w:w="2160"/>
            <w:vAlign w:val="center"/>
          </w:tcPr>
          <w:p>
            <w:r>
              <w:rPr>
                <w:b w:val="0"/>
                <w:i w:val="0"/>
                <w:sz w:val="18"/>
              </w:rPr>
              <w:t>see section</w:t>
            </w:r>
          </w:p>
        </w:tc>
        <w:tc>
          <w:tcPr>
            <w:tcW w:type="dxa" w:w="1872"/>
            <w:vAlign w:val="center"/>
          </w:tcPr>
          <w:p>
            <w:r>
              <w:rPr>
                <w:b w:val="0"/>
                <w:i w:val="0"/>
                <w:sz w:val="18"/>
              </w:rPr>
              <w:t>Bracketed alts</w:t>
            </w:r>
          </w:p>
        </w:tc>
        <w:tc>
          <w:tcPr>
            <w:tcW w:type="dxa" w:w="1152"/>
            <w:vAlign w:val="center"/>
          </w:tcPr>
          <w:p>
            <w:r>
              <w:rPr>
                <w:b w:val="0"/>
                <w:i w:val="0"/>
                <w:sz w:val="18"/>
              </w:rPr>
              <w:t>Lumbee Tribe counsel</w:t>
            </w:r>
          </w:p>
        </w:tc>
        <w:tc>
          <w:tcPr>
            <w:tcW w:type="dxa" w:w="1296"/>
            <w:vAlign w:val="center"/>
          </w:tcPr>
          <w:p>
            <w:r>
              <w:rPr>
                <w:b w:val="0"/>
                <w:i w:val="0"/>
                <w:sz w:val="18"/>
              </w:rPr>
              <w:t>Council</w:t>
            </w:r>
          </w:p>
        </w:tc>
        <w:tc>
          <w:tcPr>
            <w:tcW w:type="dxa" w:w="720"/>
            <w:vAlign w:val="center"/>
          </w:tcPr>
          <w:p>
            <w:pPr>
              <w:jc w:val="center"/>
            </w:pPr>
            <w:r>
              <w:rPr>
                <w:b w:val="0"/>
                <w:i w:val="0"/>
                <w:sz w:val="18"/>
              </w:rPr>
              <w:t>OPEN</w:t>
            </w:r>
          </w:p>
        </w:tc>
      </w:tr>
      <w:tr>
        <w:tc>
          <w:tcPr>
            <w:tcW w:type="dxa" w:w="576"/>
            <w:shd w:val="clear" w:color="auto" w:fill="F2F2F2"/>
            <w:vAlign w:val="center"/>
          </w:tcPr>
          <w:p>
            <w:pPr>
              <w:jc w:val="center"/>
            </w:pPr>
            <w:r>
              <w:rPr>
                <w:b w:val="0"/>
                <w:i w:val="0"/>
                <w:sz w:val="18"/>
              </w:rPr>
              <w:t>D8</w:t>
            </w:r>
          </w:p>
        </w:tc>
        <w:tc>
          <w:tcPr>
            <w:tcW w:type="dxa" w:w="1584"/>
            <w:shd w:val="clear" w:color="auto" w:fill="F2F2F2"/>
            <w:vAlign w:val="center"/>
          </w:tcPr>
          <w:p>
            <w:r>
              <w:rPr>
                <w:b w:val="0"/>
                <w:i w:val="0"/>
                <w:sz w:val="18"/>
              </w:rPr>
              <w:t>Governing law / forum</w:t>
            </w:r>
          </w:p>
        </w:tc>
        <w:tc>
          <w:tcPr>
            <w:tcW w:type="dxa" w:w="2160"/>
            <w:shd w:val="clear" w:color="auto" w:fill="F2F2F2"/>
            <w:vAlign w:val="center"/>
          </w:tcPr>
          <w:p>
            <w:r>
              <w:rPr>
                <w:b w:val="0"/>
                <w:i w:val="0"/>
                <w:sz w:val="18"/>
              </w:rPr>
              <w:t>see section</w:t>
            </w:r>
          </w:p>
        </w:tc>
        <w:tc>
          <w:tcPr>
            <w:tcW w:type="dxa" w:w="1872"/>
            <w:shd w:val="clear" w:color="auto" w:fill="F2F2F2"/>
            <w:vAlign w:val="center"/>
          </w:tcPr>
          <w:p>
            <w:r>
              <w:rPr>
                <w:b w:val="0"/>
                <w:i w:val="0"/>
                <w:sz w:val="18"/>
              </w:rPr>
              <w:t>Bracketed alts</w:t>
            </w:r>
          </w:p>
        </w:tc>
        <w:tc>
          <w:tcPr>
            <w:tcW w:type="dxa" w:w="1152"/>
            <w:shd w:val="clear" w:color="auto" w:fill="F2F2F2"/>
            <w:vAlign w:val="center"/>
          </w:tcPr>
          <w:p>
            <w:r>
              <w:rPr>
                <w:b w:val="0"/>
                <w:i w:val="0"/>
                <w:sz w:val="18"/>
              </w:rPr>
              <w:t>Lumbee Tribe counsel</w:t>
            </w:r>
          </w:p>
        </w:tc>
        <w:tc>
          <w:tcPr>
            <w:tcW w:type="dxa" w:w="1296"/>
            <w:shd w:val="clear" w:color="auto" w:fill="F2F2F2"/>
            <w:vAlign w:val="center"/>
          </w:tcPr>
          <w:p>
            <w:r>
              <w:rPr>
                <w:b w:val="0"/>
                <w:i w:val="0"/>
                <w:sz w:val="18"/>
              </w:rPr>
              <w:t>Counsel</w:t>
            </w:r>
          </w:p>
        </w:tc>
        <w:tc>
          <w:tcPr>
            <w:tcW w:type="dxa" w:w="720"/>
            <w:shd w:val="clear" w:color="auto" w:fill="F2F2F2"/>
            <w:vAlign w:val="center"/>
          </w:tcPr>
          <w:p>
            <w:pPr>
              <w:jc w:val="center"/>
            </w:pPr>
            <w:r>
              <w:rPr>
                <w:b w:val="0"/>
                <w:i w:val="0"/>
                <w:sz w:val="18"/>
              </w:rPr>
              <w:t>OPEN</w:t>
            </w:r>
          </w:p>
        </w:tc>
      </w:tr>
      <w:tr>
        <w:tc>
          <w:tcPr>
            <w:tcW w:type="dxa" w:w="576"/>
            <w:vAlign w:val="center"/>
          </w:tcPr>
          <w:p>
            <w:pPr>
              <w:jc w:val="center"/>
            </w:pPr>
            <w:r>
              <w:rPr>
                <w:b w:val="0"/>
                <w:i w:val="0"/>
                <w:sz w:val="18"/>
              </w:rPr>
              <w:t>D9</w:t>
            </w:r>
          </w:p>
        </w:tc>
        <w:tc>
          <w:tcPr>
            <w:tcW w:type="dxa" w:w="1584"/>
            <w:vAlign w:val="center"/>
          </w:tcPr>
          <w:p>
            <w:r>
              <w:rPr>
                <w:b w:val="0"/>
                <w:i w:val="0"/>
                <w:sz w:val="18"/>
              </w:rPr>
              <w:t>Provider of record</w:t>
            </w:r>
          </w:p>
        </w:tc>
        <w:tc>
          <w:tcPr>
            <w:tcW w:type="dxa" w:w="2160"/>
            <w:vAlign w:val="center"/>
          </w:tcPr>
          <w:p>
            <w:r>
              <w:rPr>
                <w:b w:val="0"/>
                <w:i w:val="0"/>
                <w:sz w:val="18"/>
              </w:rPr>
              <w:t>see section</w:t>
            </w:r>
          </w:p>
        </w:tc>
        <w:tc>
          <w:tcPr>
            <w:tcW w:type="dxa" w:w="1872"/>
            <w:vAlign w:val="center"/>
          </w:tcPr>
          <w:p>
            <w:r>
              <w:rPr>
                <w:b w:val="0"/>
                <w:i w:val="0"/>
                <w:sz w:val="18"/>
              </w:rPr>
              <w:t>RIVR Tech PoR</w:t>
            </w:r>
          </w:p>
        </w:tc>
        <w:tc>
          <w:tcPr>
            <w:tcW w:type="dxa" w:w="1152"/>
            <w:vAlign w:val="center"/>
          </w:tcPr>
          <w:p>
            <w:r>
              <w:rPr>
                <w:b w:val="0"/>
                <w:i w:val="0"/>
                <w:sz w:val="18"/>
              </w:rPr>
              <w:t>Lumbee Tribe</w:t>
            </w:r>
          </w:p>
        </w:tc>
        <w:tc>
          <w:tcPr>
            <w:tcW w:type="dxa" w:w="1296"/>
            <w:vAlign w:val="center"/>
          </w:tcPr>
          <w:p>
            <w:r>
              <w:rPr>
                <w:b w:val="0"/>
                <w:i w:val="0"/>
                <w:sz w:val="18"/>
              </w:rPr>
              <w:t>Operating appt.</w:t>
            </w:r>
          </w:p>
        </w:tc>
        <w:tc>
          <w:tcPr>
            <w:tcW w:type="dxa" w:w="720"/>
            <w:vAlign w:val="center"/>
          </w:tcPr>
          <w:p>
            <w:pPr>
              <w:jc w:val="center"/>
            </w:pPr>
            <w:r>
              <w:rPr>
                <w:b w:val="0"/>
                <w:i w:val="0"/>
                <w:sz w:val="18"/>
              </w:rPr>
              <w:t>OPEN</w:t>
            </w:r>
          </w:p>
        </w:tc>
      </w:tr>
      <w:tr>
        <w:tc>
          <w:tcPr>
            <w:tcW w:type="dxa" w:w="576"/>
            <w:shd w:val="clear" w:color="auto" w:fill="F2F2F2"/>
            <w:vAlign w:val="center"/>
          </w:tcPr>
          <w:p>
            <w:pPr>
              <w:jc w:val="center"/>
            </w:pPr>
            <w:r>
              <w:rPr>
                <w:b w:val="0"/>
                <w:i w:val="0"/>
                <w:sz w:val="18"/>
              </w:rPr>
              <w:t>D10</w:t>
            </w:r>
          </w:p>
        </w:tc>
        <w:tc>
          <w:tcPr>
            <w:tcW w:type="dxa" w:w="1584"/>
            <w:shd w:val="clear" w:color="auto" w:fill="F2F2F2"/>
            <w:vAlign w:val="center"/>
          </w:tcPr>
          <w:p>
            <w:r>
              <w:rPr>
                <w:b w:val="0"/>
                <w:i w:val="0"/>
                <w:sz w:val="18"/>
              </w:rPr>
              <w:t>Affordability</w:t>
            </w:r>
          </w:p>
        </w:tc>
        <w:tc>
          <w:tcPr>
            <w:tcW w:type="dxa" w:w="2160"/>
            <w:shd w:val="clear" w:color="auto" w:fill="F2F2F2"/>
            <w:vAlign w:val="center"/>
          </w:tcPr>
          <w:p>
            <w:r>
              <w:rPr>
                <w:b w:val="0"/>
                <w:i w:val="0"/>
                <w:color w:val="804000"/>
                <w:sz w:val="18"/>
                <w:highlight w:val="yellow"/>
              </w:rPr>
              <w:t>[■ see section]</w:t>
            </w:r>
          </w:p>
        </w:tc>
        <w:tc>
          <w:tcPr>
            <w:tcW w:type="dxa" w:w="1872"/>
            <w:shd w:val="clear" w:color="auto" w:fill="F2F2F2"/>
            <w:vAlign w:val="center"/>
          </w:tcPr>
          <w:p>
            <w:r>
              <w:rPr>
                <w:b w:val="0"/>
                <w:i w:val="0"/>
                <w:sz w:val="18"/>
              </w:rPr>
              <w:t>Low-cost option</w:t>
            </w:r>
          </w:p>
        </w:tc>
        <w:tc>
          <w:tcPr>
            <w:tcW w:type="dxa" w:w="1152"/>
            <w:shd w:val="clear" w:color="auto" w:fill="F2F2F2"/>
            <w:vAlign w:val="center"/>
          </w:tcPr>
          <w:p>
            <w:r>
              <w:rPr>
                <w:b w:val="0"/>
                <w:i w:val="0"/>
                <w:sz w:val="18"/>
              </w:rPr>
              <w:t>RIVR Tech</w:t>
            </w:r>
          </w:p>
        </w:tc>
        <w:tc>
          <w:tcPr>
            <w:tcW w:type="dxa" w:w="1296"/>
            <w:shd w:val="clear" w:color="auto" w:fill="F2F2F2"/>
            <w:vAlign w:val="center"/>
          </w:tcPr>
          <w:p>
            <w:r>
              <w:rPr>
                <w:b w:val="0"/>
                <w:i w:val="0"/>
                <w:sz w:val="18"/>
              </w:rPr>
              <w:t>Commitments</w:t>
            </w:r>
          </w:p>
        </w:tc>
        <w:tc>
          <w:tcPr>
            <w:tcW w:type="dxa" w:w="720"/>
            <w:shd w:val="clear" w:color="auto" w:fill="F2F2F2"/>
            <w:vAlign w:val="center"/>
          </w:tcPr>
          <w:p>
            <w:pPr>
              <w:jc w:val="center"/>
            </w:pPr>
            <w:r>
              <w:rPr>
                <w:b w:val="0"/>
                <w:i w:val="0"/>
                <w:sz w:val="18"/>
              </w:rPr>
              <w:t>OPEN</w:t>
            </w:r>
          </w:p>
        </w:tc>
      </w:tr>
      <w:tr>
        <w:tc>
          <w:tcPr>
            <w:tcW w:type="dxa" w:w="576"/>
            <w:vAlign w:val="center"/>
          </w:tcPr>
          <w:p>
            <w:pPr>
              <w:jc w:val="center"/>
            </w:pPr>
            <w:r>
              <w:rPr>
                <w:b w:val="0"/>
                <w:i w:val="0"/>
                <w:sz w:val="18"/>
              </w:rPr>
              <w:t>D11</w:t>
            </w:r>
          </w:p>
        </w:tc>
        <w:tc>
          <w:tcPr>
            <w:tcW w:type="dxa" w:w="1584"/>
            <w:vAlign w:val="center"/>
          </w:tcPr>
          <w:p>
            <w:r>
              <w:rPr>
                <w:b w:val="0"/>
                <w:i w:val="0"/>
                <w:sz w:val="18"/>
              </w:rPr>
              <w:t>Data rights</w:t>
            </w:r>
          </w:p>
        </w:tc>
        <w:tc>
          <w:tcPr>
            <w:tcW w:type="dxa" w:w="2160"/>
            <w:vAlign w:val="center"/>
          </w:tcPr>
          <w:p>
            <w:r>
              <w:rPr>
                <w:b w:val="0"/>
                <w:i w:val="0"/>
                <w:sz w:val="18"/>
              </w:rPr>
              <w:t>see section</w:t>
            </w:r>
          </w:p>
        </w:tc>
        <w:tc>
          <w:tcPr>
            <w:tcW w:type="dxa" w:w="1872"/>
            <w:vAlign w:val="center"/>
          </w:tcPr>
          <w:p>
            <w:r>
              <w:rPr>
                <w:b w:val="0"/>
                <w:i w:val="0"/>
                <w:sz w:val="18"/>
              </w:rPr>
              <w:t>Tribe access</w:t>
            </w:r>
          </w:p>
        </w:tc>
        <w:tc>
          <w:tcPr>
            <w:tcW w:type="dxa" w:w="1152"/>
            <w:vAlign w:val="center"/>
          </w:tcPr>
          <w:p>
            <w:r>
              <w:rPr>
                <w:b w:val="0"/>
                <w:i w:val="0"/>
                <w:sz w:val="18"/>
              </w:rPr>
              <w:t>Lumbee Tribe</w:t>
            </w:r>
          </w:p>
        </w:tc>
        <w:tc>
          <w:tcPr>
            <w:tcW w:type="dxa" w:w="1296"/>
            <w:vAlign w:val="center"/>
          </w:tcPr>
          <w:p>
            <w:r>
              <w:rPr>
                <w:b w:val="0"/>
                <w:i w:val="0"/>
                <w:sz w:val="18"/>
              </w:rPr>
              <w:t>CPNI/privacy</w:t>
            </w:r>
          </w:p>
        </w:tc>
        <w:tc>
          <w:tcPr>
            <w:tcW w:type="dxa" w:w="720"/>
            <w:vAlign w:val="center"/>
          </w:tcPr>
          <w:p>
            <w:pPr>
              <w:jc w:val="center"/>
            </w:pPr>
            <w:r>
              <w:rPr>
                <w:b w:val="0"/>
                <w:i w:val="0"/>
                <w:sz w:val="18"/>
              </w:rPr>
              <w:t>OPEN</w:t>
            </w:r>
          </w:p>
        </w:tc>
      </w:tr>
    </w:tbl>
    <w:p>
      <w:pPr>
        <w:ind w:left="504"/>
      </w:pPr>
      <w:r>
        <w:rPr>
          <w:b/>
          <w:color w:val="C00000"/>
        </w:rPr>
        <w:t xml:space="preserve">[BUSINESS DECISION REQUIRED]  </w:t>
      </w:r>
      <w:r>
        <w:rPr>
          <w:i/>
          <w:color w:val="595959"/>
        </w:rPr>
        <w:t>Every decision above is OPEN and non-binding until confirmed by the responsible party and any required approver.</w:t>
      </w:r>
    </w:p>
    <w:p>
      <w:pPr>
        <w:pStyle w:val="Heading1"/>
        <w:spacing w:before="240" w:after="120"/>
      </w:pPr>
      <w:r>
        <w:rPr>
          <w:rFonts w:ascii="Calibri" w:hAnsi="Calibri"/>
          <w:b/>
          <w:color w:val="1F3864"/>
          <w:sz w:val="26"/>
        </w:rPr>
        <w:t>ARTICLE 14.  CLOSING DISCLAIMER AND RESERVATION</w:t>
      </w:r>
    </w:p>
    <w:p>
      <w:r>
        <w:rPr>
          <w:b w:val="0"/>
          <w:i/>
        </w:rPr>
        <w:t>These drafts are provided for business planning and attorney review only. They are preliminary, non-binding, incomplete, and prepared without any controlling TBCP award or source documents. The provisional baseline is the March 2024 amended Round 2 NOFO; Round 3 is the live TBCP round as of the version date, and the controlling round and executed award must be confirmed before anything here is finalized. Every bracketed item, highlighted placeholder, and flagged provision requires confirmation by qualified counsel, grant, financial, and technical advisors. Nothing in these drafts constitutes legal, financial, tax, or grant-compliance advice, creates any binding obligation, or waives any right, remedy, or sovereign immunity. In the event of any conflict, the executed TBCP award, applicable federal and state law, and any required governmental consent control; nothing in these drafts may be relied upon to supersede the TBCP award, applicable law, or required governmental consent.</w:t>
      </w:r>
    </w:p>
    <w:p>
      <w:pPr>
        <w:ind w:left="504"/>
      </w:pPr>
      <w:r>
        <w:rPr>
          <w:b/>
          <w:color w:val="0000C0"/>
        </w:rPr>
        <w:t xml:space="preserve">[ATTORNEY REVIEW REQUIRED]  </w:t>
      </w:r>
      <w:r>
        <w:rPr>
          <w:i/>
          <w:color w:val="595959"/>
        </w:rPr>
        <w:t>This document is attorney work product prepared for the common interest of the Lumbee Tribe and RIVR Tech; it is not final legal advice and must be reviewed and completed by qualified counsel before use.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Term Sheet / Decisions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