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05.02</w:t>
      </w:r>
    </w:p>
    <w:p>
      <w:pPr>
        <w:jc w:val="center"/>
      </w:pPr>
      <w:r>
        <w:rPr>
          <w:b/>
          <w:color w:val="1F3864"/>
          <w:sz w:val="48"/>
        </w:rPr>
        <w:t>Draft Written Consent of the Managers and Members</w:t>
      </w:r>
    </w:p>
    <w:p>
      <w:pPr>
        <w:jc w:val="center"/>
      </w:pPr>
      <w:r>
        <w:rPr>
          <w:color w:val="595959"/>
          <w:sz w:val="28"/>
        </w:rPr>
        <w:t>LREMC Technologies, LLC d/b/a RIVR Tech — Authorization to Execute the Lumbee Tribe Broadband Partnership Agreements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DRAFT FOR DISCUSSION – SUBJECT TO LEGAL, GRANT AND FINANCIAL REVIEW</w:t>
      </w:r>
    </w:p>
    <w:p/>
    <w:p>
      <w:pPr>
        <w:jc w:val="center"/>
      </w:pPr>
      <w:r>
        <w:rPr>
          <w:b/>
          <w:color w:val="1F3864"/>
          <w:sz w:val="28"/>
        </w:rPr>
        <w:t>LREMC Technologies, LLC d/b/a RIVR Tech</w:t>
      </w:r>
    </w:p>
    <w:p>
      <w:pPr>
        <w:jc w:val="center"/>
      </w:pPr>
      <w:r>
        <w:rPr>
          <w:b/>
          <w:color w:val="1F3864"/>
          <w:sz w:val="24"/>
        </w:rPr>
        <w:t>ACTION BY UNANIMOUS WRITTEN CONSENT</w:t>
      </w:r>
    </w:p>
    <w:p>
      <w:pPr>
        <w:jc w:val="center"/>
      </w:pPr>
      <w:r>
        <w:rPr>
          <w:b/>
          <w:color w:val="595959"/>
          <w:sz w:val="22"/>
        </w:rPr>
        <w:t>OF THE MANAGER(S) AND MEMBER(S) IN LIEU OF A MEETING</w:t>
      </w:r>
    </w:p>
    <w:p/>
    <w:p>
      <w:pPr>
        <w:ind w:left="504"/>
      </w:pPr>
      <w:r>
        <w:rPr>
          <w:b/>
          <w:color w:val="0000C0"/>
        </w:rPr>
        <w:t xml:space="preserve">[ATTORNEY REVIEW REQUIRED]  </w:t>
      </w:r>
      <w:r>
        <w:rPr>
          <w:i/>
          <w:color w:val="595959"/>
        </w:rPr>
        <w:t>Company counsel to confirm the correct governance body (manager-managed vs. member-managed), the requisite consent threshold under the LLC's operating agreement and the North Carolina Limited Liability Company Act, and any parent/affiliate consents required (LREMC).</w:t>
      </w:r>
    </w:p>
    <w:p/>
    <w:p>
      <w:r>
        <w:rPr>
          <w:b w:val="0"/>
          <w:i w:val="0"/>
        </w:rPr>
        <w:t xml:space="preserve">The undersigned, constituting the </w:t>
      </w:r>
      <w:r>
        <w:rPr>
          <w:b w:val="0"/>
          <w:i w:val="0"/>
          <w:color w:val="804000"/>
          <w:highlight w:val="yellow"/>
        </w:rPr>
        <w:t>[■ manager(s) / all members / requisite percentage in interest]</w:t>
      </w:r>
      <w:r>
        <w:rPr>
          <w:b w:val="0"/>
          <w:i w:val="0"/>
        </w:rPr>
        <w:t xml:space="preserve"> of LREMC Technologies, LLC d/b/a RIVR Tech, a </w:t>
      </w:r>
      <w:r>
        <w:rPr>
          <w:b w:val="0"/>
          <w:i w:val="0"/>
          <w:color w:val="804000"/>
          <w:highlight w:val="yellow"/>
        </w:rPr>
        <w:t>[■ North Carolina]</w:t>
      </w:r>
      <w:r>
        <w:rPr>
          <w:b w:val="0"/>
          <w:i w:val="0"/>
        </w:rPr>
        <w:t xml:space="preserve"> limited liability company (the "Company" or "RIVR Tech"), acting by written consent in lieu of a meeting pursuant to the Company's operating agreement and applicable law, hereby adopt the following resolutions as of </w:t>
      </w:r>
      <w:r>
        <w:rPr>
          <w:b w:val="0"/>
          <w:i w:val="0"/>
          <w:color w:val="804000"/>
          <w:highlight w:val="yellow"/>
        </w:rPr>
        <w:t>[■ consent date]</w:t>
      </w:r>
      <w:r>
        <w:rPr>
          <w:b w:val="0"/>
          <w:i w:val="0"/>
        </w:rPr>
        <w:t>:</w:t>
      </w:r>
    </w:p>
    <w:p/>
    <w:p>
      <w:r>
        <w:rPr>
          <w:b/>
          <w:color w:val="1F3864"/>
          <w:sz w:val="24"/>
        </w:rPr>
        <w:t>RECITALS</w:t>
      </w:r>
    </w:p>
    <w:p>
      <w:pPr>
        <w:spacing w:after="120"/>
      </w:pPr>
      <w:r>
        <w:rPr>
          <w:b/>
        </w:rPr>
        <w:t xml:space="preserve">WHEREAS, </w:t>
      </w:r>
      <w:r>
        <w:rPr>
          <w:b w:val="0"/>
          <w:i w:val="0"/>
        </w:rPr>
        <w:t>the Company desires to partner with the Lumbee Tribe of North Carolina (the "Tribe") to develop, construct, operate, and maintain a hybrid broadband Network in southeastern North Carolina, in which the Tribe will own the TBCP-funded infrastructure and grant the Company an indefeasible right of use (IRU); and</w:t>
      </w:r>
    </w:p>
    <w:p>
      <w:pPr>
        <w:spacing w:after="120"/>
      </w:pPr>
      <w:r>
        <w:rPr>
          <w:b/>
        </w:rPr>
        <w:t xml:space="preserve">WHEREAS, </w:t>
      </w:r>
      <w:r>
        <w:rPr>
          <w:b w:val="0"/>
          <w:i w:val="0"/>
        </w:rPr>
        <w:t>the Company has reviewed the forms of the Master Development, Construction and Operating Agreement, the IRU Agreement, and the related ancillary agreements, schedules, and exhibits (collectively, the "Transaction Documents"); and</w:t>
      </w:r>
    </w:p>
    <w:p>
      <w:pPr>
        <w:spacing w:after="120"/>
      </w:pPr>
      <w:r>
        <w:rPr>
          <w:b/>
        </w:rPr>
        <w:t xml:space="preserve">WHEREAS, </w:t>
      </w:r>
      <w:r>
        <w:rPr>
          <w:b w:val="0"/>
          <w:i w:val="0"/>
        </w:rPr>
        <w:t>the managers/members have determined that entering into the Transaction Documents is in the best interest of the Company;</w:t>
      </w:r>
    </w:p>
    <w:p/>
    <w:p>
      <w:r>
        <w:rPr>
          <w:b/>
          <w:color w:val="1F3864"/>
          <w:sz w:val="24"/>
        </w:rPr>
        <w:t>RESOLUTIONS</w:t>
      </w:r>
    </w:p>
    <w:p>
      <w:pPr>
        <w:ind w:left="504"/>
      </w:pPr>
      <w:r>
        <w:rPr>
          <w:b/>
        </w:rPr>
        <w:t xml:space="preserve">(1)  </w:t>
      </w:r>
      <w:r>
        <w:rPr>
          <w:b w:val="0"/>
          <w:i w:val="0"/>
        </w:rPr>
        <w:t>Approval of Transaction. The Company's entry into the Transaction Documents with the Tribe, substantially in the forms reviewed, with such changes as the Authorized Signatory approves on advice of counsel, is hereby APPROVED.</w:t>
      </w:r>
    </w:p>
    <w:p>
      <w:pPr>
        <w:ind w:left="504"/>
      </w:pPr>
      <w:r>
        <w:rPr>
          <w:b/>
        </w:rPr>
        <w:t xml:space="preserve">(2)  </w:t>
      </w:r>
      <w:r>
        <w:rPr>
          <w:b w:val="0"/>
          <w:i w:val="0"/>
        </w:rPr>
        <w:t xml:space="preserve">Authorized Signatory. </w:t>
      </w:r>
      <w:r>
        <w:rPr>
          <w:b w:val="0"/>
          <w:i w:val="0"/>
          <w:color w:val="804000"/>
          <w:highlight w:val="yellow"/>
        </w:rPr>
        <w:t>[■ name]</w:t>
      </w:r>
      <w:r>
        <w:rPr>
          <w:b w:val="0"/>
          <w:i w:val="0"/>
        </w:rPr>
        <w:t xml:space="preserve">, serving as </w:t>
      </w:r>
      <w:r>
        <w:rPr>
          <w:b w:val="0"/>
          <w:i w:val="0"/>
          <w:color w:val="804000"/>
          <w:highlight w:val="yellow"/>
        </w:rPr>
        <w:t>[■ title — e.g., Chief Executive Officer / Manager / President]</w:t>
      </w:r>
      <w:r>
        <w:rPr>
          <w:b w:val="0"/>
          <w:i w:val="0"/>
        </w:rPr>
        <w:t xml:space="preserve"> of the Company, is designated the "Authorized Signatory" and is authorized to negotiate, execute, and deliver the Transaction Documents and any related certificates, notices, and instruments on behalf of the Company.</w:t>
      </w:r>
    </w:p>
    <w:p>
      <w:pPr>
        <w:ind w:left="504"/>
      </w:pPr>
      <w:r>
        <w:rPr>
          <w:b/>
        </w:rPr>
        <w:t xml:space="preserve">(3)  </w:t>
      </w:r>
      <w:r>
        <w:rPr>
          <w:b w:val="0"/>
          <w:i w:val="0"/>
        </w:rPr>
        <w:t xml:space="preserve">Authority and Good Standing. The Company confirms that it is a limited liability company duly organized, validly existing, and in good standing under the laws of </w:t>
      </w:r>
      <w:r>
        <w:rPr>
          <w:b w:val="0"/>
          <w:i w:val="0"/>
          <w:color w:val="804000"/>
          <w:highlight w:val="yellow"/>
        </w:rPr>
        <w:t>[■ State of formation — North Carolina]</w:t>
      </w:r>
      <w:r>
        <w:rPr>
          <w:b w:val="0"/>
          <w:i w:val="0"/>
        </w:rPr>
        <w:t>, is qualified to do business in North Carolina, and has full power and authority to enter into and perform the Transaction Documents.</w:t>
      </w:r>
    </w:p>
    <w:p>
      <w:pPr>
        <w:ind w:left="504"/>
      </w:pPr>
      <w:r>
        <w:rPr>
          <w:b/>
        </w:rPr>
        <w:t xml:space="preserve">(4)  </w:t>
      </w:r>
      <w:r>
        <w:rPr>
          <w:b w:val="0"/>
          <w:i w:val="0"/>
        </w:rPr>
        <w:t>Insurance Commitments. The Company is authorized and directed to obtain and maintain the insurance coverages required by the Transaction Documents (Exhibit I), including commercial general liability ($2,000,000 per occurrence / $4,000,000 aggregate), automobile liability ($1,000,000), umbrella/excess ($10,000,000), workers' compensation (statutory limits) and employers' liability ($1,000,000), professional/technology E&amp;O ($5,000,000), cyber ($5,000,000), and builders' risk/property (full replacement cost of the Tribal Assets), naming the Tribe as additional insured where required.</w:t>
      </w:r>
    </w:p>
    <w:p>
      <w:pPr>
        <w:ind w:left="504"/>
      </w:pPr>
      <w:r>
        <w:rPr>
          <w:b/>
        </w:rPr>
        <w:t xml:space="preserve">(5)  </w:t>
      </w:r>
      <w:r>
        <w:rPr>
          <w:b w:val="0"/>
          <w:i w:val="0"/>
        </w:rPr>
        <w:t>Bonding Commitments. The Company is authorized and directed to procure the payment and performance bonds required for the construction work (</w:t>
      </w:r>
      <w:r>
        <w:rPr>
          <w:b w:val="0"/>
          <w:i w:val="0"/>
          <w:color w:val="804000"/>
          <w:highlight w:val="yellow"/>
        </w:rPr>
        <w:t>[■ bond amounts / percentage of construction cost — confirm with surety]</w:t>
      </w:r>
      <w:r>
        <w:rPr>
          <w:b w:val="0"/>
          <w:i w:val="0"/>
        </w:rPr>
        <w:t>), with the Tribe as obligee/dual-obligee as required.</w:t>
      </w:r>
    </w:p>
    <w:p>
      <w:pPr>
        <w:ind w:left="504"/>
      </w:pPr>
      <w:r>
        <w:rPr>
          <w:b/>
        </w:rPr>
        <w:t xml:space="preserve">(6)  </w:t>
      </w:r>
      <w:r>
        <w:rPr>
          <w:b w:val="0"/>
          <w:i w:val="0"/>
        </w:rPr>
        <w:t xml:space="preserve">Grant Flow-Down. The Company acknowledges that, as a contractor/subrecipient to a federal Recipient, it will comply with the applicable flow-down provisions of 2 CFR Part 200 (Uniform Administrative Requirements, Cost Principles, and Audit Requirements for Federal Awards), including 2 CFR 200.216 (Prohibition on certain telecommunications and video surveillance — §889 covered equipment) (§889 covered equipment), Build America, Buy America Act, IIJA §§ 70911–70917 (Pub. L. 117-58); 2 CFR Part 184; and NTIA BABA award terms (Build America, Buy America), and 2 CFR Part 180 and 2 CFR Part 1327 (Governmentwide debarment and suspension — DOC/NTIA adoption) (debarment/suspension). </w:t>
      </w:r>
      <w:r>
        <w:rPr>
          <w:b/>
          <w:i w:val="0"/>
          <w:color w:val="7F007F"/>
        </w:rPr>
        <w:t>[GRANT COMPLIANCE REVIEW REQUIRED]</w:t>
      </w:r>
    </w:p>
    <w:p>
      <w:pPr>
        <w:ind w:left="504"/>
      </w:pPr>
      <w:r>
        <w:rPr>
          <w:b/>
        </w:rPr>
        <w:t xml:space="preserve">(7)  </w:t>
      </w:r>
      <w:r>
        <w:rPr>
          <w:b w:val="0"/>
          <w:i w:val="0"/>
        </w:rPr>
        <w:t>Further Assurances. The Authorized Signatory is authorized to take all further actions and execute all further documents reasonably necessary to carry out the intent of these resolutions.</w:t>
      </w:r>
    </w:p>
    <w:p/>
    <w:p/>
    <w:p>
      <w:r>
        <w:rPr>
          <w:i/>
        </w:rPr>
        <w:t>IN WITNESS WHEREOF, the undersigned have executed this written consent as of the date first written above.</w:t>
      </w:r>
    </w:p>
    <w:p/>
    <w:p>
      <w:r>
        <w:rPr>
          <w:b/>
          <w:color w:val="1F3864"/>
          <w:sz w:val="22"/>
        </w:rPr>
        <w:t>LREMC Technologies, LLC d/b/a RIVR Tech</w:t>
      </w:r>
    </w:p>
    <w:p>
      <w:pPr>
        <w:ind w:left="0"/>
      </w:pPr>
      <w:r>
        <w:rPr>
          <w:b/>
        </w:rPr>
        <w:t xml:space="preserve">By:  </w:t>
      </w:r>
      <w:r>
        <w:rPr>
          <w:b w:val="0"/>
          <w:i w:val="0"/>
        </w:rPr>
        <w:t>____________________________________</w:t>
      </w:r>
    </w:p>
    <w:p>
      <w:pPr>
        <w:ind w:left="0"/>
      </w:pPr>
      <w:r>
        <w:rPr>
          <w:b/>
        </w:rPr>
        <w:t xml:space="preserve">Name:  </w:t>
      </w:r>
      <w:r>
        <w:rPr>
          <w:b w:val="0"/>
          <w:i w:val="0"/>
          <w:color w:val="804000"/>
          <w:highlight w:val="yellow"/>
        </w:rPr>
        <w:t>[■ manager / member name]</w:t>
      </w:r>
    </w:p>
    <w:p>
      <w:pPr>
        <w:ind w:left="0"/>
      </w:pPr>
      <w:r>
        <w:rPr>
          <w:b/>
        </w:rPr>
        <w:t xml:space="preserve">Title:  </w:t>
      </w:r>
      <w:r>
        <w:rPr>
          <w:b w:val="0"/>
          <w:i w:val="0"/>
          <w:color w:val="804000"/>
          <w:highlight w:val="yellow"/>
        </w:rPr>
        <w:t>[■ Manager / Member / Managing Member]</w:t>
      </w:r>
    </w:p>
    <w:p>
      <w:pPr>
        <w:ind w:left="0"/>
      </w:pPr>
      <w:r>
        <w:rPr>
          <w:b/>
        </w:rPr>
        <w:t xml:space="preserve">Date:  </w:t>
      </w:r>
      <w:r>
        <w:rPr>
          <w:b w:val="0"/>
          <w:i w:val="0"/>
        </w:rPr>
        <w:t>____________________________________</w:t>
      </w:r>
    </w:p>
    <w:p/>
    <w:p>
      <w:pPr>
        <w:ind w:left="0"/>
      </w:pPr>
      <w:r>
        <w:rPr>
          <w:b/>
        </w:rPr>
        <w:t xml:space="preserve">By:  </w:t>
      </w:r>
      <w:r>
        <w:rPr>
          <w:b w:val="0"/>
          <w:i w:val="0"/>
        </w:rPr>
        <w:t>____________________________________</w:t>
      </w:r>
    </w:p>
    <w:p>
      <w:pPr>
        <w:ind w:left="0"/>
      </w:pPr>
      <w:r>
        <w:rPr>
          <w:b/>
        </w:rPr>
        <w:t xml:space="preserve">Name:  </w:t>
      </w:r>
      <w:r>
        <w:rPr>
          <w:b w:val="0"/>
          <w:i w:val="0"/>
          <w:color w:val="804000"/>
          <w:highlight w:val="yellow"/>
        </w:rPr>
        <w:t>[■ manager / member name]</w:t>
      </w:r>
    </w:p>
    <w:p>
      <w:pPr>
        <w:ind w:left="0"/>
      </w:pPr>
      <w:r>
        <w:rPr>
          <w:b/>
        </w:rPr>
        <w:t xml:space="preserve">Title:  </w:t>
      </w:r>
      <w:r>
        <w:rPr>
          <w:b w:val="0"/>
          <w:i w:val="0"/>
          <w:color w:val="804000"/>
          <w:highlight w:val="yellow"/>
        </w:rPr>
        <w:t>[■ Manager / Member / Managing Member]</w:t>
      </w:r>
    </w:p>
    <w:p>
      <w:pPr>
        <w:ind w:left="0"/>
      </w:pPr>
      <w:r>
        <w:rPr>
          <w:b/>
        </w:rPr>
        <w:t xml:space="preserve">Date:  </w:t>
      </w:r>
      <w:r>
        <w:rPr>
          <w:b w:val="0"/>
          <w:i w:val="0"/>
        </w:rPr>
        <w:t>____________________________________</w:t>
      </w:r>
    </w:p>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RIVR Tech Corporate Authorization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