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FORM 02 — SEGMENT IRU ACTIVATION CERTIFICATE</w:t>
      </w:r>
    </w:p>
    <w:p>
      <w:pPr>
        <w:jc w:val="center"/>
      </w:pPr>
      <w:r>
        <w:rPr>
          <w:b/>
          <w:color w:val="1F3864"/>
          <w:sz w:val="48"/>
        </w:rPr>
        <w:t>Segment IRU Activation Certificate</w:t>
      </w:r>
    </w:p>
    <w:p>
      <w:pPr>
        <w:jc w:val="center"/>
      </w:pPr>
      <w:r>
        <w:rPr>
          <w:color w:val="595959"/>
          <w:sz w:val="28"/>
        </w:rPr>
        <w:t>Placing an accepted Network segment in service under the IRU</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r>
        <w:rPr>
          <w:b w:val="0"/>
          <w:i w:val="0"/>
        </w:rPr>
        <w:t>This Segment IRU Activation Certificate (this "Certificate") is delivered under the Indefeasible Right of Use and Network Access Agreement and confirms that the Network segment identified below, constructed under the Design, Engineering, Procurement, and Construction Agreement, has been accepted and placed in service, and that the IRU granted to RIVR Tech in that segment has commenced.</w:t>
      </w:r>
    </w:p>
    <w:p>
      <w:pPr>
        <w:pStyle w:val="Heading1"/>
        <w:spacing w:before="240" w:after="120"/>
      </w:pPr>
      <w:r>
        <w:rPr>
          <w:rFonts w:ascii="Calibri" w:hAnsi="Calibri"/>
          <w:b/>
          <w:color w:val="1F3864"/>
          <w:sz w:val="26"/>
        </w:rPr>
        <w:t>ARTICLE 1.  SEGMENT AND IN-SERVICE DATA</w:t>
      </w:r>
    </w:p>
    <w:p>
      <w:pPr>
        <w:spacing w:after="60"/>
        <w:ind w:left="173"/>
      </w:pPr>
      <w:r>
        <w:rPr>
          <w:b/>
        </w:rPr>
        <w:t xml:space="preserve">Certificate No.:  </w:t>
      </w:r>
      <w:r>
        <w:rPr>
          <w:b w:val="0"/>
          <w:i w:val="0"/>
          <w:color w:val="804000"/>
          <w:highlight w:val="yellow"/>
        </w:rPr>
        <w:t>[■ sequential certificate number]</w:t>
      </w:r>
    </w:p>
    <w:p>
      <w:pPr>
        <w:spacing w:after="60"/>
        <w:ind w:left="173"/>
      </w:pPr>
      <w:r>
        <w:rPr>
          <w:b/>
        </w:rPr>
        <w:t xml:space="preserve">Segment / Route:  </w:t>
      </w:r>
      <w:r>
        <w:rPr>
          <w:b w:val="0"/>
          <w:i w:val="0"/>
          <w:color w:val="804000"/>
          <w:highlight w:val="yellow"/>
        </w:rPr>
        <w:t>[■ segment ID, route description, and limits]</w:t>
      </w:r>
    </w:p>
    <w:p>
      <w:pPr>
        <w:spacing w:after="60"/>
        <w:ind w:left="173"/>
      </w:pPr>
      <w:r>
        <w:rPr>
          <w:b/>
        </w:rPr>
        <w:t xml:space="preserve">Grant-Funded Assets Covered:  </w:t>
      </w:r>
      <w:r>
        <w:rPr>
          <w:b w:val="0"/>
          <w:i w:val="0"/>
          <w:color w:val="804000"/>
          <w:highlight w:val="yellow"/>
        </w:rPr>
        <w:t>[■ cable, structures, huts, electronics per Schedule S3/S4]</w:t>
      </w:r>
    </w:p>
    <w:p>
      <w:pPr>
        <w:spacing w:after="60"/>
        <w:ind w:left="173"/>
      </w:pPr>
      <w:r>
        <w:rPr>
          <w:b/>
        </w:rPr>
        <w:t xml:space="preserve">Strand / Fiber Count Granted:  </w:t>
      </w:r>
      <w:r>
        <w:rPr>
          <w:b w:val="0"/>
          <w:i w:val="0"/>
          <w:color w:val="804000"/>
          <w:highlight w:val="yellow"/>
        </w:rPr>
        <w:t>[■ number of strands / fibers subject to the IRU]</w:t>
      </w:r>
    </w:p>
    <w:p>
      <w:pPr>
        <w:spacing w:after="60"/>
        <w:ind w:left="173"/>
      </w:pPr>
      <w:r>
        <w:rPr>
          <w:b/>
        </w:rPr>
        <w:t xml:space="preserve">In-Service Date:  </w:t>
      </w:r>
      <w:r>
        <w:rPr>
          <w:b w:val="0"/>
          <w:i w:val="0"/>
          <w:color w:val="804000"/>
          <w:highlight w:val="yellow"/>
        </w:rPr>
        <w:t>[■ date the segment was placed in service]</w:t>
      </w:r>
    </w:p>
    <w:p>
      <w:pPr>
        <w:spacing w:after="60"/>
        <w:ind w:left="173"/>
      </w:pPr>
      <w:r>
        <w:rPr>
          <w:b/>
        </w:rPr>
        <w:t xml:space="preserve">Segment Acceptance Reference:  </w:t>
      </w:r>
      <w:r>
        <w:rPr>
          <w:b w:val="0"/>
          <w:i w:val="0"/>
          <w:color w:val="804000"/>
          <w:highlight w:val="yellow"/>
        </w:rPr>
        <w:t>[■ Segment Acceptance Form 1.9 reference / date]</w:t>
      </w:r>
    </w:p>
    <w:p>
      <w:pPr>
        <w:pStyle w:val="Heading1"/>
        <w:spacing w:before="240" w:after="120"/>
      </w:pPr>
      <w:r>
        <w:rPr>
          <w:rFonts w:ascii="Calibri" w:hAnsi="Calibri"/>
          <w:b/>
          <w:color w:val="1F3864"/>
          <w:sz w:val="26"/>
        </w:rPr>
        <w:t>ARTICLE 2.  ACCEPTANCE TEST RESULTS</w:t>
      </w:r>
    </w:p>
    <w:p>
      <w:pPr>
        <w:spacing w:after="60"/>
        <w:ind w:left="173"/>
      </w:pPr>
      <w:r>
        <w:rPr>
          <w:b/>
        </w:rPr>
        <w:t xml:space="preserve">Optical Test Method:  </w:t>
      </w:r>
      <w:r>
        <w:rPr>
          <w:b w:val="0"/>
          <w:i w:val="0"/>
        </w:rPr>
        <w:t>bi-directional OTDR at 1310 nm and 1550 nm</w:t>
      </w:r>
    </w:p>
    <w:p>
      <w:pPr>
        <w:spacing w:after="60"/>
        <w:ind w:left="173"/>
      </w:pPr>
      <w:r>
        <w:rPr>
          <w:b/>
        </w:rPr>
        <w:t xml:space="preserve">Splice Loss (avg / max):  </w:t>
      </w:r>
      <w:r>
        <w:rPr>
          <w:b w:val="0"/>
          <w:i w:val="0"/>
        </w:rPr>
        <w:t xml:space="preserve">0.10 dB (average) / 0.30 dB (maximum) per fusion splice — </w:t>
      </w:r>
      <w:r>
        <w:rPr>
          <w:b w:val="0"/>
          <w:i w:val="0"/>
          <w:color w:val="804000"/>
          <w:highlight w:val="yellow"/>
        </w:rPr>
        <w:t>[■ measured results]</w:t>
      </w:r>
    </w:p>
    <w:p>
      <w:pPr>
        <w:spacing w:after="60"/>
        <w:ind w:left="173"/>
      </w:pPr>
      <w:r>
        <w:rPr>
          <w:b/>
        </w:rPr>
        <w:t xml:space="preserve">Connector Loss:  </w:t>
      </w:r>
      <w:r>
        <w:rPr>
          <w:b w:val="0"/>
          <w:i w:val="0"/>
        </w:rPr>
        <w:t xml:space="preserve">0.50 dB per mated connector pair — </w:t>
      </w:r>
      <w:r>
        <w:rPr>
          <w:b w:val="0"/>
          <w:i w:val="0"/>
          <w:color w:val="804000"/>
          <w:highlight w:val="yellow"/>
        </w:rPr>
        <w:t>[■ measured results]</w:t>
      </w:r>
    </w:p>
    <w:p>
      <w:pPr>
        <w:spacing w:after="60"/>
        <w:ind w:left="173"/>
      </w:pPr>
      <w:r>
        <w:rPr>
          <w:b/>
        </w:rPr>
        <w:t xml:space="preserve">Reflectance:  </w:t>
      </w:r>
      <w:r>
        <w:rPr>
          <w:b w:val="0"/>
          <w:i w:val="0"/>
        </w:rPr>
        <w:t xml:space="preserve">-40 dB (UPC) / -55 dB (APC) — </w:t>
      </w:r>
      <w:r>
        <w:rPr>
          <w:b w:val="0"/>
          <w:i w:val="0"/>
          <w:color w:val="804000"/>
          <w:highlight w:val="yellow"/>
        </w:rPr>
        <w:t>[■ measured results]</w:t>
      </w:r>
    </w:p>
    <w:p>
      <w:pPr>
        <w:spacing w:after="60"/>
        <w:ind w:left="173"/>
      </w:pPr>
      <w:r>
        <w:rPr>
          <w:b/>
        </w:rPr>
        <w:t xml:space="preserve">Span-Loss Budget:  </w:t>
      </w:r>
      <w:r>
        <w:rPr>
          <w:b w:val="0"/>
          <w:i w:val="0"/>
        </w:rPr>
        <w:t xml:space="preserve">consistent with the span-loss budget calculated at 0.35 dB/km at 1310 nm and 0.25 dB/km at 1550 nm, plus splice and connector losses — </w:t>
      </w:r>
      <w:r>
        <w:rPr>
          <w:b w:val="0"/>
          <w:i w:val="0"/>
          <w:color w:val="804000"/>
          <w:highlight w:val="yellow"/>
        </w:rPr>
        <w:t>[■ computed vs. measured]</w:t>
      </w:r>
    </w:p>
    <w:p>
      <w:pPr>
        <w:spacing w:after="60"/>
        <w:ind w:left="173"/>
      </w:pPr>
      <w:r>
        <w:rPr>
          <w:b/>
        </w:rPr>
        <w:t xml:space="preserve">Test Results Reference:  </w:t>
      </w:r>
      <w:r>
        <w:rPr>
          <w:b w:val="0"/>
          <w:i w:val="0"/>
          <w:color w:val="804000"/>
          <w:highlight w:val="yellow"/>
        </w:rPr>
        <w:t>[■ OTDR trace files, test report reference and date]</w:t>
      </w:r>
    </w:p>
    <w:p>
      <w:pPr>
        <w:ind w:left="504"/>
      </w:pPr>
      <w:r>
        <w:rPr>
          <w:b/>
          <w:color w:val="007000"/>
        </w:rPr>
        <w:t xml:space="preserve">[TECHNICAL INFORMATION REQUIRED]  </w:t>
      </w:r>
      <w:r>
        <w:rPr>
          <w:i/>
          <w:color w:val="595959"/>
        </w:rPr>
        <w:t>Attach the complete bi-directional OTDR test package; discrepancies beyond the stated thresholds must be cleared or listed as open items.</w:t>
      </w:r>
    </w:p>
    <w:p>
      <w:pPr>
        <w:pStyle w:val="Heading1"/>
        <w:spacing w:before="240" w:after="120"/>
      </w:pPr>
      <w:r>
        <w:rPr>
          <w:rFonts w:ascii="Calibri" w:hAnsi="Calibri"/>
          <w:b/>
          <w:color w:val="1F3864"/>
          <w:sz w:val="26"/>
        </w:rPr>
        <w:t>ARTICLE 3.  CONSIDERATION</w:t>
      </w:r>
    </w:p>
    <w:p>
      <w:r>
        <w:rPr>
          <w:b w:val="0"/>
          <w:i w:val="0"/>
        </w:rPr>
        <w:t>Consideration for the IRU is one dollar ($1.00) and other good and valuable consideration, plus the operating, maintenance, and payment obligations set forth herein, together with the per-Active-Subscriber operating payment ($[X] per Active Subscriber per month) and the other obligations set forth in the Indefeasible Right of Use and Network Access Agreement and the Retail Customer Service, Billing, Collections, and Subscriber Revenue Agreement.</w:t>
      </w:r>
    </w:p>
    <w:p>
      <w:pPr>
        <w:ind w:left="504"/>
      </w:pPr>
      <w:r>
        <w:rPr>
          <w:b/>
          <w:color w:val="7F007F"/>
        </w:rPr>
        <w:t xml:space="preserve">[GRANT COMPLIANCE REVIEW REQUIRED]  </w:t>
      </w:r>
      <w:r>
        <w:rPr>
          <w:i/>
          <w:color w:val="595959"/>
        </w:rPr>
        <w:t>characterization is provisional; program-income treatment under 2 CFR 200.307 turns on the controlling Award and written NTIA determination, not the label (2 CFR 200.307 (Program income)).</w:t>
      </w:r>
    </w:p>
    <w:p>
      <w:pPr>
        <w:pStyle w:val="Heading1"/>
        <w:spacing w:before="240" w:after="120"/>
      </w:pPr>
      <w:r>
        <w:rPr>
          <w:rFonts w:ascii="Calibri" w:hAnsi="Calibri"/>
          <w:b/>
          <w:color w:val="1F3864"/>
          <w:sz w:val="26"/>
        </w:rPr>
        <w:t>ARTICLE 4.  REQUIRED APPROVALS OBTAINED</w:t>
      </w:r>
    </w:p>
    <w:p>
      <w:r>
        <w:rPr>
          <w:b w:val="0"/>
          <w:i w:val="0"/>
        </w:rPr>
        <w:t>The following approvals and consents have been obtained for this segment (attach evidence):</w:t>
      </w:r>
    </w:p>
    <w:tbl>
      <w:tblPr>
        <w:tblStyle w:val="TableGrid"/>
        <w:tblW w:type="auto" w:w="0"/>
        <w:jc w:val="center"/>
        <w:tblLook w:firstColumn="1" w:firstRow="1" w:lastColumn="0" w:lastRow="0" w:noHBand="0" w:noVBand="1" w:val="04A0"/>
      </w:tblPr>
      <w:tblGrid>
        <w:gridCol w:w="3120"/>
        <w:gridCol w:w="3120"/>
        <w:gridCol w:w="3120"/>
      </w:tblGrid>
      <w:tr>
        <w:tc>
          <w:tcPr>
            <w:tcW w:type="dxa" w:w="4896"/>
            <w:shd w:val="clear" w:color="auto" w:fill="1F3864"/>
            <w:vAlign w:val="center"/>
          </w:tcPr>
          <w:p>
            <w:pPr>
              <w:jc w:val="center"/>
            </w:pPr>
            <w:r>
              <w:rPr>
                <w:b/>
                <w:color w:val="FFFFFF"/>
                <w:sz w:val="16"/>
              </w:rPr>
              <w:t>Approval / Consent</w:t>
            </w:r>
          </w:p>
        </w:tc>
        <w:tc>
          <w:tcPr>
            <w:tcW w:type="dxa" w:w="1728"/>
            <w:shd w:val="clear" w:color="auto" w:fill="1F3864"/>
            <w:vAlign w:val="center"/>
          </w:tcPr>
          <w:p>
            <w:pPr>
              <w:jc w:val="center"/>
            </w:pPr>
            <w:r>
              <w:rPr>
                <w:b/>
                <w:color w:val="FFFFFF"/>
                <w:sz w:val="16"/>
              </w:rPr>
              <w:t>Obtained? (Y/N)</w:t>
            </w:r>
          </w:p>
        </w:tc>
        <w:tc>
          <w:tcPr>
            <w:tcW w:type="dxa" w:w="2736"/>
            <w:shd w:val="clear" w:color="auto" w:fill="1F3864"/>
            <w:vAlign w:val="center"/>
          </w:tcPr>
          <w:p>
            <w:pPr>
              <w:jc w:val="center"/>
            </w:pPr>
            <w:r>
              <w:rPr>
                <w:b/>
                <w:color w:val="FFFFFF"/>
                <w:sz w:val="16"/>
              </w:rPr>
              <w:t>Reference / Date</w:t>
            </w:r>
          </w:p>
        </w:tc>
      </w:tr>
      <w:tr>
        <w:tc>
          <w:tcPr>
            <w:tcW w:type="dxa" w:w="4896"/>
            <w:vAlign w:val="center"/>
          </w:tcPr>
          <w:p>
            <w:r>
              <w:rPr>
                <w:b w:val="0"/>
                <w:i w:val="0"/>
                <w:sz w:val="16"/>
              </w:rPr>
              <w:t>NTIA / DOC consent to the IRU / operating arrangement</w:t>
            </w:r>
          </w:p>
        </w:tc>
        <w:tc>
          <w:tcPr>
            <w:tcW w:type="dxa" w:w="1728"/>
            <w:vAlign w:val="center"/>
          </w:tcPr>
          <w:p>
            <w:r>
              <w:rPr>
                <w:b w:val="0"/>
                <w:i w:val="0"/>
                <w:color w:val="804000"/>
                <w:sz w:val="16"/>
                <w:highlight w:val="yellow"/>
              </w:rPr>
              <w:t>[■ Y/N]</w:t>
            </w:r>
          </w:p>
        </w:tc>
        <w:tc>
          <w:tcPr>
            <w:tcW w:type="dxa" w:w="2736"/>
            <w:vAlign w:val="center"/>
          </w:tcPr>
          <w:p>
            <w:r>
              <w:rPr>
                <w:b w:val="0"/>
                <w:i w:val="0"/>
                <w:color w:val="804000"/>
                <w:sz w:val="16"/>
                <w:highlight w:val="yellow"/>
              </w:rPr>
              <w:t>[■ reference]</w:t>
            </w:r>
          </w:p>
        </w:tc>
      </w:tr>
      <w:tr>
        <w:tc>
          <w:tcPr>
            <w:tcW w:type="dxa" w:w="4896"/>
            <w:shd w:val="clear" w:color="auto" w:fill="F2F2F2"/>
            <w:vAlign w:val="center"/>
          </w:tcPr>
          <w:p>
            <w:r>
              <w:rPr>
                <w:b w:val="0"/>
                <w:i w:val="0"/>
                <w:sz w:val="16"/>
              </w:rPr>
              <w:t>BIA approval (if trust/restricted land) — 25 U.S.C. §§ 415, 81 and 25 CFR Parts 162/169 (BIA approval of certain leases/ROW/contracts on Indian land)</w:t>
            </w:r>
          </w:p>
        </w:tc>
        <w:tc>
          <w:tcPr>
            <w:tcW w:type="dxa" w:w="1728"/>
            <w:shd w:val="clear" w:color="auto" w:fill="F2F2F2"/>
            <w:vAlign w:val="center"/>
          </w:tcPr>
          <w:p>
            <w:r>
              <w:rPr>
                <w:b w:val="0"/>
                <w:i w:val="0"/>
                <w:color w:val="804000"/>
                <w:sz w:val="16"/>
                <w:highlight w:val="yellow"/>
              </w:rPr>
              <w:t>[■ Y/N / N-A]</w:t>
            </w:r>
          </w:p>
        </w:tc>
        <w:tc>
          <w:tcPr>
            <w:tcW w:type="dxa" w:w="2736"/>
            <w:shd w:val="clear" w:color="auto" w:fill="F2F2F2"/>
            <w:vAlign w:val="center"/>
          </w:tcPr>
          <w:p>
            <w:r>
              <w:rPr>
                <w:b w:val="0"/>
                <w:i w:val="0"/>
                <w:color w:val="804000"/>
                <w:sz w:val="16"/>
                <w:highlight w:val="yellow"/>
              </w:rPr>
              <w:t>[■ reference]</w:t>
            </w:r>
          </w:p>
        </w:tc>
      </w:tr>
      <w:tr>
        <w:tc>
          <w:tcPr>
            <w:tcW w:type="dxa" w:w="4896"/>
            <w:vAlign w:val="center"/>
          </w:tcPr>
          <w:p>
            <w:r>
              <w:rPr>
                <w:b w:val="0"/>
                <w:i w:val="0"/>
                <w:sz w:val="16"/>
              </w:rPr>
              <w:t>LREMC owner consent / joinder (LREMC Facilities)</w:t>
            </w:r>
          </w:p>
        </w:tc>
        <w:tc>
          <w:tcPr>
            <w:tcW w:type="dxa" w:w="1728"/>
            <w:vAlign w:val="center"/>
          </w:tcPr>
          <w:p>
            <w:r>
              <w:rPr>
                <w:b w:val="0"/>
                <w:i w:val="0"/>
                <w:color w:val="804000"/>
                <w:sz w:val="16"/>
                <w:highlight w:val="yellow"/>
              </w:rPr>
              <w:t>[■ Y/N / N-A]</w:t>
            </w:r>
          </w:p>
        </w:tc>
        <w:tc>
          <w:tcPr>
            <w:tcW w:type="dxa" w:w="2736"/>
            <w:vAlign w:val="center"/>
          </w:tcPr>
          <w:p>
            <w:r>
              <w:rPr>
                <w:b w:val="0"/>
                <w:i w:val="0"/>
                <w:color w:val="804000"/>
                <w:sz w:val="16"/>
                <w:highlight w:val="yellow"/>
              </w:rPr>
              <w:t>[■ reference]</w:t>
            </w:r>
          </w:p>
        </w:tc>
      </w:tr>
      <w:tr>
        <w:tc>
          <w:tcPr>
            <w:tcW w:type="dxa" w:w="4896"/>
            <w:shd w:val="clear" w:color="auto" w:fill="F2F2F2"/>
            <w:vAlign w:val="center"/>
          </w:tcPr>
          <w:p>
            <w:r>
              <w:rPr>
                <w:b w:val="0"/>
                <w:i w:val="0"/>
                <w:sz w:val="16"/>
              </w:rPr>
              <w:t>Landowner / easement / ROW consents</w:t>
            </w:r>
          </w:p>
        </w:tc>
        <w:tc>
          <w:tcPr>
            <w:tcW w:type="dxa" w:w="1728"/>
            <w:shd w:val="clear" w:color="auto" w:fill="F2F2F2"/>
            <w:vAlign w:val="center"/>
          </w:tcPr>
          <w:p>
            <w:r>
              <w:rPr>
                <w:b w:val="0"/>
                <w:i w:val="0"/>
                <w:color w:val="804000"/>
                <w:sz w:val="16"/>
                <w:highlight w:val="yellow"/>
              </w:rPr>
              <w:t>[■ Y/N]</w:t>
            </w:r>
          </w:p>
        </w:tc>
        <w:tc>
          <w:tcPr>
            <w:tcW w:type="dxa" w:w="2736"/>
            <w:shd w:val="clear" w:color="auto" w:fill="F2F2F2"/>
            <w:vAlign w:val="center"/>
          </w:tcPr>
          <w:p>
            <w:r>
              <w:rPr>
                <w:b w:val="0"/>
                <w:i w:val="0"/>
                <w:color w:val="804000"/>
                <w:sz w:val="16"/>
                <w:highlight w:val="yellow"/>
              </w:rPr>
              <w:t>[■ reference]</w:t>
            </w:r>
          </w:p>
        </w:tc>
      </w:tr>
      <w:tr>
        <w:tc>
          <w:tcPr>
            <w:tcW w:type="dxa" w:w="4896"/>
            <w:vAlign w:val="center"/>
          </w:tcPr>
          <w:p>
            <w:r>
              <w:rPr>
                <w:b w:val="0"/>
                <w:i w:val="0"/>
                <w:sz w:val="16"/>
              </w:rPr>
              <w:t>Lender consent (if financed assets)</w:t>
            </w:r>
          </w:p>
        </w:tc>
        <w:tc>
          <w:tcPr>
            <w:tcW w:type="dxa" w:w="1728"/>
            <w:vAlign w:val="center"/>
          </w:tcPr>
          <w:p>
            <w:r>
              <w:rPr>
                <w:b w:val="0"/>
                <w:i w:val="0"/>
                <w:color w:val="804000"/>
                <w:sz w:val="16"/>
                <w:highlight w:val="yellow"/>
              </w:rPr>
              <w:t>[■ Y/N / N-A]</w:t>
            </w:r>
          </w:p>
        </w:tc>
        <w:tc>
          <w:tcPr>
            <w:tcW w:type="dxa" w:w="2736"/>
            <w:vAlign w:val="center"/>
          </w:tcPr>
          <w:p>
            <w:r>
              <w:rPr>
                <w:b w:val="0"/>
                <w:i w:val="0"/>
                <w:color w:val="804000"/>
                <w:sz w:val="16"/>
                <w:highlight w:val="yellow"/>
              </w:rPr>
              <w:t>[■ reference]</w:t>
            </w:r>
          </w:p>
        </w:tc>
      </w:tr>
    </w:tbl>
    <w:p>
      <w:pPr>
        <w:pStyle w:val="Heading1"/>
        <w:spacing w:before="240" w:after="120"/>
      </w:pPr>
      <w:r>
        <w:rPr>
          <w:rFonts w:ascii="Calibri" w:hAnsi="Calibri"/>
          <w:b/>
          <w:color w:val="1F3864"/>
          <w:sz w:val="26"/>
        </w:rPr>
        <w:t>ARTICLE 5.  OPEN ITEMS</w:t>
      </w:r>
    </w:p>
    <w:p>
      <w:pPr>
        <w:spacing w:after="60"/>
        <w:ind w:left="173"/>
      </w:pPr>
      <w:r>
        <w:rPr>
          <w:b/>
        </w:rPr>
        <w:t xml:space="preserve">Open Items / Exceptions:  </w:t>
      </w:r>
      <w:r>
        <w:rPr>
          <w:b w:val="0"/>
          <w:i w:val="0"/>
          <w:color w:val="804000"/>
          <w:highlight w:val="yellow"/>
        </w:rPr>
        <w:t>[■ none or list open punch/test/approval items]</w:t>
      </w:r>
    </w:p>
    <w:p>
      <w:pPr>
        <w:spacing w:after="60"/>
        <w:ind w:left="173"/>
      </w:pPr>
      <w:r>
        <w:rPr>
          <w:b/>
        </w:rPr>
        <w:t xml:space="preserve">Target Resolution Date:  </w:t>
      </w:r>
      <w:r>
        <w:rPr>
          <w:b w:val="0"/>
          <w:i w:val="0"/>
          <w:color w:val="804000"/>
          <w:highlight w:val="yellow"/>
        </w:rPr>
        <w:t>[■ date]</w:t>
      </w:r>
    </w:p>
    <w:p>
      <w:pPr>
        <w:pStyle w:val="Heading1"/>
        <w:spacing w:before="240" w:after="120"/>
      </w:pPr>
      <w:r>
        <w:rPr>
          <w:rFonts w:ascii="Calibri" w:hAnsi="Calibri"/>
          <w:b/>
          <w:color w:val="1F3864"/>
          <w:sz w:val="26"/>
        </w:rPr>
        <w:t>ARTICLE 6.  TERM</w:t>
      </w:r>
    </w:p>
    <w:p>
      <w:r>
        <w:rPr>
          <w:b w:val="0"/>
          <w:i w:val="0"/>
        </w:rPr>
        <w:t>The IRU term for this segment is 20 years commencing on the In-Service Date (the "Segment Term Commencement Date"), followed by two (2) optional renewal terms of five (5) years each, subject to the useful life of the Grant-Funded Assets, the duration of the underlying land/access rights, the Federal Interest period, and the controlling Award.</w:t>
      </w:r>
    </w:p>
    <w:p>
      <w:pPr>
        <w:spacing w:after="60"/>
        <w:ind w:left="173"/>
      </w:pPr>
      <w:r>
        <w:rPr>
          <w:b/>
        </w:rPr>
        <w:t xml:space="preserve">Term Start (In-Service Date):  </w:t>
      </w:r>
      <w:r>
        <w:rPr>
          <w:b w:val="0"/>
          <w:i w:val="0"/>
          <w:color w:val="804000"/>
          <w:highlight w:val="yellow"/>
        </w:rPr>
        <w:t>[■ date]</w:t>
      </w:r>
    </w:p>
    <w:p>
      <w:pPr>
        <w:spacing w:after="60"/>
        <w:ind w:left="173"/>
      </w:pPr>
      <w:r>
        <w:rPr>
          <w:b/>
        </w:rPr>
        <w:t xml:space="preserve">Initial Term Expiration:  </w:t>
      </w:r>
      <w:r>
        <w:rPr>
          <w:b w:val="0"/>
          <w:i w:val="0"/>
          <w:color w:val="804000"/>
          <w:highlight w:val="yellow"/>
        </w:rPr>
        <w:t>[■ In-Service Date + 20 years]</w:t>
      </w:r>
    </w:p>
    <w:p>
      <w:pPr>
        <w:spacing w:after="60"/>
        <w:ind w:left="173"/>
      </w:pPr>
      <w:r>
        <w:rPr>
          <w:b/>
        </w:rPr>
        <w:t xml:space="preserve">Renewal Options:  </w:t>
      </w:r>
      <w:r>
        <w:rPr>
          <w:b w:val="0"/>
          <w:i w:val="0"/>
        </w:rPr>
        <w:t>two (2) optional renewal terms of five (5) years each</w:t>
      </w:r>
    </w:p>
    <w:p>
      <w:pPr>
        <w:ind w:left="504"/>
      </w:pPr>
      <w:r>
        <w:rPr>
          <w:b/>
          <w:color w:val="0000C0"/>
        </w:rPr>
        <w:t xml:space="preserve">[ATTORNEY REVIEW REQUIRED]  </w:t>
      </w:r>
      <w:r>
        <w:rPr>
          <w:i/>
          <w:color w:val="595959"/>
        </w:rPr>
        <w:t>Confirm the segment term does not exceed the useful life of the assets, the underlying land/access rights, the Federal Interest period, or the controlling Award.</w:t>
      </w:r>
    </w:p>
    <w:p>
      <w:r>
        <w:rPr>
          <w:b w:val="0"/>
          <w:i w:val="0"/>
        </w:rPr>
        <w:t>Cross-reference: Indefeasible Right of Use and Network Access Agreement and Design, Engineering, Procurement, and Construction Agreement. Capitalized terms used and not otherwise defined in a document have the meanings given in Article 2 (Definitions) of the Master TBCP Partnership and Implementation Agreement, which is the single shared definitions source for the package.</w:t>
      </w:r>
    </w:p>
    <w:p/>
    <w:p>
      <w:r>
        <w:rPr>
          <w:i/>
        </w:rPr>
        <w:t>IN WITNESS WHEREOF, the Parties have caused this instrument to be executed by their duly authorized representatives as of the Effective Date.</w:t>
      </w:r>
    </w:p>
    <w:p/>
    <w:p>
      <w:r>
        <w:rPr>
          <w:b/>
          <w:color w:val="1F3864"/>
        </w:rPr>
        <w:t>Lumbee Tribe of North Carolina</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Tribal signatory]</w:t>
      </w:r>
    </w:p>
    <w:p>
      <w:pPr>
        <w:ind w:left="360"/>
      </w:pPr>
      <w:r>
        <w:rPr>
          <w:b/>
        </w:rPr>
        <w:t xml:space="preserve">Title:  </w:t>
      </w:r>
      <w:r>
        <w:rPr>
          <w:b w:val="0"/>
          <w:i w:val="0"/>
          <w:color w:val="804000"/>
          <w:highlight w:val="yellow"/>
        </w:rPr>
        <w:t>[■ e.g., Chairman, Lumbee Tribal Council / Tribal Administrator]</w:t>
      </w:r>
    </w:p>
    <w:p>
      <w:pPr>
        <w:ind w:left="360"/>
      </w:pPr>
      <w:r>
        <w:rPr>
          <w:b/>
        </w:rPr>
        <w:t xml:space="preserve">Date:  </w:t>
      </w:r>
      <w:r>
        <w:rPr>
          <w:b w:val="0"/>
          <w:i w:val="0"/>
        </w:rPr>
        <w:t>____________________________________</w:t>
      </w:r>
    </w:p>
    <w:p/>
    <w:p>
      <w:r>
        <w:rPr>
          <w:b/>
          <w:color w:val="1F3864"/>
        </w:rPr>
        <w:t>LREMC Technologies, LLC d/b/a RIVR Tech</w:t>
      </w:r>
    </w:p>
    <w:p>
      <w:pPr>
        <w:ind w:left="360"/>
      </w:pPr>
      <w:r>
        <w:rPr>
          <w:b/>
        </w:rPr>
        <w:t xml:space="preserve">By:  </w:t>
      </w:r>
      <w:r>
        <w:rPr>
          <w:b w:val="0"/>
          <w:i w:val="0"/>
        </w:rPr>
        <w:t>____________________________________</w:t>
      </w:r>
    </w:p>
    <w:p>
      <w:pPr>
        <w:ind w:left="360"/>
      </w:pPr>
      <w:r>
        <w:rPr>
          <w:b/>
        </w:rPr>
        <w:t xml:space="preserve">Name:  </w:t>
      </w:r>
      <w:r>
        <w:rPr>
          <w:b w:val="0"/>
          <w:i w:val="0"/>
          <w:color w:val="804000"/>
          <w:highlight w:val="yellow"/>
        </w:rPr>
        <w:t>[■ authorized RIVR Tech signatory]</w:t>
      </w:r>
    </w:p>
    <w:p>
      <w:pPr>
        <w:ind w:left="360"/>
      </w:pPr>
      <w:r>
        <w:rPr>
          <w:b/>
        </w:rPr>
        <w:t xml:space="preserve">Title:  </w:t>
      </w:r>
      <w:r>
        <w:rPr>
          <w:b w:val="0"/>
          <w:i w:val="0"/>
          <w:color w:val="804000"/>
          <w:highlight w:val="yellow"/>
        </w:rPr>
        <w:t>[■ e.g., Chief Executive Officer / Manager]</w:t>
      </w:r>
    </w:p>
    <w:p>
      <w:pPr>
        <w:ind w:left="360"/>
      </w:pPr>
      <w:r>
        <w:rPr>
          <w:b/>
        </w:rPr>
        <w:t xml:space="preserve">Date:  </w:t>
      </w:r>
      <w:r>
        <w:rPr>
          <w:b w:val="0"/>
          <w:i w:val="0"/>
        </w:rPr>
        <w:t>____________________________________</w:t>
      </w:r>
    </w:p>
    <w:p/>
    <w:p>
      <w:pPr>
        <w:ind w:left="504"/>
      </w:pPr>
      <w:r>
        <w:rPr>
          <w:b/>
          <w:color w:val="0000C0"/>
        </w:rPr>
        <w:t xml:space="preserve">[ATTORNEY REVIEW REQUIRED]  </w:t>
      </w:r>
      <w:r>
        <w:rPr>
          <w:i/>
          <w:color w:val="595959"/>
        </w:rPr>
        <w:t>This Certificate is a working draft; confirm all approvals and the term ceiling before execution.</w:t>
      </w:r>
    </w:p>
    <w:p/>
    <w:p>
      <w:r>
        <w:rPr>
          <w:b/>
          <w:color w:val="C00000"/>
          <w:sz w:val="18"/>
        </w:rPr>
        <w:t xml:space="preserve">DISCLAIMER.  </w:t>
      </w:r>
    </w:p>
    <w:p>
      <w:pPr>
        <w:spacing w:after="60"/>
      </w:pPr>
      <w:r>
        <w:rPr>
          <w:b w:val="0"/>
          <w:i/>
          <w:color w:val="595959"/>
        </w:rPr>
        <w:t xml:space="preserve">This operational form is a PRELIMINARY working draft. No controlling TBCP award or source documents were supplied; the provisional baseline is the TBCP Round 2 Notice of Funding Opportunity, as amended March 2024 (PROVISIONAL BASELINE). Round 3 is the live TBCP round as of the version date; the controlling round and executed award must be confirmed before any definitive clause is finalized. This form is not final legal, grant, or financial advice and creates no binding obligation. Highlighted bracketed placeholders and the flag markers </w:t>
      </w:r>
      <w:r>
        <w:rPr>
          <w:b/>
          <w:i/>
          <w:color w:val="C00000"/>
        </w:rPr>
        <w:t>[BUSINESS DECISION REQUIRED]</w:t>
      </w:r>
      <w:r>
        <w:rPr>
          <w:b w:val="0"/>
          <w:i/>
          <w:color w:val="595959"/>
        </w:rPr>
        <w:t xml:space="preserve">, </w:t>
      </w:r>
      <w:r>
        <w:rPr>
          <w:b/>
          <w:i/>
          <w:color w:val="0000C0"/>
        </w:rPr>
        <w:t>[ATTORNEY REVIEW REQUIRED]</w:t>
      </w:r>
      <w:r>
        <w:rPr>
          <w:b w:val="0"/>
          <w:i/>
          <w:color w:val="595959"/>
        </w:rPr>
        <w:t xml:space="preserve">, </w:t>
      </w:r>
      <w:r>
        <w:rPr>
          <w:b/>
          <w:i/>
          <w:color w:val="7F007F"/>
        </w:rPr>
        <w:t>[GRANT COMPLIANCE REVIEW REQUIRED]</w:t>
      </w:r>
      <w:r>
        <w:rPr>
          <w:b w:val="0"/>
          <w:i/>
          <w:color w:val="595959"/>
        </w:rPr>
        <w:t xml:space="preserve">, and </w:t>
      </w:r>
      <w:r>
        <w:rPr>
          <w:b/>
          <w:i/>
          <w:color w:val="007000"/>
        </w:rPr>
        <w:t>[TECHNICAL INFORMATION REQUIRED]</w:t>
      </w:r>
      <w:r>
        <w:rPr>
          <w:b w:val="0"/>
          <w:i/>
          <w:color w:val="595959"/>
        </w:rPr>
        <w:t xml:space="preserve"> must be resolved by the responsible reviewer before use. Capitalized terms used and not otherwise defined in a document have the meanings given in Article 2 (Definitions) of the Master TBCP Partnership and Implementation Agreement, which is the single shared definitions source for the package. No commercial agreement, schedule, or form authorizes any act prohibited by, or inconsistent with, the Award or applicable federal law; in any conflict the higher-ranked instrument controls, and a lawful construction and service provision is not invalidated by a rejected IRU, exclusivity, payment, or commercial-use term (severability and reformation apply).</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Segment IRU Activation Certificate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