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DOCUMENT 02.03 — INDEFEASIBLE RIGHT OF USE AND NETWORK ACCESS AGREEMENT</w:t>
      </w:r>
    </w:p>
    <w:p>
      <w:pPr>
        <w:jc w:val="center"/>
      </w:pPr>
      <w:r>
        <w:rPr>
          <w:b/>
          <w:color w:val="1F3864"/>
          <w:sz w:val="48"/>
        </w:rPr>
        <w:t>Indefeasible Right of Use and Network Access Agreement</w:t>
      </w:r>
    </w:p>
    <w:p>
      <w:pPr>
        <w:jc w:val="center"/>
      </w:pPr>
      <w:r>
        <w:rPr>
          <w:color w:val="595959"/>
          <w:sz w:val="28"/>
        </w:rPr>
        <w:t>A coordinated TBCP Definitive Agreement — Grant-Funded Assets owned by the Lumbee Tribe; operated by RIVR Tech under a bare contractual right of use</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t>This Indefeasible Right of Use and Network Access Agreement (this “Agreement”) is entered into as of [■ Effective Date] (the “Effective Date”), by and between Lumbee Tribe of North Carolina (the “Lumbee Tribe”), and LREMC Technologies, LLC d/b/a RIVR Tech (“RIVR Tech”). The Lumbee Tribe and RIVR Tech are each a “Party” and together the “Parties.”</w:t>
      </w:r>
    </w:p>
    <w:p>
      <w:pPr>
        <w:pStyle w:val="Heading1"/>
        <w:spacing w:before="240" w:after="120"/>
      </w:pPr>
      <w:r>
        <w:rPr>
          <w:rFonts w:ascii="Calibri" w:hAnsi="Calibri"/>
          <w:b/>
          <w:color w:val="1F3864"/>
          <w:sz w:val="26"/>
        </w:rPr>
        <w:t>ARTICLE 1.  DEFINITIONS, INTERPRETATION, AND STRUCTURE</w:t>
      </w:r>
    </w:p>
    <w:p>
      <w:pPr>
        <w:pStyle w:val="Heading2"/>
        <w:spacing w:before="160" w:after="60"/>
      </w:pPr>
      <w:r>
        <w:rPr>
          <w:rFonts w:ascii="Calibri" w:hAnsi="Calibri"/>
          <w:b/>
          <w:color w:val="000000"/>
          <w:sz w:val="22"/>
        </w:rPr>
        <w:t>1.1  Defined Terms</w:t>
      </w:r>
    </w:p>
    <w:p>
      <w:r>
        <w:rPr>
          <w:b w:val="0"/>
          <w:i w:val="0"/>
        </w:rPr>
        <w:t>Capitalized terms have the meanings given in Article 2 (Definitions) of the Master TBCP Partnership and Implementation Agreement, which is the single shared definitions source for the package, except where expressly defined in this Agreement. “IRU” means the indefeasible right of use granted under Article 3, as further limited by this Agreement.</w:t>
      </w:r>
    </w:p>
    <w:p>
      <w:pPr>
        <w:pStyle w:val="Heading2"/>
        <w:spacing w:before="160" w:after="60"/>
      </w:pPr>
      <w:r>
        <w:rPr>
          <w:rFonts w:ascii="Calibri" w:hAnsi="Calibri"/>
          <w:b/>
          <w:color w:val="000000"/>
          <w:sz w:val="22"/>
        </w:rPr>
        <w:t>1.2  Interpretation</w:t>
      </w:r>
    </w:p>
    <w:p>
      <w:r>
        <w:rPr>
          <w:b w:val="0"/>
          <w:i w:val="0"/>
        </w:rPr>
        <w:t>Headings are for convenience only. References to a Schedule, Exhibit, or other Definitive Agreement are to that instrument as it may be amended in accordance with the package. The word “including” means “including without limitation.” This Agreement is to be construed together with, and subject to, the Master TBCP Partnership and Implementation Agreement and the Award.</w:t>
      </w:r>
    </w:p>
    <w:p>
      <w:pPr>
        <w:pStyle w:val="Heading2"/>
        <w:spacing w:before="160" w:after="60"/>
      </w:pPr>
      <w:r>
        <w:rPr>
          <w:rFonts w:ascii="Calibri" w:hAnsi="Calibri"/>
          <w:b/>
          <w:color w:val="000000"/>
          <w:sz w:val="22"/>
        </w:rPr>
        <w:t>1.3  Two Structural Alternatives Presented</w:t>
      </w:r>
    </w:p>
    <w:p>
      <w:r>
        <w:rPr>
          <w:b w:val="0"/>
          <w:i w:val="0"/>
        </w:rPr>
        <w:t>This Agreement presents two structures for the long-term network-use right and recommends the first, subject to the Award:</w:t>
      </w:r>
    </w:p>
    <w:p>
      <w:pPr>
        <w:ind w:left="504"/>
      </w:pPr>
      <w:r>
        <w:rPr>
          <w:b/>
        </w:rPr>
        <w:t xml:space="preserve">(a)  </w:t>
      </w:r>
      <w:r>
        <w:rPr>
          <w:b w:val="0"/>
          <w:i w:val="0"/>
        </w:rPr>
        <w:t>[RECOMMENDED — Structure A: Indefeasible Right of Use (IRU).] A bare contractual right of use in favor of RIVR Tech over defined Grant-Funded Assets, with title retained by the Lumbee Tribe, as set out in Article 3.1.</w:t>
      </w:r>
    </w:p>
    <w:p>
      <w:pPr>
        <w:ind w:left="504"/>
      </w:pPr>
      <w:r>
        <w:rPr>
          <w:b/>
        </w:rPr>
        <w:t xml:space="preserve">(b)  </w:t>
      </w:r>
      <w:r>
        <w:rPr>
          <w:b w:val="0"/>
          <w:i w:val="0"/>
        </w:rPr>
        <w:t>[ALTERNATE — Structure B: Long-Term Network-Use License.] A revocable-for-cause, non-exclusive network-use license achieving substantially the same operating result without use of the “IRU” label, as set out in Article 3.2, for use if counsel or the Award disfavors an IRU characterization for grant-funded assets.</w:t>
      </w:r>
    </w:p>
    <w:p>
      <w:pPr>
        <w:ind w:left="504"/>
      </w:pPr>
      <w:r>
        <w:rPr>
          <w:b/>
          <w:color w:val="7F007F"/>
        </w:rPr>
        <w:t xml:space="preserve">[GRANT COMPLIANCE REVIEW REQUIRED]  </w:t>
      </w:r>
      <w:r>
        <w:rPr>
          <w:i/>
          <w:color w:val="595959"/>
        </w:rPr>
        <w:t>The choice between Structure A and Structure B, and whether an IRU over grant-funded assets is permissible at all, must be confirmed against the executed Award, 2 CFR 200.311 (Real property — use, encumbrance, and disposition), 2 CFR 200.315 (Intangible property), and the Specific Award Conditions (NTIA Standard Terms and Conditions, DOC Financial Assistance Standard Terms and Conditions, and the award's Specific Award Conditions (NOT supplied)).</w:t>
      </w:r>
    </w:p>
    <w:p>
      <w:pPr>
        <w:ind w:left="504"/>
      </w:pPr>
      <w:r>
        <w:rPr>
          <w:b/>
          <w:color w:val="0000C0"/>
        </w:rPr>
        <w:t xml:space="preserve">[ATTORNEY REVIEW REQUIRED]  </w:t>
      </w:r>
      <w:r>
        <w:rPr>
          <w:i/>
          <w:color w:val="595959"/>
        </w:rPr>
        <w:t>Counsel to confirm the IRU characterization does not create a disposition, encumbrance, or transfer of a real-property or Federal interest requiring prior NTIA/DOC (and, where land is involved, BIA) approval.</w:t>
      </w:r>
    </w:p>
    <w:p>
      <w:pPr>
        <w:pStyle w:val="Heading1"/>
        <w:spacing w:before="240" w:after="120"/>
      </w:pPr>
      <w:r>
        <w:rPr>
          <w:rFonts w:ascii="Calibri" w:hAnsi="Calibri"/>
          <w:b/>
          <w:color w:val="1F3864"/>
          <w:sz w:val="26"/>
        </w:rPr>
        <w:t>ARTICLE 2.  RECITALS AND PARTY ROLES</w:t>
      </w:r>
    </w:p>
    <w:p>
      <w:pPr>
        <w:pStyle w:val="Heading2"/>
        <w:spacing w:before="160" w:after="60"/>
      </w:pPr>
      <w:r>
        <w:rPr>
          <w:rFonts w:ascii="Calibri" w:hAnsi="Calibri"/>
          <w:b/>
          <w:color w:val="000000"/>
          <w:sz w:val="22"/>
        </w:rPr>
        <w:t>2.1  The Grantor / Owner</w:t>
      </w:r>
    </w:p>
    <w:p>
      <w:r>
        <w:rPr>
          <w:b w:val="0"/>
          <w:i w:val="0"/>
        </w:rPr>
        <w:t>The Lumbee Tribe is the award recipient and steward and the sole owner of the Grant-Funded Assets — the grant-funded infrastructure comprising the Tribal Network. In this Agreement the Lumbee Tribe acts as the “Grantor” and owner. The Tribe holds and retains title to the Grant-Funded Assets at all times.</w:t>
      </w:r>
    </w:p>
    <w:p>
      <w:pPr>
        <w:pStyle w:val="Heading2"/>
        <w:spacing w:before="160" w:after="60"/>
      </w:pPr>
      <w:r>
        <w:rPr>
          <w:rFonts w:ascii="Calibri" w:hAnsi="Calibri"/>
          <w:b/>
          <w:color w:val="000000"/>
          <w:sz w:val="22"/>
        </w:rPr>
        <w:t>2.2  The Grantee / Operator</w:t>
      </w:r>
    </w:p>
    <w:p>
      <w:r>
        <w:rPr>
          <w:b w:val="0"/>
          <w:i w:val="0"/>
        </w:rPr>
        <w:t>LREMC Technologies, LLC d/b/a RIVR Tech ("RIVR Tech") is the operator and retail provider of record. In this Agreement RIVR Tech acts as the “Grantee” of the right of use granted herein.</w:t>
      </w:r>
    </w:p>
    <w:p>
      <w:pPr>
        <w:pStyle w:val="Heading2"/>
        <w:spacing w:before="160" w:after="60"/>
      </w:pPr>
      <w:r>
        <w:rPr>
          <w:rFonts w:ascii="Calibri" w:hAnsi="Calibri"/>
          <w:b/>
          <w:color w:val="000000"/>
          <w:sz w:val="22"/>
        </w:rPr>
        <w:t>2.3  LREMC Is a Separate Owner</w:t>
      </w:r>
    </w:p>
    <w:p>
      <w:r>
        <w:rPr>
          <w:b w:val="0"/>
          <w:i w:val="0"/>
        </w:rPr>
        <w:t>Lumbee River Electric Membership Corporation d/b/a Lumbee River EMC ("LREMC") is a separate entity that owns the LREMC Facilities (poles, conduit, fiber, easements, huts, power, and land). The LREMC Facilities are NOT Grant-Funded Assets, are NOT owned by RIVR Tech, and are NOT granted under this Agreement. Any use of LREMC Facilities requires a separate LREMC consent, joinder, license, lease, pole-attachment, easement, or facility instrument (see the Land, Easement, Right-of-Way, Pole, Site, Power, and Facility Instruments and the LREMC Consent), executed by LREMC as owner.</w:t>
      </w:r>
    </w:p>
    <w:p>
      <w:pPr>
        <w:pStyle w:val="Heading2"/>
        <w:spacing w:before="160" w:after="60"/>
      </w:pPr>
      <w:r>
        <w:rPr>
          <w:rFonts w:ascii="Calibri" w:hAnsi="Calibri"/>
          <w:b/>
          <w:color w:val="000000"/>
          <w:sz w:val="22"/>
        </w:rPr>
        <w:t>2.4  RIVR Tech Existing Network Is Separate and Not Free</w:t>
      </w:r>
    </w:p>
    <w:p>
      <w:r>
        <w:rPr>
          <w:b w:val="0"/>
          <w:i w:val="0"/>
        </w:rPr>
        <w:t>RIVR Tech owns the RIVR Tech Existing Network (its pre-existing fiber, core, transport, NOC, and billing systems), which remains RIVR Tech’s property and is not granted, conveyed, or made free to the Tribe by this Agreement. Any use of, or reliance on, the RIVR Tech Existing Network, and any commingling of grant-funded and commercial capacity, is valued and cost-allocated under the Network Interconnection, Transport, Equipment, and Shared Facilities Agreement and Schedule Approved Commercial Capacity, Non-Project Use, Non-Tribal Customers, Valuation, and Cost Allocation; grant-funded capacity is never provided as free commercial capacity, and commercial capacity is never provided free.</w:t>
      </w:r>
    </w:p>
    <w:p>
      <w:pPr>
        <w:pStyle w:val="Heading2"/>
        <w:spacing w:before="160" w:after="60"/>
      </w:pPr>
      <w:r>
        <w:rPr>
          <w:rFonts w:ascii="Calibri" w:hAnsi="Calibri"/>
          <w:b/>
          <w:color w:val="000000"/>
          <w:sz w:val="22"/>
        </w:rPr>
        <w:t>2.5  Purpose</w:t>
      </w:r>
    </w:p>
    <w:p>
      <w:r>
        <w:rPr>
          <w:b w:val="0"/>
          <w:i w:val="0"/>
        </w:rPr>
        <w:t>The Parties enter this Agreement to grant RIVR Tech the operating right of use it needs to deliver retail broadband service over the Tribal Network throughout the Approved Project Area, while preserving the Tribe’s ownership, the Federal Interest, and full compliance with the Tribal Broadband Connectivity Program (TBCP) administered by NTIA.</w:t>
      </w:r>
    </w:p>
    <w:p>
      <w:pPr>
        <w:pStyle w:val="Heading1"/>
        <w:spacing w:before="240" w:after="120"/>
      </w:pPr>
      <w:r>
        <w:rPr>
          <w:rFonts w:ascii="Calibri" w:hAnsi="Calibri"/>
          <w:b/>
          <w:color w:val="1F3864"/>
          <w:sz w:val="26"/>
        </w:rPr>
        <w:t>ARTICLE 3.  GRANT OF RIGHT OF USE</w:t>
      </w:r>
    </w:p>
    <w:p>
      <w:pPr>
        <w:pStyle w:val="Heading2"/>
        <w:spacing w:before="160" w:after="60"/>
      </w:pPr>
      <w:r>
        <w:rPr>
          <w:rFonts w:ascii="Calibri" w:hAnsi="Calibri"/>
          <w:b/>
          <w:color w:val="000000"/>
          <w:sz w:val="22"/>
        </w:rPr>
        <w:t>3.1  Structure A — Indefeasible Right of Use (Recommended)</w:t>
      </w:r>
    </w:p>
    <w:p>
      <w:r>
        <w:rPr>
          <w:b w:val="0"/>
          <w:i w:val="0"/>
        </w:rPr>
        <w:t>Subject to the Award, to satisfaction of the conditions to activation in Article 6.4, and to the limitations of this Agreement, the Lumbee Tribe grants to RIVR Tech an indefeasible right of use in and to the IRU assets identified in Article 5, on a per-accepted-segment basis, for the Term. The IRU is a bare contractual right of use only.</w:t>
      </w:r>
    </w:p>
    <w:p>
      <w:pPr>
        <w:pStyle w:val="Heading2"/>
        <w:spacing w:before="160" w:after="60"/>
      </w:pPr>
      <w:r>
        <w:rPr>
          <w:rFonts w:ascii="Calibri" w:hAnsi="Calibri"/>
          <w:b/>
          <w:color w:val="000000"/>
          <w:sz w:val="22"/>
        </w:rPr>
        <w:t>3.2  Structure B — Long-Term Network-Use License (Alternate)</w:t>
      </w:r>
    </w:p>
    <w:p>
      <w:r>
        <w:rPr>
          <w:b w:val="0"/>
          <w:i w:val="0"/>
        </w:rPr>
        <w:t>If Structure A is not adopted, the Lumbee Tribe instead grants RIVR Tech a non-exclusive, long-term network-use license over the same identified assets, revocable for cause and otherwise coextensive with the operating rights, limitations, and Term of Structure A. All other Articles of this Agreement apply to Structure B with the term “License” substituted for “IRU.”</w:t>
      </w:r>
    </w:p>
    <w:p>
      <w:pPr>
        <w:pStyle w:val="Heading2"/>
        <w:spacing w:before="160" w:after="60"/>
      </w:pPr>
      <w:r>
        <w:rPr>
          <w:rFonts w:ascii="Calibri" w:hAnsi="Calibri"/>
          <w:b/>
          <w:color w:val="000000"/>
          <w:sz w:val="22"/>
        </w:rPr>
        <w:t>3.3  Nature and Limits of the Grant</w:t>
      </w:r>
    </w:p>
    <w:p>
      <w:r>
        <w:rPr>
          <w:b w:val="0"/>
          <w:i w:val="0"/>
        </w:rPr>
        <w:t>Under either structure, the grant: (i) conveys no title, ownership, or equity in any asset; (ii) is non-exclusive as to the Tribe’s reserved rights and as to the open, nondiscriminatory interconnection obligations preserved in the Network Interconnection, Transport, Equipment, and Shared Facilities Agreement; (iii) is limited to the permitted uses in Article 7; and (iv) is expressly subordinate to the Award, applicable federal law, land rights, and all required approvals.</w:t>
      </w:r>
    </w:p>
    <w:p>
      <w:pPr>
        <w:pStyle w:val="Heading1"/>
        <w:spacing w:before="240" w:after="120"/>
      </w:pPr>
      <w:r>
        <w:rPr>
          <w:rFonts w:ascii="Calibri" w:hAnsi="Calibri"/>
          <w:b/>
          <w:color w:val="1F3864"/>
          <w:sz w:val="26"/>
        </w:rPr>
        <w:t>ARTICLE 4.  TITLE DOES NOT TRANSFER; FEDERAL TRUST RELATIONSHIP</w:t>
      </w:r>
    </w:p>
    <w:p>
      <w:pPr>
        <w:pStyle w:val="Heading2"/>
        <w:spacing w:before="160" w:after="60"/>
      </w:pPr>
      <w:r>
        <w:rPr>
          <w:rFonts w:ascii="Calibri" w:hAnsi="Calibri"/>
          <w:b/>
          <w:color w:val="000000"/>
          <w:sz w:val="22"/>
        </w:rPr>
        <w:t>4.1  Retention of Title</w:t>
      </w:r>
    </w:p>
    <w:p>
      <w:r>
        <w:rPr>
          <w:b w:val="0"/>
          <w:i w:val="0"/>
        </w:rPr>
        <w:t>The Lumbee Tribe retains full legal and beneficial title to the Grant-Funded Assets at all times. This Agreement grants only a bare contractual right of use. No provision transfers, or is intended to transfer, title, ownership, or any real-property interest to RIVR Tech.</w:t>
      </w:r>
    </w:p>
    <w:p>
      <w:pPr>
        <w:pStyle w:val="Heading2"/>
        <w:spacing w:before="160" w:after="60"/>
      </w:pPr>
      <w:r>
        <w:rPr>
          <w:rFonts w:ascii="Calibri" w:hAnsi="Calibri"/>
          <w:b/>
          <w:color w:val="000000"/>
          <w:sz w:val="22"/>
        </w:rPr>
        <w:t>4.2  Property Trust Relationship</w:t>
      </w:r>
    </w:p>
    <w:p>
      <w:r>
        <w:rPr>
          <w:b w:val="0"/>
          <w:i w:val="0"/>
        </w:rPr>
        <w:t>The Grant-Funded Assets are held subject to the property trust relationship of 2 CFR 200.316 (Property trust relationship) and the real-property use, encumbrance, and disposition requirements of 2 CFR 200.311 (Real property — use, encumbrance, and disposition). RIVR Tech takes and holds the right of use expressly subject to those requirements and to the Federal Interest.</w:t>
      </w:r>
    </w:p>
    <w:p>
      <w:pPr>
        <w:pStyle w:val="Heading2"/>
        <w:spacing w:before="160" w:after="60"/>
      </w:pPr>
      <w:r>
        <w:rPr>
          <w:rFonts w:ascii="Calibri" w:hAnsi="Calibri"/>
          <w:b/>
          <w:color w:val="000000"/>
          <w:sz w:val="22"/>
        </w:rPr>
        <w:t>4.3  No Act Inconsistent with Title or Federal Interest</w:t>
      </w:r>
    </w:p>
    <w:p>
      <w:r>
        <w:rPr>
          <w:b w:val="0"/>
          <w:i w:val="0"/>
        </w:rPr>
        <w:t>RIVR Tech shall not take, permit, or suffer any act that is inconsistent with the Tribe’s title, the Federal Interest, the trust relationship, or the Award, and shall hold itself out to third parties only as operator, not owner, of the Grant-Funded Assets.</w:t>
      </w:r>
    </w:p>
    <w:p>
      <w:pPr>
        <w:pStyle w:val="Heading1"/>
        <w:spacing w:before="240" w:after="120"/>
      </w:pPr>
      <w:r>
        <w:rPr>
          <w:rFonts w:ascii="Calibri" w:hAnsi="Calibri"/>
          <w:b/>
          <w:color w:val="1F3864"/>
          <w:sz w:val="26"/>
        </w:rPr>
        <w:t>ARTICLE 5.  IDENTIFICATION OF THE IRU ASSETS</w:t>
      </w:r>
    </w:p>
    <w:p>
      <w:pPr>
        <w:pStyle w:val="Heading2"/>
        <w:spacing w:before="160" w:after="60"/>
      </w:pPr>
      <w:r>
        <w:rPr>
          <w:rFonts w:ascii="Calibri" w:hAnsi="Calibri"/>
          <w:b/>
          <w:color w:val="000000"/>
          <w:sz w:val="22"/>
        </w:rPr>
        <w:t>5.1  Register of IRU Assets</w:t>
      </w:r>
    </w:p>
    <w:p>
      <w:r>
        <w:rPr>
          <w:b w:val="0"/>
          <w:i w:val="0"/>
        </w:rPr>
        <w:t>The IRU assets are identified by the register at Schedule Asset Ownership, Funding Source, Federal Interest, and IRU/Network-Rights Register and the engineering detail at Schedule Engineering Standards, Bill of Materials, Equipment, Interconnection, and Demarcation, which together specify, for each accepted segment, the attributes in Section 5.2.</w:t>
      </w:r>
    </w:p>
    <w:p>
      <w:pPr>
        <w:pStyle w:val="Heading2"/>
        <w:spacing w:before="160" w:after="60"/>
      </w:pPr>
      <w:r>
        <w:rPr>
          <w:rFonts w:ascii="Calibri" w:hAnsi="Calibri"/>
          <w:b/>
          <w:color w:val="000000"/>
          <w:sz w:val="22"/>
        </w:rPr>
        <w:t>5.2  Identifying Attributes</w:t>
      </w:r>
    </w:p>
    <w:p>
      <w:r>
        <w:rPr>
          <w:b w:val="0"/>
          <w:i w:val="0"/>
        </w:rPr>
        <w:t>For each accepted segment, the Schedules identify:</w:t>
      </w:r>
    </w:p>
    <w:p>
      <w:pPr>
        <w:pStyle w:val="ListBullet"/>
      </w:pPr>
      <w:r>
        <w:rPr>
          <w:b w:val="0"/>
          <w:i w:val="0"/>
        </w:rPr>
        <w:t>the route and route identifier (</w:t>
      </w:r>
      <w:r>
        <w:rPr>
          <w:b w:val="0"/>
          <w:i w:val="0"/>
          <w:color w:val="804000"/>
          <w:highlight w:val="yellow"/>
        </w:rPr>
        <w:t>[■ route ID / GIS reference]</w:t>
      </w:r>
      <w:r>
        <w:rPr>
          <w:b w:val="0"/>
          <w:i w:val="0"/>
        </w:rPr>
        <w:t xml:space="preserve">, </w:t>
      </w:r>
      <w:r>
        <w:rPr>
          <w:b/>
          <w:i w:val="0"/>
          <w:color w:val="007000"/>
        </w:rPr>
        <w:t>[TECHNICAL INFORMATION REQUIRED]</w:t>
      </w:r>
      <w:r>
        <w:rPr>
          <w:b w:val="0"/>
          <w:i w:val="0"/>
        </w:rPr>
        <w:t>);</w:t>
      </w:r>
    </w:p>
    <w:p>
      <w:pPr>
        <w:pStyle w:val="ListBullet"/>
      </w:pPr>
      <w:r>
        <w:rPr>
          <w:b w:val="0"/>
          <w:i w:val="0"/>
        </w:rPr>
        <w:t>the cable(s) and cable identifier(s) (</w:t>
      </w:r>
      <w:r>
        <w:rPr>
          <w:b w:val="0"/>
          <w:i w:val="0"/>
          <w:color w:val="804000"/>
          <w:highlight w:val="yellow"/>
        </w:rPr>
        <w:t>[■ cable count / type]</w:t>
      </w:r>
      <w:r>
        <w:rPr>
          <w:b w:val="0"/>
          <w:i w:val="0"/>
        </w:rPr>
        <w:t xml:space="preserve">, </w:t>
      </w:r>
      <w:r>
        <w:rPr>
          <w:b/>
          <w:i w:val="0"/>
          <w:color w:val="007000"/>
        </w:rPr>
        <w:t>[TECHNICAL INFORMATION REQUIRED]</w:t>
      </w:r>
      <w:r>
        <w:rPr>
          <w:b w:val="0"/>
          <w:i w:val="0"/>
        </w:rPr>
        <w:t>);</w:t>
      </w:r>
    </w:p>
    <w:p>
      <w:pPr>
        <w:pStyle w:val="ListBullet"/>
      </w:pPr>
      <w:r>
        <w:rPr>
          <w:b w:val="0"/>
          <w:i w:val="0"/>
        </w:rPr>
        <w:t>the buffer tube(s) and tube assignment (</w:t>
      </w:r>
      <w:r>
        <w:rPr>
          <w:b w:val="0"/>
          <w:i w:val="0"/>
          <w:color w:val="804000"/>
          <w:highlight w:val="yellow"/>
        </w:rPr>
        <w:t>[■ tube assignment]</w:t>
      </w:r>
      <w:r>
        <w:rPr>
          <w:b w:val="0"/>
          <w:i w:val="0"/>
        </w:rPr>
        <w:t xml:space="preserve">, </w:t>
      </w:r>
      <w:r>
        <w:rPr>
          <w:b/>
          <w:i w:val="0"/>
          <w:color w:val="007000"/>
        </w:rPr>
        <w:t>[TECHNICAL INFORMATION REQUIRED]</w:t>
      </w:r>
      <w:r>
        <w:rPr>
          <w:b w:val="0"/>
          <w:i w:val="0"/>
        </w:rPr>
        <w:t>);</w:t>
      </w:r>
    </w:p>
    <w:p>
      <w:pPr>
        <w:pStyle w:val="ListBullet"/>
      </w:pPr>
      <w:r>
        <w:rPr>
          <w:b w:val="0"/>
          <w:i w:val="0"/>
        </w:rPr>
        <w:t>the specific fiber strand(s) granted, by strand number and count (</w:t>
      </w:r>
      <w:r>
        <w:rPr>
          <w:b w:val="0"/>
          <w:i w:val="0"/>
          <w:color w:val="804000"/>
          <w:highlight w:val="yellow"/>
        </w:rPr>
        <w:t>[■ strand numbers / total strand count]</w:t>
      </w:r>
      <w:r>
        <w:rPr>
          <w:b w:val="0"/>
          <w:i w:val="0"/>
        </w:rPr>
        <w:t xml:space="preserve">, </w:t>
      </w:r>
      <w:r>
        <w:rPr>
          <w:b/>
          <w:i w:val="0"/>
          <w:color w:val="007000"/>
        </w:rPr>
        <w:t>[TECHNICAL INFORMATION REQUIRED]</w:t>
      </w:r>
      <w:r>
        <w:rPr>
          <w:b w:val="0"/>
          <w:i w:val="0"/>
        </w:rPr>
        <w:t>);</w:t>
      </w:r>
    </w:p>
    <w:p>
      <w:pPr>
        <w:pStyle w:val="ListBullet"/>
      </w:pPr>
      <w:r>
        <w:rPr>
          <w:b w:val="0"/>
          <w:i w:val="0"/>
        </w:rPr>
        <w:t>any PON shared-capacity allocation (split ratio, wavelength plan, and shared vs. dedicated designation) (</w:t>
      </w:r>
      <w:r>
        <w:rPr>
          <w:b w:val="0"/>
          <w:i w:val="0"/>
          <w:color w:val="804000"/>
          <w:highlight w:val="yellow"/>
        </w:rPr>
        <w:t>[■ PON split ratio / capacity]</w:t>
      </w:r>
      <w:r>
        <w:rPr>
          <w:b w:val="0"/>
          <w:i w:val="0"/>
        </w:rPr>
        <w:t xml:space="preserve">, </w:t>
      </w:r>
      <w:r>
        <w:rPr>
          <w:b/>
          <w:i w:val="0"/>
          <w:color w:val="007000"/>
        </w:rPr>
        <w:t>[TECHNICAL INFORMATION REQUIRED]</w:t>
      </w:r>
      <w:r>
        <w:rPr>
          <w:b w:val="0"/>
          <w:i w:val="0"/>
        </w:rPr>
        <w:t>);</w:t>
      </w:r>
    </w:p>
    <w:p>
      <w:pPr>
        <w:pStyle w:val="ListBullet"/>
      </w:pPr>
      <w:r>
        <w:rPr>
          <w:b w:val="0"/>
          <w:i w:val="0"/>
        </w:rPr>
        <w:t>the A-end and Z-end endpoints (</w:t>
      </w:r>
      <w:r>
        <w:rPr>
          <w:b w:val="0"/>
          <w:i w:val="0"/>
          <w:color w:val="804000"/>
          <w:highlight w:val="yellow"/>
        </w:rPr>
        <w:t>[■ endpoint locations]</w:t>
      </w:r>
      <w:r>
        <w:rPr>
          <w:b w:val="0"/>
          <w:i w:val="0"/>
        </w:rPr>
        <w:t xml:space="preserve">, </w:t>
      </w:r>
      <w:r>
        <w:rPr>
          <w:b/>
          <w:i w:val="0"/>
          <w:color w:val="007000"/>
        </w:rPr>
        <w:t>[TECHNICAL INFORMATION REQUIRED]</w:t>
      </w:r>
      <w:r>
        <w:rPr>
          <w:b w:val="0"/>
          <w:i w:val="0"/>
        </w:rPr>
        <w:t>);</w:t>
      </w:r>
    </w:p>
    <w:p>
      <w:pPr>
        <w:pStyle w:val="ListBullet"/>
      </w:pPr>
      <w:r>
        <w:rPr>
          <w:b w:val="0"/>
          <w:i w:val="0"/>
        </w:rPr>
        <w:t>the splice points and splice enclosures (</w:t>
      </w:r>
      <w:r>
        <w:rPr>
          <w:b w:val="0"/>
          <w:i w:val="0"/>
          <w:color w:val="804000"/>
          <w:highlight w:val="yellow"/>
        </w:rPr>
        <w:t>[■ splice point inventory]</w:t>
      </w:r>
      <w:r>
        <w:rPr>
          <w:b w:val="0"/>
          <w:i w:val="0"/>
        </w:rPr>
        <w:t xml:space="preserve">, </w:t>
      </w:r>
      <w:r>
        <w:rPr>
          <w:b/>
          <w:i w:val="0"/>
          <w:color w:val="007000"/>
        </w:rPr>
        <w:t>[TECHNICAL INFORMATION REQUIRED]</w:t>
      </w:r>
      <w:r>
        <w:rPr>
          <w:b w:val="0"/>
          <w:i w:val="0"/>
        </w:rPr>
        <w:t>);</w:t>
      </w:r>
    </w:p>
    <w:p>
      <w:pPr>
        <w:pStyle w:val="ListBullet"/>
      </w:pPr>
      <w:r>
        <w:rPr>
          <w:b w:val="0"/>
          <w:i w:val="0"/>
        </w:rPr>
        <w:t>the Demarcation Point(s) between the Tribal Network and any interconnecting network (</w:t>
      </w:r>
      <w:r>
        <w:rPr>
          <w:b w:val="0"/>
          <w:i w:val="0"/>
          <w:color w:val="804000"/>
          <w:highlight w:val="yellow"/>
        </w:rPr>
        <w:t>[■ demarcation locations]</w:t>
      </w:r>
      <w:r>
        <w:rPr>
          <w:b w:val="0"/>
          <w:i w:val="0"/>
        </w:rPr>
        <w:t xml:space="preserve">, </w:t>
      </w:r>
      <w:r>
        <w:rPr>
          <w:b/>
          <w:i w:val="0"/>
          <w:color w:val="007000"/>
        </w:rPr>
        <w:t>[TECHNICAL INFORMATION REQUIRED]</w:t>
      </w:r>
      <w:r>
        <w:rPr>
          <w:b w:val="0"/>
          <w:i w:val="0"/>
        </w:rPr>
        <w:t>);</w:t>
      </w:r>
    </w:p>
    <w:p>
      <w:pPr>
        <w:pStyle w:val="ListBullet"/>
      </w:pPr>
      <w:r>
        <w:rPr>
          <w:b w:val="0"/>
          <w:i w:val="0"/>
        </w:rPr>
        <w:t>the associated electronics and active equipment, and whether they are within or outside the IRU grant (</w:t>
      </w:r>
      <w:r>
        <w:rPr>
          <w:b w:val="0"/>
          <w:i w:val="0"/>
          <w:color w:val="804000"/>
          <w:highlight w:val="yellow"/>
        </w:rPr>
        <w:t>[■ electronics in/out of grant]</w:t>
      </w:r>
      <w:r>
        <w:rPr>
          <w:b w:val="0"/>
          <w:i w:val="0"/>
        </w:rPr>
        <w:t xml:space="preserve">, </w:t>
      </w:r>
      <w:r>
        <w:rPr>
          <w:b/>
          <w:i w:val="0"/>
          <w:color w:val="007000"/>
        </w:rPr>
        <w:t>[TECHNICAL INFORMATION REQUIRED]</w:t>
      </w:r>
      <w:r>
        <w:rPr>
          <w:b w:val="0"/>
          <w:i w:val="0"/>
        </w:rPr>
        <w:t>);</w:t>
      </w:r>
    </w:p>
    <w:p>
      <w:pPr>
        <w:pStyle w:val="ListBullet"/>
      </w:pPr>
      <w:r>
        <w:rPr>
          <w:b w:val="0"/>
          <w:i w:val="0"/>
        </w:rPr>
        <w:t>the facility, hut, cabinet, or site housing the assets, and the owner of that facility (</w:t>
      </w:r>
      <w:r>
        <w:rPr>
          <w:b w:val="0"/>
          <w:i w:val="0"/>
          <w:color w:val="804000"/>
          <w:highlight w:val="yellow"/>
        </w:rPr>
        <w:t>[■ facility / owner — note LREMC where applicable]</w:t>
      </w:r>
      <w:r>
        <w:rPr>
          <w:b w:val="0"/>
          <w:i w:val="0"/>
        </w:rPr>
        <w:t xml:space="preserve">, </w:t>
      </w:r>
      <w:r>
        <w:rPr>
          <w:b/>
          <w:i w:val="0"/>
          <w:color w:val="007000"/>
        </w:rPr>
        <w:t>[TECHNICAL INFORMATION REQUIRED]</w:t>
      </w:r>
      <w:r>
        <w:rPr>
          <w:b w:val="0"/>
          <w:i w:val="0"/>
        </w:rPr>
        <w:t>);</w:t>
      </w:r>
    </w:p>
    <w:p>
      <w:pPr>
        <w:pStyle w:val="ListBullet"/>
      </w:pPr>
      <w:r>
        <w:rPr>
          <w:b w:val="0"/>
          <w:i w:val="0"/>
        </w:rPr>
        <w:t>the GIS reference and as-built record for the segment (</w:t>
      </w:r>
      <w:r>
        <w:rPr>
          <w:b w:val="0"/>
          <w:i w:val="0"/>
          <w:color w:val="804000"/>
          <w:highlight w:val="yellow"/>
        </w:rPr>
        <w:t>[■ GIS layer / as-built ref]</w:t>
      </w:r>
      <w:r>
        <w:rPr>
          <w:b w:val="0"/>
          <w:i w:val="0"/>
        </w:rPr>
        <w:t xml:space="preserve">, </w:t>
      </w:r>
      <w:r>
        <w:rPr>
          <w:b/>
          <w:i w:val="0"/>
          <w:color w:val="007000"/>
        </w:rPr>
        <w:t>[TECHNICAL INFORMATION REQUIRED]</w:t>
      </w:r>
      <w:r>
        <w:rPr>
          <w:b w:val="0"/>
          <w:i w:val="0"/>
        </w:rPr>
        <w:t>).</w:t>
      </w:r>
    </w:p>
    <w:p>
      <w:pPr>
        <w:ind w:left="504"/>
      </w:pPr>
      <w:r>
        <w:rPr>
          <w:b/>
          <w:color w:val="007000"/>
        </w:rPr>
        <w:t xml:space="preserve">[TECHNICAL INFORMATION REQUIRED]  </w:t>
      </w:r>
      <w:r>
        <w:rPr>
          <w:i/>
          <w:color w:val="595959"/>
        </w:rPr>
        <w:t>All strand counts, route figures, PON ratios, endpoints, splice, demarcation, electronics, and GIS references are TO BE SUPPLIED from approved engineering and as-built records; none are invented here.</w:t>
      </w:r>
    </w:p>
    <w:p>
      <w:pPr>
        <w:pStyle w:val="Heading2"/>
        <w:spacing w:before="160" w:after="60"/>
      </w:pPr>
      <w:r>
        <w:rPr>
          <w:rFonts w:ascii="Calibri" w:hAnsi="Calibri"/>
          <w:b/>
          <w:color w:val="000000"/>
          <w:sz w:val="22"/>
        </w:rPr>
        <w:t>5.3  Facilities Owned by LREMC</w:t>
      </w:r>
    </w:p>
    <w:p>
      <w:r>
        <w:rPr>
          <w:b w:val="0"/>
          <w:i w:val="0"/>
        </w:rPr>
        <w:t>Where a facility, hut, pole, conduit, easement, power feed, or site housing or carrying an IRU asset is a LREMC Facilities, that facility is owned by LREMC and is made available, if at all, only under a separate LREMC instrument (see the Land, Easement, Right-of-Way, Pole, Site, Power, and Facility Instruments and the LREMC Consent). This Agreement grants no right in any LREMC Facilities.</w:t>
      </w:r>
    </w:p>
    <w:p>
      <w:pPr>
        <w:pStyle w:val="Heading1"/>
        <w:spacing w:before="240" w:after="120"/>
      </w:pPr>
      <w:r>
        <w:rPr>
          <w:rFonts w:ascii="Calibri" w:hAnsi="Calibri"/>
          <w:b/>
          <w:color w:val="1F3864"/>
          <w:sz w:val="26"/>
        </w:rPr>
        <w:t>ARTICLE 6.  TERM BY ACCEPTED SEGMENT; RENEWALS; CONDITIONS TO ACTIVATION</w:t>
      </w:r>
    </w:p>
    <w:p>
      <w:pPr>
        <w:pStyle w:val="Heading2"/>
        <w:spacing w:before="160" w:after="60"/>
      </w:pPr>
      <w:r>
        <w:rPr>
          <w:rFonts w:ascii="Calibri" w:hAnsi="Calibri"/>
          <w:b/>
          <w:color w:val="000000"/>
          <w:sz w:val="22"/>
        </w:rPr>
        <w:t>6.1  Segment-by-Segment Term Commencement</w:t>
      </w:r>
    </w:p>
    <w:p>
      <w:r>
        <w:rPr>
          <w:b w:val="0"/>
          <w:i w:val="0"/>
        </w:rPr>
        <w:t>The Term for each segment commences on the acceptance of each Network segment in accordance with the Design, Engineering, Procurement, and Construction Agreement, and not before. There is a separate Term for each accepted segment.</w:t>
      </w:r>
    </w:p>
    <w:p>
      <w:pPr>
        <w:pStyle w:val="Heading2"/>
        <w:spacing w:before="160" w:after="60"/>
      </w:pPr>
      <w:r>
        <w:rPr>
          <w:rFonts w:ascii="Calibri" w:hAnsi="Calibri"/>
          <w:b/>
          <w:color w:val="000000"/>
          <w:sz w:val="22"/>
        </w:rPr>
        <w:t>6.2  Initial Term</w:t>
      </w:r>
    </w:p>
    <w:p>
      <w:r>
        <w:rPr>
          <w:b w:val="0"/>
          <w:i w:val="0"/>
        </w:rPr>
        <w:t>The initial Term for each accepted segment is twenty (20) years measured from that segment’s acceptance date.</w:t>
      </w:r>
    </w:p>
    <w:p>
      <w:pPr>
        <w:pStyle w:val="Heading2"/>
        <w:spacing w:before="160" w:after="60"/>
      </w:pPr>
      <w:r>
        <w:rPr>
          <w:rFonts w:ascii="Calibri" w:hAnsi="Calibri"/>
          <w:b/>
          <w:color w:val="000000"/>
          <w:sz w:val="22"/>
        </w:rPr>
        <w:t>6.3  Renewals</w:t>
      </w:r>
    </w:p>
    <w:p>
      <w:r>
        <w:rPr>
          <w:b w:val="0"/>
          <w:i w:val="0"/>
        </w:rPr>
        <w:t>The initial Term may be extended by two (2) optional renewal terms of five (5) years each, each exercisable only if, at the time of exercise: (i) the Award and applicable federal law permit the extension; (ii) the underlying land and access rights extend through the renewal period; and (iii) no uncured material default exists.</w:t>
      </w:r>
    </w:p>
    <w:p>
      <w:pPr>
        <w:pStyle w:val="Heading2"/>
        <w:spacing w:before="160" w:after="60"/>
      </w:pPr>
      <w:r>
        <w:rPr>
          <w:rFonts w:ascii="Calibri" w:hAnsi="Calibri"/>
          <w:b/>
          <w:color w:val="000000"/>
          <w:sz w:val="22"/>
        </w:rPr>
        <w:t>6.4  Conditions to Activation</w:t>
      </w:r>
    </w:p>
    <w:p>
      <w:r>
        <w:rPr>
          <w:b w:val="0"/>
          <w:i w:val="0"/>
        </w:rPr>
        <w:t>No IRU (or License) right activates for a segment, and no segment Term commences, until all of the following are met for that segment:</w:t>
      </w:r>
    </w:p>
    <w:p>
      <w:pPr>
        <w:pStyle w:val="ListNumber"/>
      </w:pPr>
      <w:r>
        <w:rPr>
          <w:b w:val="0"/>
          <w:i w:val="0"/>
        </w:rPr>
        <w:t>segment acceptance under the Design, Engineering, Procurement, and Construction Agreement (design, engineering, procurement, and construction complete and accepted);</w:t>
      </w:r>
    </w:p>
    <w:p>
      <w:pPr>
        <w:pStyle w:val="ListNumber"/>
      </w:pPr>
      <w:r>
        <w:rPr>
          <w:b w:val="0"/>
          <w:i w:val="0"/>
        </w:rPr>
        <w:t>the segment’s IRU-asset attributes are recorded on Schedules Asset Ownership, Funding Source, Federal Interest, and IRU/Network-Rights Register and Engineering Standards, Bill of Materials, Equipment, Interconnection, and Demarcation;</w:t>
      </w:r>
    </w:p>
    <w:p>
      <w:pPr>
        <w:pStyle w:val="ListNumber"/>
      </w:pPr>
      <w:r>
        <w:rPr>
          <w:b w:val="0"/>
          <w:i w:val="0"/>
        </w:rPr>
        <w:t>all required federal, Tribal, corporate, landowner, and regulatory approvals for that segment are in place (Schedule Required Federal, Tribal, Corporate, Landowner, Lender, and Regulatory Approvals);</w:t>
      </w:r>
    </w:p>
    <w:p>
      <w:pPr>
        <w:pStyle w:val="ListNumber"/>
      </w:pPr>
      <w:r>
        <w:rPr>
          <w:b w:val="0"/>
          <w:i w:val="0"/>
        </w:rPr>
        <w:t>any required LREMC consent or facility instrument for that segment is executed; and</w:t>
      </w:r>
    </w:p>
    <w:p>
      <w:pPr>
        <w:pStyle w:val="ListNumber"/>
      </w:pPr>
      <w:r>
        <w:rPr>
          <w:b w:val="0"/>
          <w:i w:val="0"/>
        </w:rPr>
        <w:t>the segment satisfies the applicable optical acceptance testing.</w:t>
      </w:r>
    </w:p>
    <w:p>
      <w:pPr>
        <w:ind w:left="504"/>
      </w:pPr>
      <w:r>
        <w:rPr>
          <w:b/>
          <w:color w:val="7F007F"/>
        </w:rPr>
        <w:t xml:space="preserve">[GRANT COMPLIANCE REVIEW REQUIRED]  </w:t>
      </w:r>
      <w:r>
        <w:rPr>
          <w:i/>
          <w:color w:val="595959"/>
        </w:rPr>
        <w:t>Cross-check the activation conditions against the segment-acceptance mechanics of the Design, Engineering, Procurement, and Construction Agreement and the Award before finalizing.</w:t>
      </w:r>
    </w:p>
    <w:p>
      <w:pPr>
        <w:pStyle w:val="Heading2"/>
        <w:spacing w:before="160" w:after="60"/>
      </w:pPr>
      <w:r>
        <w:rPr>
          <w:rFonts w:ascii="Calibri" w:hAnsi="Calibri"/>
          <w:b/>
          <w:color w:val="000000"/>
          <w:sz w:val="22"/>
        </w:rPr>
        <w:t>6.5  Term Ceiling</w:t>
      </w:r>
    </w:p>
    <w:p>
      <w:r>
        <w:rPr>
          <w:b w:val="0"/>
          <w:i w:val="0"/>
        </w:rPr>
        <w:t>In no event does any Term (including renewals) extend beyond the earliest of the useful life of the Grant-Funded Assets, the duration of the underlying land/access rights, the Federal Interest period, and the controlling Award. If any of those limits is shorter, it controls, and the affected right of use terminates or is adjusted accordingly.</w:t>
      </w:r>
    </w:p>
    <w:p>
      <w:pPr>
        <w:ind w:left="504"/>
      </w:pPr>
      <w:r>
        <w:rPr>
          <w:b/>
          <w:color w:val="0000C0"/>
        </w:rPr>
        <w:t xml:space="preserve">[ATTORNEY REVIEW REQUIRED]  </w:t>
      </w:r>
      <w:r>
        <w:rPr>
          <w:i/>
          <w:color w:val="595959"/>
        </w:rPr>
        <w:t>Useful life, the Federal Interest period, and the duration of underlying land/access rights are [■ NOT SUPPLIED — confirm from the Award, engineering, and land instruments]; the Term ceiling cannot be finalized until these are fixed.</w:t>
      </w:r>
    </w:p>
    <w:p>
      <w:pPr>
        <w:pStyle w:val="Heading1"/>
        <w:spacing w:before="240" w:after="120"/>
      </w:pPr>
      <w:r>
        <w:rPr>
          <w:rFonts w:ascii="Calibri" w:hAnsi="Calibri"/>
          <w:b/>
          <w:color w:val="1F3864"/>
          <w:sz w:val="26"/>
        </w:rPr>
        <w:t>ARTICLE 7.  PERMITTED USES; ACCESS, MAINTENANCE, AND RESTORATION</w:t>
      </w:r>
    </w:p>
    <w:p>
      <w:pPr>
        <w:pStyle w:val="Heading2"/>
        <w:spacing w:before="160" w:after="60"/>
      </w:pPr>
      <w:r>
        <w:rPr>
          <w:rFonts w:ascii="Calibri" w:hAnsi="Calibri"/>
          <w:b/>
          <w:color w:val="000000"/>
          <w:sz w:val="22"/>
        </w:rPr>
        <w:t>7.1  Permitted Uses</w:t>
      </w:r>
    </w:p>
    <w:p>
      <w:r>
        <w:rPr>
          <w:b w:val="0"/>
          <w:i w:val="0"/>
        </w:rPr>
        <w:t>RIVR Tech may use the IRU assets solely to operate the Tribal Network and provide retail broadband and related services within the Approved Project Area, consistent with the Award, the service commitments at Schedule Approved Project Scope, Eligible Locations, Routes, Milestones, and Service Commitments, the 100/20 Mbps service floor, and the permitted-use limits of this Agreement. Any non-project use, non-Tribal-customer use, or commercial capacity use is governed and cost-allocated under Schedule Approved Commercial Capacity, Non-Project Use, Non-Tribal Customers, Valuation, and Cost Allocation and is never presumed free.</w:t>
      </w:r>
    </w:p>
    <w:p>
      <w:pPr>
        <w:pStyle w:val="Heading2"/>
        <w:spacing w:before="160" w:after="60"/>
      </w:pPr>
      <w:r>
        <w:rPr>
          <w:rFonts w:ascii="Calibri" w:hAnsi="Calibri"/>
          <w:b/>
          <w:color w:val="000000"/>
          <w:sz w:val="22"/>
        </w:rPr>
        <w:t>7.2  Access, Splicing, and Testing</w:t>
      </w:r>
    </w:p>
    <w:p>
      <w:r>
        <w:rPr>
          <w:b w:val="0"/>
          <w:i w:val="0"/>
        </w:rPr>
        <w:t>RIVR Tech may access the IRU assets to splice, test, and commission the granted strands and capacity, subject to the access procedures of the Network Interconnection, Transport, Equipment, and Shared Facilities Agreement, the optical acceptance standards, and any facility-owner (including LREMC) access conditions.</w:t>
      </w:r>
    </w:p>
    <w:p>
      <w:pPr>
        <w:pStyle w:val="Heading2"/>
        <w:spacing w:before="160" w:after="60"/>
      </w:pPr>
      <w:r>
        <w:rPr>
          <w:rFonts w:ascii="Calibri" w:hAnsi="Calibri"/>
          <w:b/>
          <w:color w:val="000000"/>
          <w:sz w:val="22"/>
        </w:rPr>
        <w:t>7.3  Maintenance, Restoration, and Replacement</w:t>
      </w:r>
    </w:p>
    <w:p>
      <w:r>
        <w:rPr>
          <w:b w:val="0"/>
          <w:i w:val="0"/>
        </w:rPr>
        <w:t>Routine and emergency maintenance, restoration, and like-for-like replacement of IRU-asset elements are performed under, and allocated by, the Network Operations, Maintenance, and Lifecycle Agreement and Schedule Operations, Service Levels, Lifecycle, Spares, Refresh, and Reserves. Any replacement element funded from Award funds becomes a Grant-Funded Assets owned by the Tribe and subject to the Federal Interest; title does not vest in RIVR Tech by reason of performing the work.</w:t>
      </w:r>
    </w:p>
    <w:p>
      <w:pPr>
        <w:pStyle w:val="Heading2"/>
        <w:spacing w:before="160" w:after="60"/>
      </w:pPr>
      <w:r>
        <w:rPr>
          <w:rFonts w:ascii="Calibri" w:hAnsi="Calibri"/>
          <w:b/>
          <w:color w:val="000000"/>
          <w:sz w:val="22"/>
        </w:rPr>
        <w:t>7.4  Optical Acceptance Standards</w:t>
      </w:r>
    </w:p>
    <w:p>
      <w:r>
        <w:rPr>
          <w:b w:val="0"/>
          <w:i w:val="0"/>
        </w:rPr>
        <w:t>Segment testing and IRU acceptance use the optical standards of the package: bi-directional OTDR at 1310 nm and 1550 nm; splice loss not exceeding 0.10 dB (average) / 0.30 dB (maximum) per fusion splice; connector loss not exceeding 0.50 dB per mated connector pair; reflectance not exceeding -40 dB (UPC) / -55 dB (APC); and span loss consistent with the span-loss budget calculated at 0.35 dB/km at 1310 nm and 0.25 dB/km at 1550 nm, plus splice and connector losses.</w:t>
      </w:r>
    </w:p>
    <w:p>
      <w:pPr>
        <w:pStyle w:val="Heading1"/>
        <w:spacing w:before="240" w:after="120"/>
      </w:pPr>
      <w:r>
        <w:rPr>
          <w:rFonts w:ascii="Calibri" w:hAnsi="Calibri"/>
          <w:b/>
          <w:color w:val="1F3864"/>
          <w:sz w:val="26"/>
        </w:rPr>
        <w:t>ARTICLE 8.  QUIET ENJOYMENT, RELOCATIONS, CASUALTY, AND CAPACITY PROTECTION</w:t>
      </w:r>
    </w:p>
    <w:p>
      <w:pPr>
        <w:pStyle w:val="Heading2"/>
        <w:spacing w:before="160" w:after="60"/>
      </w:pPr>
      <w:r>
        <w:rPr>
          <w:rFonts w:ascii="Calibri" w:hAnsi="Calibri"/>
          <w:b/>
          <w:color w:val="000000"/>
          <w:sz w:val="22"/>
        </w:rPr>
        <w:t>8.1  Quiet Enjoyment and Nondisturbance</w:t>
      </w:r>
    </w:p>
    <w:p>
      <w:r>
        <w:rPr>
          <w:b w:val="0"/>
          <w:i w:val="0"/>
        </w:rPr>
        <w:t>So long as RIVR Tech is not in uncured material default and complies with the Award and this Agreement, it may use the IRU assets for the permitted uses without disturbance by the Tribe, subject to the Tribe’s reserved rights, the open-interconnection obligations, and the rights of facility owners including LREMC.</w:t>
      </w:r>
    </w:p>
    <w:p>
      <w:pPr>
        <w:pStyle w:val="Heading2"/>
        <w:spacing w:before="160" w:after="60"/>
      </w:pPr>
      <w:r>
        <w:rPr>
          <w:rFonts w:ascii="Calibri" w:hAnsi="Calibri"/>
          <w:b/>
          <w:color w:val="000000"/>
          <w:sz w:val="22"/>
        </w:rPr>
        <w:t>8.2  Relocations</w:t>
      </w:r>
    </w:p>
    <w:p>
      <w:r>
        <w:rPr>
          <w:b w:val="0"/>
          <w:i w:val="0"/>
        </w:rPr>
        <w:t>If any IRU asset must be relocated (for road work, pole change-out, landowner requirement, or otherwise), the Parties shall coordinate the relocation to preserve, as nearly as practicable, the granted capacity and the Tribal Network’s operation, with cost responsibility and any grant treatment determined under the Network Operations, Maintenance, and Lifecycle Agreement, Schedule Land, Poles, Sites, Power, Permits, Shared Facilities, and Owner Consents, and the Award. Relocation of any LREMC Facilities is governed by the applicable LREMC instrument.</w:t>
      </w:r>
    </w:p>
    <w:p>
      <w:pPr>
        <w:pStyle w:val="Heading2"/>
        <w:spacing w:before="160" w:after="60"/>
      </w:pPr>
      <w:r>
        <w:rPr>
          <w:rFonts w:ascii="Calibri" w:hAnsi="Calibri"/>
          <w:b/>
          <w:color w:val="000000"/>
          <w:sz w:val="22"/>
        </w:rPr>
        <w:t>8.3  Casualty</w:t>
      </w:r>
    </w:p>
    <w:p>
      <w:r>
        <w:rPr>
          <w:b w:val="0"/>
          <w:i w:val="0"/>
        </w:rPr>
        <w:t>If IRU assets are damaged or destroyed, restoration priority, cost, insurance recovery, and any grant treatment are handled under the Network Operations, Maintenance, and Lifecycle Agreement, the insurance requirements of the package, and 2 CFR 200.310 (Insurance coverage). Insurance proceeds for Grant-Funded Assets are applied consistent with the Federal Interest.</w:t>
      </w:r>
    </w:p>
    <w:p>
      <w:pPr>
        <w:pStyle w:val="Heading2"/>
        <w:spacing w:before="160" w:after="60"/>
      </w:pPr>
      <w:r>
        <w:rPr>
          <w:rFonts w:ascii="Calibri" w:hAnsi="Calibri"/>
          <w:b/>
          <w:color w:val="000000"/>
          <w:sz w:val="22"/>
        </w:rPr>
        <w:t>8.4  Capacity Protection</w:t>
      </w:r>
    </w:p>
    <w:p>
      <w:r>
        <w:rPr>
          <w:b w:val="0"/>
          <w:i w:val="0"/>
        </w:rPr>
        <w:t>The Tribe shall not grant a conflicting right that would impair the specific granted strands or PON capacity during the Term, and RIVR Tech shall not use or configure the assets in a way that impairs the Tribe’s reserved capacity or the open-interconnection obligations. Reserved, project, and commercial capacity are delineated on Schedules Asset Ownership, Funding Source, Federal Interest, and IRU/Network-Rights Register and Approved Commercial Capacity, Non-Project Use, Non-Tribal Customers, Valuation, and Cost Allocation.</w:t>
      </w:r>
    </w:p>
    <w:p>
      <w:pPr>
        <w:pStyle w:val="Heading1"/>
        <w:spacing w:before="240" w:after="120"/>
      </w:pPr>
      <w:r>
        <w:rPr>
          <w:rFonts w:ascii="Calibri" w:hAnsi="Calibri"/>
          <w:b/>
          <w:color w:val="1F3864"/>
          <w:sz w:val="26"/>
        </w:rPr>
        <w:t>ARTICLE 9.  FEDERAL-INTEREST RESTRICTIONS; NO ENCUMBRANCE</w:t>
      </w:r>
    </w:p>
    <w:p>
      <w:pPr>
        <w:pStyle w:val="Heading2"/>
        <w:spacing w:before="160" w:after="60"/>
      </w:pPr>
      <w:r>
        <w:rPr>
          <w:rFonts w:ascii="Calibri" w:hAnsi="Calibri"/>
          <w:b/>
          <w:color w:val="000000"/>
          <w:sz w:val="22"/>
        </w:rPr>
        <w:t>9.1  Federal Interest</w:t>
      </w:r>
    </w:p>
    <w:p>
      <w:r>
        <w:rPr>
          <w:b w:val="0"/>
          <w:i w:val="0"/>
        </w:rPr>
        <w:t>The Grant-Funded Assets are subject to the Federal Interest for the applicable Federal Interest period. Use, encumbrance, and disposition are governed by 2 CFR 200.311 (Real property — use, encumbrance, and disposition), 2 CFR 200.313 (Equipment — use, management, and disposition), 2 CFR 200.315 (Intangible property), and 2 CFR 200.316 (Property trust relationship), and by the Award.</w:t>
      </w:r>
    </w:p>
    <w:p>
      <w:pPr>
        <w:pStyle w:val="Heading2"/>
        <w:spacing w:before="160" w:after="60"/>
      </w:pPr>
      <w:r>
        <w:rPr>
          <w:rFonts w:ascii="Calibri" w:hAnsi="Calibri"/>
          <w:b/>
          <w:color w:val="000000"/>
          <w:sz w:val="22"/>
        </w:rPr>
        <w:t>9.2  No Liens Against Trust, Restricted, or Federal-Interest Assets</w:t>
      </w:r>
    </w:p>
    <w:p>
      <w:r>
        <w:rPr>
          <w:b w:val="0"/>
          <w:i w:val="0"/>
        </w:rPr>
        <w:t>Notwithstanding any other provision of this Agreement or any other Definitive Agreement, no lien, mortgage, security interest, pledge, attachment, levy, or other encumbrance may attach to, and no remedy may be enforced against, any Grant-Funded Assets, any asset subject to the Federal Interest, or any Tribal trust or restricted asset, in each case except as expressly authorized in advance and in writing by the NTIA/U.S. Department of Commerce and, where applicable, the Bureau of Indian Affairs. This restriction runs with the Grant-Funded Assets and binds every successor, assignee, and lender.</w:t>
      </w:r>
    </w:p>
    <w:p>
      <w:pPr>
        <w:ind w:left="504"/>
      </w:pPr>
      <w:r>
        <w:rPr>
          <w:b/>
          <w:color w:val="7F007F"/>
        </w:rPr>
        <w:t xml:space="preserve">[GRANT COMPLIANCE REVIEW REQUIRED]  </w:t>
      </w:r>
      <w:r>
        <w:rPr>
          <w:i/>
          <w:color w:val="595959"/>
        </w:rPr>
        <w:t>Confirm against 2 CFR 200.311 (Real property — use, encumbrance, and disposition), 2 CFR 200.316 (Property trust relationship), and the Specific Award Conditions before finalizing any lender or security provision.</w:t>
      </w:r>
    </w:p>
    <w:p>
      <w:pPr>
        <w:pStyle w:val="Heading2"/>
        <w:spacing w:before="160" w:after="60"/>
      </w:pPr>
      <w:r>
        <w:rPr>
          <w:rFonts w:ascii="Calibri" w:hAnsi="Calibri"/>
          <w:b/>
          <w:color w:val="000000"/>
          <w:sz w:val="22"/>
        </w:rPr>
        <w:t>9.3  No Unauthorized Encumbrance</w:t>
      </w:r>
    </w:p>
    <w:p>
      <w:r>
        <w:rPr>
          <w:b w:val="0"/>
          <w:i w:val="0"/>
        </w:rPr>
        <w:t>RIVR Tech shall not grant, create, or permit any lien, security interest, or encumbrance on any Grant-Funded Assets or IRU right, and shall keep the assets free of any claim arising from its operations, except as expressly authorized in writing by the Tribe and, where required, NTIA/U.S. Department of Commerce and BIA.</w:t>
      </w:r>
    </w:p>
    <w:p>
      <w:pPr>
        <w:pStyle w:val="Heading1"/>
        <w:spacing w:before="240" w:after="120"/>
      </w:pPr>
      <w:r>
        <w:rPr>
          <w:rFonts w:ascii="Calibri" w:hAnsi="Calibri"/>
          <w:b/>
          <w:color w:val="1F3864"/>
          <w:sz w:val="26"/>
        </w:rPr>
        <w:t>ARTICLE 10.  CONSIDERATION AND PROGRAM INCOME</w:t>
      </w:r>
    </w:p>
    <w:p>
      <w:pPr>
        <w:pStyle w:val="Heading2"/>
        <w:spacing w:before="160" w:after="60"/>
      </w:pPr>
      <w:r>
        <w:rPr>
          <w:rFonts w:ascii="Calibri" w:hAnsi="Calibri"/>
          <w:b/>
          <w:color w:val="000000"/>
          <w:sz w:val="22"/>
        </w:rPr>
        <w:t>10.1  IRU Consideration</w:t>
      </w:r>
    </w:p>
    <w:p>
      <w:r>
        <w:rPr>
          <w:b w:val="0"/>
          <w:i w:val="0"/>
        </w:rPr>
        <w:t>In consideration of the grant, RIVR Tech pays and provides one dollar ($1.00) and other good and valuable consideration, plus the operating, maintenance, and payment obligations set forth herein.</w:t>
      </w:r>
    </w:p>
    <w:p>
      <w:pPr>
        <w:pStyle w:val="Heading2"/>
        <w:spacing w:before="160" w:after="60"/>
      </w:pPr>
      <w:r>
        <w:rPr>
          <w:rFonts w:ascii="Calibri" w:hAnsi="Calibri"/>
          <w:b/>
          <w:color w:val="000000"/>
          <w:sz w:val="22"/>
        </w:rPr>
        <w:t>10.2  Per-Subscriber Operating Payment</w:t>
      </w:r>
    </w:p>
    <w:p>
      <w:r>
        <w:rPr>
          <w:b w:val="0"/>
          <w:i w:val="0"/>
        </w:rPr>
        <w:t>The primary economic consideration for the operating relationship is the per-Active-Subscriber operating payment of $[X] per Active Subscriber per month, set and administered under the Retail Customer Service, Billing, Collections, and Subscriber Revenue Agreement and the Grant Finance, Reimbursement, Program Income, and Audit Agreement (and Schedule Subscriber Payment, Revenue, Program Income, Taxes, Fees, Cash Controls, and Audit). Payment characterization alternatives are: Option A — Asset-Use / License Consideration for the IRU and operating rights; Option B — IRU Consideration (prepaid or periodic) for defined capacity; Option C — Operating Revenue Share (percentage of defined retail revenue); Option D — Per-Active-Subscriber Operating Payment (primary model in this package); Option E — Hybrid (base asset-use fee plus per-subscriber component). The recommended model is Option D — Per-Active-Subscriber Operating Payment (primary model in this package).</w:t>
      </w:r>
    </w:p>
    <w:p>
      <w:pPr>
        <w:ind w:left="504"/>
      </w:pPr>
      <w:r>
        <w:rPr>
          <w:b/>
          <w:color w:val="C00000"/>
        </w:rPr>
        <w:t xml:space="preserve">[BUSINESS DECISION REQUIRED]  </w:t>
      </w:r>
      <w:r>
        <w:rPr>
          <w:i/>
          <w:color w:val="595959"/>
        </w:rPr>
        <w:t>The per-subscriber amount $[X] per Active Subscriber per month is a placeholder; the actual rate, proration, and included/excluded account definitions are a business decision to be finalized.</w:t>
      </w:r>
    </w:p>
    <w:p>
      <w:pPr>
        <w:pStyle w:val="Heading2"/>
        <w:spacing w:before="160" w:after="60"/>
      </w:pPr>
      <w:r>
        <w:rPr>
          <w:rFonts w:ascii="Calibri" w:hAnsi="Calibri"/>
          <w:b/>
          <w:color w:val="000000"/>
          <w:sz w:val="22"/>
        </w:rPr>
        <w:t>10.3  Provisional Characterization; Program Income</w:t>
      </w:r>
    </w:p>
    <w:p>
      <w:r>
        <w:rPr>
          <w:b w:val="0"/>
          <w:i w:val="0"/>
        </w:rPr>
        <w:t>The label given to any payment does not control its treatment. Characterization is provisional; program-income treatment under 2 CFR 200.307 turns on the controlling Award and written NTIA determination, not the label. Program Income is administered under 2 CFR 200.307 (Program income) and the Award.</w:t>
      </w:r>
    </w:p>
    <w:p>
      <w:pPr>
        <w:ind w:left="504"/>
      </w:pPr>
      <w:r>
        <w:rPr>
          <w:b/>
          <w:color w:val="7F007F"/>
        </w:rPr>
        <w:t xml:space="preserve">[GRANT COMPLIANCE REVIEW REQUIRED]  </w:t>
      </w:r>
      <w:r>
        <w:rPr>
          <w:i/>
          <w:color w:val="595959"/>
        </w:rPr>
        <w:t>Program-income treatment under 2 CFR 200.307 (Program income) turns on the controlling Award and a written NTIA determination — not on the characterization chosen here. Confirm before finalizing.</w:t>
      </w:r>
    </w:p>
    <w:p>
      <w:pPr>
        <w:ind w:left="504"/>
      </w:pPr>
      <w:r>
        <w:rPr>
          <w:b/>
          <w:color w:val="0000C0"/>
        </w:rPr>
        <w:t xml:space="preserve">[ATTORNEY REVIEW REQUIRED]  </w:t>
      </w:r>
      <w:r>
        <w:rPr>
          <w:i/>
          <w:color w:val="595959"/>
        </w:rPr>
        <w:t>Consideration characterization (asset-use fee, IRU consideration, revenue share, per-subscriber payment, or hybrid) is provisional and must be set by counsel with the financial advisor.</w:t>
      </w:r>
    </w:p>
    <w:p>
      <w:pPr>
        <w:pStyle w:val="Heading1"/>
        <w:spacing w:before="240" w:after="120"/>
      </w:pPr>
      <w:r>
        <w:rPr>
          <w:rFonts w:ascii="Calibri" w:hAnsi="Calibri"/>
          <w:b/>
          <w:color w:val="1F3864"/>
          <w:sz w:val="26"/>
        </w:rPr>
        <w:t>ARTICLE 11.  ASSIGNMENT, LENDER RIGHTS, AND SUCCESSORS</w:t>
      </w:r>
    </w:p>
    <w:p>
      <w:pPr>
        <w:pStyle w:val="Heading2"/>
        <w:spacing w:before="160" w:after="60"/>
      </w:pPr>
      <w:r>
        <w:rPr>
          <w:rFonts w:ascii="Calibri" w:hAnsi="Calibri"/>
          <w:b/>
          <w:color w:val="000000"/>
          <w:sz w:val="22"/>
        </w:rPr>
        <w:t>11.1  Assignment</w:t>
      </w:r>
    </w:p>
    <w:p>
      <w:r>
        <w:rPr>
          <w:b w:val="0"/>
          <w:i w:val="0"/>
        </w:rPr>
        <w:t>Neither Party may assign this Agreement or the IRU right without the other Party’s prior written consent and all approvals required by the Award and applicable law. Any assignment by RIVR Tech must preserve the Tribe’s title, the Federal Interest, and the operator’s obligations, and the assignee must expressly assume them.</w:t>
      </w:r>
    </w:p>
    <w:p>
      <w:pPr>
        <w:pStyle w:val="Heading2"/>
        <w:spacing w:before="160" w:after="60"/>
      </w:pPr>
      <w:r>
        <w:rPr>
          <w:rFonts w:ascii="Calibri" w:hAnsi="Calibri"/>
          <w:b/>
          <w:color w:val="000000"/>
          <w:sz w:val="22"/>
        </w:rPr>
        <w:t>11.2  Lender Rights (Only If Lawful)</w:t>
      </w:r>
    </w:p>
    <w:p>
      <w:r>
        <w:rPr>
          <w:b w:val="0"/>
          <w:i w:val="0"/>
        </w:rPr>
        <w:t>Any lender collateral, financing, or leasehold-mortgage-type arrangement is permitted only to the extent lawful and expressly authorized, and in no event may any lien, security interest, or remedy attach to or be enforced against any Grant-Funded Assets, any asset subject to the Federal Interest, or any Tribal trust or restricted asset. Lender rights, if any, extend only to RIVR Tech’s own contractual interests and the RIVR Tech Existing Network, subject to Article 9.</w:t>
      </w:r>
    </w:p>
    <w:p>
      <w:pPr>
        <w:ind w:left="504"/>
      </w:pPr>
      <w:r>
        <w:rPr>
          <w:b/>
          <w:color w:val="0000C0"/>
        </w:rPr>
        <w:t xml:space="preserve">[ATTORNEY REVIEW REQUIRED]  </w:t>
      </w:r>
      <w:r>
        <w:rPr>
          <w:i/>
          <w:color w:val="595959"/>
        </w:rPr>
        <w:t>Whether any lender/collateral right is lawful at all for grant-funded, trust, or Federal-Interest assets requires confirmation against 2 CFR 200.311 (Real property — use, encumbrance, and disposition), 2 CFR 200.316 (Property trust relationship), and the Award.</w:t>
      </w:r>
    </w:p>
    <w:p>
      <w:pPr>
        <w:pStyle w:val="Heading2"/>
        <w:spacing w:before="160" w:after="60"/>
      </w:pPr>
      <w:r>
        <w:rPr>
          <w:rFonts w:ascii="Calibri" w:hAnsi="Calibri"/>
          <w:b/>
          <w:color w:val="000000"/>
          <w:sz w:val="22"/>
        </w:rPr>
        <w:t>11.3  Successor Obligations</w:t>
      </w:r>
    </w:p>
    <w:p>
      <w:r>
        <w:rPr>
          <w:b w:val="0"/>
          <w:i w:val="0"/>
        </w:rPr>
        <w:t>This Agreement binds and benefits the Parties and their permitted successors and assigns. All operating, maintenance, payment, ownership-protection, and compliance obligations run with the assets and bind every successor operator.</w:t>
      </w:r>
    </w:p>
    <w:p>
      <w:pPr>
        <w:pStyle w:val="Heading1"/>
        <w:spacing w:before="240" w:after="120"/>
      </w:pPr>
      <w:r>
        <w:rPr>
          <w:rFonts w:ascii="Calibri" w:hAnsi="Calibri"/>
          <w:b/>
          <w:color w:val="1F3864"/>
          <w:sz w:val="26"/>
        </w:rPr>
        <w:t>ARTICLE 12.  TERMINATION, TRANSITION, AND DISPOSITION</w:t>
      </w:r>
    </w:p>
    <w:p>
      <w:pPr>
        <w:pStyle w:val="Heading2"/>
        <w:spacing w:before="160" w:after="60"/>
      </w:pPr>
      <w:r>
        <w:rPr>
          <w:rFonts w:ascii="Calibri" w:hAnsi="Calibri"/>
          <w:b/>
          <w:color w:val="000000"/>
          <w:sz w:val="22"/>
        </w:rPr>
        <w:t>12.1  Termination and Transition</w:t>
      </w:r>
    </w:p>
    <w:p>
      <w:r>
        <w:rPr>
          <w:b w:val="0"/>
          <w:i w:val="0"/>
        </w:rPr>
        <w:t>Termination, step-in, continuity, and termination-assistance are governed by the Continuity, Step-In, Termination Assistance, and Transition Agreement and Schedule Default, Cure, Step-In, Continuity, Transition, and Termination Assistance. On termination or expiry of any Term, the affected right of use ends and RIVR Tech shall cooperate in an orderly transition that keeps the Tribal Network in service and preserves the Tribe’s ownership and the Federal Interest.</w:t>
      </w:r>
    </w:p>
    <w:p>
      <w:pPr>
        <w:pStyle w:val="Heading2"/>
        <w:spacing w:before="160" w:after="60"/>
      </w:pPr>
      <w:r>
        <w:rPr>
          <w:rFonts w:ascii="Calibri" w:hAnsi="Calibri"/>
          <w:b/>
          <w:color w:val="000000"/>
          <w:sz w:val="22"/>
        </w:rPr>
        <w:t>12.2  Disposition</w:t>
      </w:r>
    </w:p>
    <w:p>
      <w:r>
        <w:rPr>
          <w:b w:val="0"/>
          <w:i w:val="0"/>
        </w:rPr>
        <w:t>Any disposition of Grant-Funded Assets is governed by 2 CFR 200.311 (Real property — use, encumbrance, and disposition) and 2 CFR 200.313 (Equipment — use, management, and disposition) and requires the approvals mandated by those provisions and the Award. No termination or transition event effects a disposition except in accordance with those requirements.</w:t>
      </w:r>
    </w:p>
    <w:p>
      <w:pPr>
        <w:pStyle w:val="Heading1"/>
        <w:spacing w:before="240" w:after="120"/>
      </w:pPr>
      <w:r>
        <w:rPr>
          <w:rFonts w:ascii="Calibri" w:hAnsi="Calibri"/>
          <w:b/>
          <w:color w:val="1F3864"/>
          <w:sz w:val="26"/>
        </w:rPr>
        <w:t>ARTICLE 13.  “INDEFEASIBLE” DOES NOT OVERRIDE FEDERAL LAW, THE AWARD, LAND RIGHTS, OR APPROVALS</w:t>
      </w:r>
    </w:p>
    <w:p>
      <w:r>
        <w:rPr>
          <w:b w:val="0"/>
          <w:i w:val="0"/>
        </w:rPr>
        <w:t>Notwithstanding the use of the word “indefeasible,” the IRU (and any License under Structure B) is expressly subordinate to, and does not override, supersede, or diminish: (i) applicable federal law, including 2 CFR Part 200 (Uniform Administrative Requirements, Cost Principles, and Audit Requirements for Federal Awards); (ii) the executed federal Award and its Specific Award Conditions; (iii) the land, easement, right-of-way, pole, site, power, and facility rights on which the assets depend, including any LREMC Facilities and any rights under 25 CFR Part 162 (leases of Indian land) — where trust/restricted land is used and 25 CFR Part 169 (rights-of-way over Indian land) — where trust/restricted land is crossed where trust or restricted land is involved; or (iv) any federal, Tribal, corporate, landowner, or regulatory approval required for the assets or their use. To the extent the word “indefeasible” would imply otherwise, it is qualified by this Article.</w:t>
      </w:r>
    </w:p>
    <w:p>
      <w:pPr>
        <w:ind w:left="504"/>
      </w:pPr>
      <w:r>
        <w:rPr>
          <w:b/>
          <w:color w:val="7F007F"/>
        </w:rPr>
        <w:t xml:space="preserve">[GRANT COMPLIANCE REVIEW REQUIRED]  </w:t>
      </w:r>
      <w:r>
        <w:rPr>
          <w:i/>
          <w:color w:val="595959"/>
        </w:rPr>
        <w:t>This subordination is mandatory for grant-funded assets; confirm the exact land-rights and approval dependencies before finalizing.</w:t>
      </w:r>
    </w:p>
    <w:p>
      <w:pPr>
        <w:pStyle w:val="Heading1"/>
        <w:spacing w:before="240" w:after="120"/>
      </w:pPr>
      <w:r>
        <w:rPr>
          <w:rFonts w:ascii="Calibri" w:hAnsi="Calibri"/>
          <w:b/>
          <w:color w:val="1F3864"/>
          <w:sz w:val="26"/>
        </w:rPr>
        <w:t>ARTICLE 14.  ORDER OF PRECEDENCE AND SHARED DEFINITIONS</w:t>
      </w:r>
    </w:p>
    <w:p>
      <w:pPr>
        <w:pStyle w:val="Heading2"/>
        <w:spacing w:before="160" w:after="60"/>
      </w:pPr>
      <w:r>
        <w:rPr>
          <w:rFonts w:ascii="Calibri" w:hAnsi="Calibri"/>
          <w:b/>
          <w:color w:val="000000"/>
          <w:sz w:val="22"/>
        </w:rPr>
        <w:t>14.1  Order of Precedence</w:t>
      </w:r>
    </w:p>
    <w:p>
      <w:r>
        <w:rPr>
          <w:b w:val="0"/>
          <w:i w:val="0"/>
        </w:rPr>
        <w:t>This Agreement is one of the Definitive Agreements delivered under, and is subordinate to, the Master TBCP Partnership and Implementation Agreement. In the event of any conflict, ambiguity, or inconsistency among the instruments comprising the transaction, the following order of precedence controls, from highest to lowest:</w:t>
      </w:r>
    </w:p>
    <w:p>
      <w:pPr>
        <w:pStyle w:val="ListNumber"/>
      </w:pPr>
      <w:r>
        <w:rPr>
          <w:b w:val="0"/>
          <w:i w:val="0"/>
        </w:rPr>
        <w:t>the executed federal Award and all requirements incorporated into it (including the controlling NOFO, the Specific Award Conditions, the approved application, budget, routes, and service commitments, and any later written NTIA/DOC determination)</w:t>
      </w:r>
    </w:p>
    <w:p>
      <w:pPr>
        <w:pStyle w:val="ListNumber"/>
      </w:pPr>
      <w:r>
        <w:rPr>
          <w:b w:val="0"/>
          <w:i w:val="0"/>
        </w:rPr>
        <w:t>applicable federal statutes and regulations, including 2 CFR Part 200 and NTIA/DOC award terms</w:t>
      </w:r>
    </w:p>
    <w:p>
      <w:pPr>
        <w:pStyle w:val="ListNumber"/>
      </w:pPr>
      <w:r>
        <w:rPr>
          <w:b w:val="0"/>
          <w:i w:val="0"/>
        </w:rPr>
        <w:t>the approved project documents</w:t>
      </w:r>
    </w:p>
    <w:p>
      <w:pPr>
        <w:pStyle w:val="ListNumber"/>
      </w:pPr>
      <w:r>
        <w:rPr>
          <w:b w:val="0"/>
          <w:i w:val="0"/>
        </w:rPr>
        <w:t>the Master TBCP Partnership and Implementation Agreement</w:t>
      </w:r>
    </w:p>
    <w:p>
      <w:pPr>
        <w:pStyle w:val="ListNumber"/>
      </w:pPr>
      <w:r>
        <w:rPr>
          <w:b w:val="0"/>
          <w:i w:val="0"/>
        </w:rPr>
        <w:t>the other Definitive Agreements</w:t>
      </w:r>
    </w:p>
    <w:p>
      <w:pPr>
        <w:pStyle w:val="ListNumber"/>
      </w:pPr>
      <w:r>
        <w:rPr>
          <w:b w:val="0"/>
          <w:i w:val="0"/>
        </w:rPr>
        <w:t>the Schedules, Exhibits, Certificates, and Operational Forms</w:t>
      </w:r>
    </w:p>
    <w:p>
      <w:r>
        <w:rPr>
          <w:b w:val="0"/>
          <w:i w:val="0"/>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Pr>
        <w:pStyle w:val="Heading2"/>
        <w:spacing w:before="160" w:after="60"/>
      </w:pPr>
      <w:r>
        <w:rPr>
          <w:rFonts w:ascii="Calibri" w:hAnsi="Calibri"/>
          <w:b/>
          <w:color w:val="000000"/>
          <w:sz w:val="22"/>
        </w:rPr>
        <w:t>14.2  Shared Definitions</w:t>
      </w:r>
    </w:p>
    <w:p>
      <w:r>
        <w:rPr>
          <w:b w:val="0"/>
          <w:i w:val="0"/>
        </w:rPr>
        <w:t>Capitalized terms used and not otherwise defined in a document have the meanings given in Article 2 (Definitions) of the Master TBCP Partnership and Implementation Agreement, which is the single shared definitions source for the package.</w:t>
      </w:r>
    </w:p>
    <w:p>
      <w:pPr>
        <w:ind w:left="504"/>
      </w:pPr>
      <w:r>
        <w:rPr>
          <w:b/>
        </w:rPr>
        <w:t xml:space="preserve">(a)  </w:t>
      </w:r>
      <w:r>
        <w:rPr>
          <w:b w:val="0"/>
          <w:i w:val="0"/>
        </w:rPr>
        <w:t>Capitalized terms used in this Agreement — including “Lumbee Tribe,” “RIVR Tech,” “LREMC,” “Tribal Network,” “Grant-Funded Assets,” “RIVR Tech Existing Network,” “LREMC Facilities,” “Federal Interest,” “Program Income,” “Approved Project Area,” “Active Subscriber,” “Demarcation Point,” and “Point of Interconnection” — have the meanings given in Article 2 (Definitions) of the Master TBCP Partnership and Implementation Agreement unless expressly defined herein.</w:t>
      </w:r>
    </w:p>
    <w:p>
      <w:pPr>
        <w:pStyle w:val="Heading1"/>
        <w:spacing w:before="240" w:after="120"/>
      </w:pPr>
      <w:r>
        <w:rPr>
          <w:rFonts w:ascii="Calibri" w:hAnsi="Calibri"/>
          <w:b/>
          <w:color w:val="1F3864"/>
          <w:sz w:val="26"/>
        </w:rPr>
        <w:t>ARTICLE 15.  SOVEREIGN IMMUNITY, GOVERNING LAW, AND DISPUTE FORUM</w:t>
      </w:r>
    </w:p>
    <w:p>
      <w:pPr>
        <w:ind w:left="504"/>
      </w:pPr>
      <w:r>
        <w:rPr>
          <w:b/>
          <w:color w:val="0000C0"/>
        </w:rPr>
        <w:t xml:space="preserve">[ATTORNEY REVIEW REQUIRED]  </w:t>
      </w:r>
      <w:r>
        <w:rPr>
          <w:i/>
          <w:color w:val="595959"/>
        </w:rPr>
        <w:t>This entire Article states bracketed ALTERNATIVES only. Tribal counsel and the Lumbee Tribal Council must select, negotiate, and authorize any waiver scope, governing law, and forum. Nothing here effects a waiver unless expressly and lawfully adopted by the Tribe. See Santa Clara Pueblo v. Martinez, 436 U.S. 49 (1978); C&amp;L Enterprises v. Citizen Band Potawatomi, 532 U.S. 411 (2001); Michigan v. Bay Mills, 572 U.S. 782 (2014) (tribal sovereign immunity; clear express waiver required).</w:t>
      </w:r>
    </w:p>
    <w:p>
      <w:pPr>
        <w:pStyle w:val="Heading2"/>
        <w:spacing w:before="160" w:after="60"/>
      </w:pPr>
      <w:r>
        <w:rPr>
          <w:rFonts w:ascii="Calibri" w:hAnsi="Calibri"/>
          <w:b/>
          <w:color w:val="000000"/>
          <w:sz w:val="22"/>
        </w:rPr>
        <w:t>15.1  Preservation of Sovereign Immunity</w:t>
      </w:r>
    </w:p>
    <w:p>
      <w:r>
        <w:rPr>
          <w:b w:val="0"/>
          <w:i w:val="0"/>
        </w:rPr>
        <w:t>The Lumbee Tribe is a sovereign and, except to the limited extent (if any) expressly waived in writing in accordance with Tribal law, retains its sovereign immunity from unconsented suit, and no provision of this Agreement shall be construed as a waiver of that immunity. A clear, unequivocal, and expressly authorized waiver is required for any limited waiver to be effective.</w:t>
      </w:r>
    </w:p>
    <w:p>
      <w:pPr>
        <w:ind w:left="504"/>
      </w:pPr>
      <w:r>
        <w:rPr>
          <w:b/>
        </w:rPr>
        <w:t xml:space="preserve">(a)  </w:t>
      </w:r>
      <w:r>
        <w:rPr>
          <w:b w:val="0"/>
          <w:i w:val="0"/>
        </w:rPr>
        <w:t>[ALTERNATIVE 1 — No waiver: the Tribe grants no waiver of sovereign immunity; disputes are resolved exclusively through the non-binding escalation and negotiation procedures of the Master TBCP Partnership and Implementation Agreement.]</w:t>
      </w:r>
    </w:p>
    <w:p>
      <w:pPr>
        <w:ind w:left="504"/>
      </w:pPr>
      <w:r>
        <w:rPr>
          <w:b/>
        </w:rPr>
        <w:t xml:space="preserve">(b)  </w:t>
      </w:r>
      <w:r>
        <w:rPr>
          <w:b w:val="0"/>
          <w:i w:val="0"/>
        </w:rPr>
        <w:t xml:space="preserve">[ALTERNATIVE 2 — Limited waiver for arbitration: the Tribe grants a limited, express waiver solely to compel and enforce binding arbitration seated in </w:t>
      </w:r>
      <w:r>
        <w:rPr>
          <w:b w:val="0"/>
          <w:i w:val="0"/>
          <w:color w:val="804000"/>
          <w:highlight w:val="yellow"/>
        </w:rPr>
        <w:t>[■ seat — e.g., Robeson County / agreed venue]</w:t>
      </w:r>
      <w:r>
        <w:rPr>
          <w:b w:val="0"/>
          <w:i w:val="0"/>
        </w:rPr>
        <w:t>, with recovery limited to the assets and revenues expressly pledged and expressly excluding any Trust, restricted, or Federal-Interest asset.]</w:t>
      </w:r>
    </w:p>
    <w:p>
      <w:pPr>
        <w:ind w:left="504"/>
      </w:pPr>
      <w:r>
        <w:rPr>
          <w:b/>
        </w:rPr>
        <w:t xml:space="preserve">(c)  </w:t>
      </w:r>
      <w:r>
        <w:rPr>
          <w:b w:val="0"/>
          <w:i w:val="0"/>
        </w:rPr>
        <w:t xml:space="preserve">[ALTERNATIVE 3 — Limited waiver for specified courts: the Tribe grants a limited, express waiver solely for the </w:t>
      </w:r>
      <w:r>
        <w:rPr>
          <w:b w:val="0"/>
          <w:i w:val="0"/>
          <w:color w:val="804000"/>
          <w:highlight w:val="yellow"/>
        </w:rPr>
        <w:t>[■ forum — Tribal court / federal court / State court, per counsel]</w:t>
      </w:r>
      <w:r>
        <w:rPr>
          <w:b w:val="0"/>
          <w:i w:val="0"/>
        </w:rPr>
        <w:t>, subject to the same asset and remedy limitations.]</w:t>
      </w:r>
    </w:p>
    <w:p>
      <w:pPr>
        <w:ind w:left="504"/>
      </w:pPr>
      <w:r>
        <w:rPr>
          <w:b/>
          <w:color w:val="0000C0"/>
        </w:rPr>
        <w:t xml:space="preserve">[ATTORNEY REVIEW REQUIRED]  </w:t>
      </w:r>
      <w:r>
        <w:rPr>
          <w:i/>
          <w:color w:val="595959"/>
        </w:rPr>
        <w:t>Governing law is bracketed: [Tribal law] / [federal law and, to the extent not preempted, the laws of the State of North Carolina]. Selection is a legal decision for Tribal counsel, and must be reconciled with the Award, applicable federal law, and any land rights under 25 CFR Parts 162/169 where Trust or restricted land is involved.</w:t>
      </w:r>
    </w:p>
    <w:p>
      <w:pPr>
        <w:pStyle w:val="Heading1"/>
        <w:spacing w:before="240" w:after="120"/>
      </w:pPr>
      <w:r>
        <w:rPr>
          <w:rFonts w:ascii="Calibri" w:hAnsi="Calibri"/>
          <w:b/>
          <w:color w:val="1F3864"/>
          <w:sz w:val="26"/>
        </w:rPr>
        <w:t>ARTICLE 16.  GENERAL PROVISIONS</w:t>
      </w:r>
    </w:p>
    <w:p>
      <w:pPr>
        <w:pStyle w:val="Heading2"/>
        <w:spacing w:before="160" w:after="60"/>
      </w:pPr>
      <w:r>
        <w:rPr>
          <w:rFonts w:ascii="Calibri" w:hAnsi="Calibri"/>
          <w:b/>
          <w:color w:val="000000"/>
          <w:sz w:val="22"/>
        </w:rPr>
        <w:t>16.1  Notices</w:t>
      </w:r>
    </w:p>
    <w:p>
      <w:r>
        <w:rPr>
          <w:b w:val="0"/>
          <w:i w:val="0"/>
        </w:rPr>
        <w:t>Notices are given as provided in the Master TBCP Partnership and Implementation Agreement.</w:t>
      </w:r>
    </w:p>
    <w:p>
      <w:pPr>
        <w:pStyle w:val="Heading2"/>
        <w:spacing w:before="160" w:after="60"/>
      </w:pPr>
      <w:r>
        <w:rPr>
          <w:rFonts w:ascii="Calibri" w:hAnsi="Calibri"/>
          <w:b/>
          <w:color w:val="000000"/>
          <w:sz w:val="22"/>
        </w:rPr>
        <w:t>16.2  No Third-Party Beneficiaries</w:t>
      </w:r>
    </w:p>
    <w:p>
      <w:r>
        <w:rPr>
          <w:b w:val="0"/>
          <w:i w:val="0"/>
        </w:rPr>
        <w:t>Except for NTIA/U.S. Department of Commerce as to the Federal Interest and grant-compliance rights, this Agreement creates no third-party beneficiary rights.</w:t>
      </w:r>
    </w:p>
    <w:p>
      <w:pPr>
        <w:pStyle w:val="Heading2"/>
        <w:spacing w:before="160" w:after="60"/>
      </w:pPr>
      <w:r>
        <w:rPr>
          <w:rFonts w:ascii="Calibri" w:hAnsi="Calibri"/>
          <w:b/>
          <w:color w:val="000000"/>
          <w:sz w:val="22"/>
        </w:rPr>
        <w:t>16.3  Severability and Reformation</w:t>
      </w:r>
    </w:p>
    <w:p>
      <w:r>
        <w:rPr>
          <w:b w:val="0"/>
          <w:i w:val="0"/>
        </w:rPr>
        <w:t>If any IRU, exclusivity, payment, or commercial-use term is held invalid or is rejected under the Award, the remainder remains effective and a lawful construction and service provision is preserved, and the term is reformed to the minimum extent necessary, consistent with the precedence rule.</w:t>
      </w:r>
    </w:p>
    <w:p>
      <w:pPr>
        <w:pStyle w:val="Heading2"/>
        <w:spacing w:before="160" w:after="60"/>
      </w:pPr>
      <w:r>
        <w:rPr>
          <w:rFonts w:ascii="Calibri" w:hAnsi="Calibri"/>
          <w:b/>
          <w:color w:val="000000"/>
          <w:sz w:val="22"/>
        </w:rPr>
        <w:t>16.4  Entire Agreement Within the Package</w:t>
      </w:r>
    </w:p>
    <w:p>
      <w:r>
        <w:rPr>
          <w:b w:val="0"/>
          <w:i w:val="0"/>
        </w:rPr>
        <w:t>This Agreement, together with the Master TBCP Partnership and Implementation Agreement, the other Definitive Agreements, and the Schedules, is the entire agreement of the Parties on its subject matter and supersedes prior understandings on that subject.</w:t>
      </w:r>
    </w:p>
    <w:p/>
    <w:p>
      <w:r>
        <w:rPr>
          <w:b/>
          <w:color w:val="C00000"/>
        </w:rPr>
        <w:t xml:space="preserve">DISCLAIMER.  </w:t>
      </w:r>
      <w:r>
        <w:rPr>
          <w:i/>
          <w:color w:val="595959"/>
        </w:rPr>
        <w:t>This document is a PRELIMINARY working draft prepared for discussion only. No controlling TBCP award or source documents were supplied; the provisional baseline is the TBCP Round 2 Notice of Funding Opportunity, as amended March 2024 (PROVISIONAL BASELINE). Round 3 is the live TBCP round as of the version date; the controlling round and executed award must be confirmed before any definitive clause is finalized. It is not final legal, grant-compliance, tax, or financial advice, does not create any binding obligation, and does not constitute an offer. Party names, defined terms, economic terms, routes, useful life, approvals, land rights, and consents shown as placeholders or flags must be verified and completed by qualified Tribal counsel, grant-compliance counsel, and technical and financial advisors, and conformed to the executed federal Award, before any reliance or execution.</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Signatory authority, capacity, and any required Tribal Council resolution or federal/BIA approval must be confirmed before execution.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IRU and Network Access Agreement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