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02.04 — NETWORK INTERCONNECTION, TRANSPORT, EQUIPMENT, AND SHARED FACILITIES AGREEMENT</w:t>
      </w:r>
    </w:p>
    <w:p>
      <w:pPr>
        <w:jc w:val="center"/>
      </w:pPr>
      <w:r>
        <w:rPr>
          <w:b/>
          <w:color w:val="1F3864"/>
          <w:sz w:val="48"/>
        </w:rPr>
        <w:t>Network Interconnection, Transport, Equipment, and Shared Facilities Agreement</w:t>
      </w:r>
    </w:p>
    <w:p>
      <w:pPr>
        <w:jc w:val="center"/>
      </w:pPr>
      <w:r>
        <w:rPr>
          <w:color w:val="595959"/>
          <w:sz w:val="28"/>
        </w:rPr>
        <w:t>Physical and logical interconnection between the Tribal Network and the RIVR Tech Existing Network — with open, nondiscriminatory middle-mile obligations preserved and no capacity provided free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t>This Network Interconnection, Transport, Equipment, and Shared Facilities Agreement (this “Agreement”) is entered into as of [■ Effective Date] (the “Effective Date”), by and between Lumbee Tribe of North Carolina (the “Lumbee Tribe”), and LREMC Technologies, LLC d/b/a RIVR Tech (“RIVR Tech”). The Lumbee Tribe and RIVR Tech are each a “Party” and together the “Parties.”</w:t>
      </w:r>
    </w:p>
    <w:p>
      <w:pPr>
        <w:pStyle w:val="Heading1"/>
        <w:spacing w:before="240" w:after="120"/>
      </w:pPr>
      <w:r>
        <w:rPr>
          <w:rFonts w:ascii="Calibri" w:hAnsi="Calibri"/>
          <w:b/>
          <w:color w:val="1F3864"/>
          <w:sz w:val="26"/>
        </w:rPr>
        <w:t>ARTICLE 1.  DEFINITIONS, INTERPRETATION, AND STRUCTURE</w:t>
      </w:r>
    </w:p>
    <w:p>
      <w:pPr>
        <w:pStyle w:val="Heading2"/>
        <w:spacing w:before="160" w:after="60"/>
      </w:pPr>
      <w:r>
        <w:rPr>
          <w:rFonts w:ascii="Calibri" w:hAnsi="Calibri"/>
          <w:b/>
          <w:color w:val="000000"/>
          <w:sz w:val="22"/>
        </w:rPr>
        <w:t>1.1  Defined Terms</w:t>
      </w:r>
    </w:p>
    <w:p>
      <w:r>
        <w:rPr>
          <w:b w:val="0"/>
          <w:i w:val="0"/>
        </w:rPr>
        <w:t>Capitalized terms have the meanings given in Article 2 (Definitions) of the Master TBCP Partnership and Implementation Agreement, except where expressly defined herein.</w:t>
      </w:r>
    </w:p>
    <w:p>
      <w:pPr>
        <w:pStyle w:val="Heading2"/>
        <w:spacing w:before="160" w:after="60"/>
      </w:pPr>
      <w:r>
        <w:rPr>
          <w:rFonts w:ascii="Calibri" w:hAnsi="Calibri"/>
          <w:b/>
          <w:color w:val="000000"/>
          <w:sz w:val="22"/>
        </w:rPr>
        <w:t>1.2  Purpose and Scope</w:t>
      </w:r>
    </w:p>
    <w:p>
      <w:r>
        <w:rPr>
          <w:b w:val="0"/>
          <w:i w:val="0"/>
        </w:rPr>
        <w:t>This Agreement governs the physical and logical interconnection between the Tribal Network (grant-funded, owned by the Lumbee Tribe) and the RIVR Tech Existing Network (owned by RIVR Tech), and the shared facilities, transport, and equipment on which that interconnection depends. It does not convey title to any asset and is subordinate to the Award.</w:t>
      </w:r>
    </w:p>
    <w:p>
      <w:pPr>
        <w:pStyle w:val="Heading2"/>
        <w:spacing w:before="160" w:after="60"/>
      </w:pPr>
      <w:r>
        <w:rPr>
          <w:rFonts w:ascii="Calibri" w:hAnsi="Calibri"/>
          <w:b/>
          <w:color w:val="000000"/>
          <w:sz w:val="22"/>
        </w:rPr>
        <w:t>1.3  Three Networks / Three Owners</w:t>
      </w:r>
    </w:p>
    <w:p>
      <w:r>
        <w:rPr>
          <w:b w:val="0"/>
          <w:i w:val="0"/>
        </w:rPr>
        <w:t>The Parties acknowledge three distinct asset sets: (i) the Grant-Funded Assets comprising the Tribal Network, owned by the Lumbee Tribe; (ii) the RIVR Tech Existing Network, owned by RIVR Tech; and (iii) the LREMC Facilities, owned by LREMC. Each set retains its own owner; interconnection does not merge ownership.</w:t>
      </w:r>
    </w:p>
    <w:p>
      <w:pPr>
        <w:pStyle w:val="Heading1"/>
        <w:spacing w:before="240" w:after="120"/>
      </w:pPr>
      <w:r>
        <w:rPr>
          <w:rFonts w:ascii="Calibri" w:hAnsi="Calibri"/>
          <w:b/>
          <w:color w:val="1F3864"/>
          <w:sz w:val="26"/>
        </w:rPr>
        <w:t>ARTICLE 2.  POINTS OF INTERCONNECTION AND DEMARCATION</w:t>
      </w:r>
    </w:p>
    <w:p>
      <w:pPr>
        <w:pStyle w:val="Heading2"/>
        <w:spacing w:before="160" w:after="60"/>
      </w:pPr>
      <w:r>
        <w:rPr>
          <w:rFonts w:ascii="Calibri" w:hAnsi="Calibri"/>
          <w:b/>
          <w:color w:val="000000"/>
          <w:sz w:val="22"/>
        </w:rPr>
        <w:t>2.1  Points of Interconnection</w:t>
      </w:r>
    </w:p>
    <w:p>
      <w:r>
        <w:rPr>
          <w:b w:val="0"/>
          <w:i w:val="0"/>
        </w:rPr>
        <w:t>Each Point of Interconnection between the Tribal Network and the RIVR Tech Existing Network is identified, located, and specified on Schedule Engineering Standards, Bill of Materials, Equipment, Interconnection, and Demarcation, including the facility, rack, panel, and port for each Point of Interconnection (</w:t>
      </w:r>
      <w:r>
        <w:rPr>
          <w:b w:val="0"/>
          <w:i w:val="0"/>
          <w:color w:val="804000"/>
          <w:highlight w:val="yellow"/>
        </w:rPr>
        <w:t>[■ POI locations / port assignments]</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2.2  Demarcation</w:t>
      </w:r>
    </w:p>
    <w:p>
      <w:r>
        <w:rPr>
          <w:b w:val="0"/>
          <w:i w:val="0"/>
        </w:rPr>
        <w:t>The Demarcation Point at each Point of Interconnection is the physical and logical boundary between the Tribal Network and the RIVR Tech Existing Network, and fixes the boundary of operational, maintenance, and cost responsibility. Demarcation details are recorded on Schedule Engineering Standards, Bill of Materials, Equipment, Interconnection, and Demarcation.</w:t>
      </w:r>
    </w:p>
    <w:p>
      <w:pPr>
        <w:pStyle w:val="Heading2"/>
        <w:spacing w:before="160" w:after="60"/>
      </w:pPr>
      <w:r>
        <w:rPr>
          <w:rFonts w:ascii="Calibri" w:hAnsi="Calibri"/>
          <w:b/>
          <w:color w:val="000000"/>
          <w:sz w:val="22"/>
        </w:rPr>
        <w:t>2.3  Where a POI Sits in an LREMC Facility</w:t>
      </w:r>
    </w:p>
    <w:p>
      <w:r>
        <w:rPr>
          <w:b w:val="0"/>
          <w:i w:val="0"/>
        </w:rPr>
        <w:t>Where a Point of Interconnection or Demarcation Point is located in or on a LREMC Facilities (hut, cabinet, pole, or site), the underlying facility is owned by LREMC and access to it requires a separate LREMC instrument; this Agreement fixes the interconnection boundary but does not grant any right in the LREMC Facilities.</w:t>
      </w:r>
    </w:p>
    <w:p>
      <w:pPr>
        <w:pStyle w:val="Heading1"/>
        <w:spacing w:before="240" w:after="120"/>
      </w:pPr>
      <w:r>
        <w:rPr>
          <w:rFonts w:ascii="Calibri" w:hAnsi="Calibri"/>
          <w:b/>
          <w:color w:val="1F3864"/>
          <w:sz w:val="26"/>
        </w:rPr>
        <w:t>ARTICLE 3.  OPTICAL AND ETHERNET SPECIFICATIONS; FIBER ASSIGNMENT</w:t>
      </w:r>
    </w:p>
    <w:p>
      <w:pPr>
        <w:pStyle w:val="Heading2"/>
        <w:spacing w:before="160" w:after="60"/>
      </w:pPr>
      <w:r>
        <w:rPr>
          <w:rFonts w:ascii="Calibri" w:hAnsi="Calibri"/>
          <w:b/>
          <w:color w:val="000000"/>
          <w:sz w:val="22"/>
        </w:rPr>
        <w:t>3.1  Optical Specifications</w:t>
      </w:r>
    </w:p>
    <w:p>
      <w:r>
        <w:rPr>
          <w:b w:val="0"/>
          <w:i w:val="0"/>
        </w:rPr>
        <w:t>Optical interconnection uses 1310 nm and 1550 nm with acceptance by bi-directional OTDR; splice loss not exceeding 0.10 dB (average) / 0.30 dB (maximum) per fusion splice; connector loss not exceeding 0.50 dB per mated connector pair; reflectance not exceeding -40 dB (UPC) / -55 dB (APC); and span loss consistent with the span-loss budget calculated at 0.35 dB/km at 1310 nm and 0.25 dB/km at 1550 nm, plus splice and connector losses.</w:t>
      </w:r>
    </w:p>
    <w:p>
      <w:pPr>
        <w:pStyle w:val="Heading2"/>
        <w:spacing w:before="160" w:after="60"/>
      </w:pPr>
      <w:r>
        <w:rPr>
          <w:rFonts w:ascii="Calibri" w:hAnsi="Calibri"/>
          <w:b/>
          <w:color w:val="000000"/>
          <w:sz w:val="22"/>
        </w:rPr>
        <w:t>3.2  Ethernet and Handoff Specifications</w:t>
      </w:r>
    </w:p>
    <w:p>
      <w:r>
        <w:rPr>
          <w:b w:val="0"/>
          <w:i w:val="0"/>
        </w:rPr>
        <w:t>Ethernet handoff rates, framing, MTU, LAG, and VLAN conventions at each Point of Interconnection are specified on Schedule Engineering Standards, Bill of Materials, Equipment, Interconnection, and Demarcation (</w:t>
      </w:r>
      <w:r>
        <w:rPr>
          <w:b w:val="0"/>
          <w:i w:val="0"/>
          <w:color w:val="804000"/>
          <w:highlight w:val="yellow"/>
        </w:rPr>
        <w:t>[■ handoff rate / framing / VLAN plan]</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3.3  Fiber Pairs and Strands</w:t>
      </w:r>
    </w:p>
    <w:p>
      <w:r>
        <w:rPr>
          <w:b w:val="0"/>
          <w:i w:val="0"/>
        </w:rPr>
        <w:t>The specific fiber pairs and strands assigned to interconnection at each Point of Interconnection, and whether they are dedicated or shared, are recorded on Schedules Asset Ownership, Funding Source, Federal Interest, and IRU/Network-Rights Register and Engineering Standards, Bill of Materials, Equipment, Interconnection, and Demarcation (</w:t>
      </w:r>
      <w:r>
        <w:rPr>
          <w:b w:val="0"/>
          <w:i w:val="0"/>
          <w:color w:val="804000"/>
          <w:highlight w:val="yellow"/>
        </w:rPr>
        <w:t>[■ pair/strand assignments]</w:t>
      </w:r>
      <w:r>
        <w:rPr>
          <w:b w:val="0"/>
          <w:i w:val="0"/>
        </w:rPr>
        <w:t xml:space="preserve">, </w:t>
      </w:r>
      <w:r>
        <w:rPr>
          <w:b/>
          <w:i w:val="0"/>
          <w:color w:val="007000"/>
        </w:rPr>
        <w:t>[TECHNICAL INFORMATION REQUIRED]</w:t>
      </w:r>
      <w:r>
        <w:rPr>
          <w:b w:val="0"/>
          <w:i w:val="0"/>
        </w:rPr>
        <w:t>).</w:t>
      </w:r>
    </w:p>
    <w:p>
      <w:pPr>
        <w:pStyle w:val="Heading1"/>
        <w:spacing w:before="240" w:after="120"/>
      </w:pPr>
      <w:r>
        <w:rPr>
          <w:rFonts w:ascii="Calibri" w:hAnsi="Calibri"/>
          <w:b/>
          <w:color w:val="1F3864"/>
          <w:sz w:val="26"/>
        </w:rPr>
        <w:t>ARTICLE 4.  PON ARCHITECTURE AND ACTIVE ELECTRONICS</w:t>
      </w:r>
    </w:p>
    <w:p>
      <w:pPr>
        <w:pStyle w:val="Heading2"/>
        <w:spacing w:before="160" w:after="60"/>
      </w:pPr>
      <w:r>
        <w:rPr>
          <w:rFonts w:ascii="Calibri" w:hAnsi="Calibri"/>
          <w:b/>
          <w:color w:val="000000"/>
          <w:sz w:val="22"/>
        </w:rPr>
        <w:t>4.1  PON Architecture</w:t>
      </w:r>
    </w:p>
    <w:p>
      <w:r>
        <w:rPr>
          <w:b w:val="0"/>
          <w:i w:val="0"/>
        </w:rPr>
        <w:t>The passive optical network architecture, including split ratios, splitter placement, and wavelength plan, is specified on Schedule Engineering Standards, Bill of Materials, Equipment, Interconnection, and Demarcation (</w:t>
      </w:r>
      <w:r>
        <w:rPr>
          <w:b w:val="0"/>
          <w:i w:val="0"/>
          <w:color w:val="804000"/>
          <w:highlight w:val="yellow"/>
        </w:rPr>
        <w:t>[■ PON architecture / split ratios]</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4.2  OLT / ONT / Splitter Responsibility</w:t>
      </w:r>
    </w:p>
    <w:p>
      <w:r>
        <w:rPr>
          <w:b w:val="0"/>
          <w:i w:val="0"/>
        </w:rPr>
        <w:t>Responsibility for the optical line terminals (OLT), optical network terminals (ONT), and splitters — ownership, funding source, operation, and maintenance — is allocated on Schedule Engineering Standards, Bill of Materials, Equipment, Interconnection, and Demarcation, distinguishing grant-funded elements (owned by the Lumbee Tribe, subject to the Federal Interest) from RIVR Tech-owned elements (</w:t>
      </w:r>
      <w:r>
        <w:rPr>
          <w:b w:val="0"/>
          <w:i w:val="0"/>
          <w:color w:val="804000"/>
          <w:highlight w:val="yellow"/>
        </w:rPr>
        <w:t>[■ OLT/ONT/splitter ownership matrix]</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4.3  Routers and Switches</w:t>
      </w:r>
    </w:p>
    <w:p>
      <w:r>
        <w:rPr>
          <w:b w:val="0"/>
          <w:i w:val="0"/>
        </w:rPr>
        <w:t>The routers, switches, and aggregation equipment at each Point of Interconnection, and their ownership and management boundary, are specified on Schedule Engineering Standards, Bill of Materials, Equipment, Interconnection, and Demarcation (</w:t>
      </w:r>
      <w:r>
        <w:rPr>
          <w:b w:val="0"/>
          <w:i w:val="0"/>
          <w:color w:val="804000"/>
          <w:highlight w:val="yellow"/>
        </w:rPr>
        <w:t>[■ router/switch inventory and ownership]</w:t>
      </w:r>
      <w:r>
        <w:rPr>
          <w:b w:val="0"/>
          <w:i w:val="0"/>
        </w:rPr>
        <w:t xml:space="preserve">, </w:t>
      </w:r>
      <w:r>
        <w:rPr>
          <w:b/>
          <w:i w:val="0"/>
          <w:color w:val="007000"/>
        </w:rPr>
        <w:t>[TECHNICAL INFORMATION REQUIRED]</w:t>
      </w:r>
      <w:r>
        <w:rPr>
          <w:b w:val="0"/>
          <w:i w:val="0"/>
        </w:rPr>
        <w:t>).</w:t>
      </w:r>
    </w:p>
    <w:p>
      <w:pPr>
        <w:pStyle w:val="Heading1"/>
        <w:spacing w:before="240" w:after="120"/>
      </w:pPr>
      <w:r>
        <w:rPr>
          <w:rFonts w:ascii="Calibri" w:hAnsi="Calibri"/>
          <w:b/>
          <w:color w:val="1F3864"/>
          <w:sz w:val="26"/>
        </w:rPr>
        <w:t>ARTICLE 5.  INTERNET TRANSIT, BACKHAUL, IP ADDRESSING, AND VOICE</w:t>
      </w:r>
    </w:p>
    <w:p>
      <w:pPr>
        <w:pStyle w:val="Heading2"/>
        <w:spacing w:before="160" w:after="60"/>
      </w:pPr>
      <w:r>
        <w:rPr>
          <w:rFonts w:ascii="Calibri" w:hAnsi="Calibri"/>
          <w:b/>
          <w:color w:val="000000"/>
          <w:sz w:val="22"/>
        </w:rPr>
        <w:t>5.1  Internet Transit</w:t>
      </w:r>
    </w:p>
    <w:p>
      <w:r>
        <w:rPr>
          <w:b w:val="0"/>
          <w:i w:val="0"/>
        </w:rPr>
        <w:t>Internet transit provisioning, capacity, and cost responsibility are specified on Schedule Engineering Standards, Bill of Materials, Equipment, Interconnection, and Demarcation; any transit supplied over the RIVR Tech Existing Network is valued and cost-allocated under Article 13 and Schedule Approved Commercial Capacity, Non-Project Use, Non-Tribal Customers, Valuation, and Cost Allocation and is not provided free (</w:t>
      </w:r>
      <w:r>
        <w:rPr>
          <w:b w:val="0"/>
          <w:i w:val="0"/>
          <w:color w:val="804000"/>
          <w:highlight w:val="yellow"/>
        </w:rPr>
        <w:t>[■ transit source / capacity]</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5.2  Backhaul</w:t>
      </w:r>
    </w:p>
    <w:p>
      <w:r>
        <w:rPr>
          <w:b w:val="0"/>
          <w:i w:val="0"/>
        </w:rPr>
        <w:t>Backhaul paths, capacities, protection, and any reliance on the RIVR Tech Existing Network or on LREMC Facilities routes are specified on Schedule Engineering Standards, Bill of Materials, Equipment, Interconnection, and Demarcation (</w:t>
      </w:r>
      <w:r>
        <w:rPr>
          <w:b w:val="0"/>
          <w:i w:val="0"/>
          <w:color w:val="804000"/>
          <w:highlight w:val="yellow"/>
        </w:rPr>
        <w:t>[■ backhaul paths / capacities]</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5.3  IP Addressing and DNS</w:t>
      </w:r>
    </w:p>
    <w:p>
      <w:r>
        <w:rPr>
          <w:b w:val="0"/>
          <w:i w:val="0"/>
        </w:rPr>
        <w:t>IP address blocks, routing (including any BGP/ASN arrangements), and DNS responsibility are allocated on Schedule Engineering Standards, Bill of Materials, Equipment, Interconnection, and Demarcation (</w:t>
      </w:r>
      <w:r>
        <w:rPr>
          <w:b w:val="0"/>
          <w:i w:val="0"/>
          <w:color w:val="804000"/>
          <w:highlight w:val="yellow"/>
        </w:rPr>
        <w:t>[■ IP/ASN/DNS assignments]</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5.4  Voice Dependencies</w:t>
      </w:r>
    </w:p>
    <w:p>
      <w:r>
        <w:rPr>
          <w:b w:val="0"/>
          <w:i w:val="0"/>
        </w:rPr>
        <w:t>Any voice service dependencies (softswitch, SBC, E911/NG911, and interconnection with the public network) are specified on Schedule Engineering Standards, Bill of Materials, Equipment, Interconnection, and Demarcation, with regulatory obligations noted (</w:t>
      </w:r>
      <w:r>
        <w:rPr>
          <w:b w:val="0"/>
          <w:i w:val="0"/>
          <w:color w:val="804000"/>
          <w:highlight w:val="yellow"/>
        </w:rPr>
        <w:t>[■ voice architecture / E911]</w:t>
      </w:r>
      <w:r>
        <w:rPr>
          <w:b w:val="0"/>
          <w:i w:val="0"/>
        </w:rPr>
        <w:t xml:space="preserve">, </w:t>
      </w:r>
      <w:r>
        <w:rPr>
          <w:b/>
          <w:i w:val="0"/>
          <w:color w:val="007000"/>
        </w:rPr>
        <w:t>[TECHNICAL INFORMATION REQUIRED]</w:t>
      </w:r>
      <w:r>
        <w:rPr>
          <w:b w:val="0"/>
          <w:i w:val="0"/>
        </w:rPr>
        <w:t>).</w:t>
      </w:r>
    </w:p>
    <w:p>
      <w:pPr>
        <w:ind w:left="504"/>
      </w:pPr>
      <w:r>
        <w:rPr>
          <w:b/>
          <w:color w:val="0000C0"/>
        </w:rPr>
        <w:t xml:space="preserve">[ATTORNEY REVIEW REQUIRED]  </w:t>
      </w:r>
      <w:r>
        <w:rPr>
          <w:i/>
          <w:color w:val="595959"/>
        </w:rPr>
        <w:t>Voice/E911 arrangements may trigger USAC/FCC obligations (47 CFR Part 54 (USAC/FCC universal service, Lifeline, and ETC requirements)) and CPNI duties (47 U.S.C. § 222 and 47 CFR §§ 64.2001–64.2011 (Customer Proprietary Network Information)); confirm applicability.</w:t>
      </w:r>
    </w:p>
    <w:p>
      <w:pPr>
        <w:pStyle w:val="Heading1"/>
        <w:spacing w:before="240" w:after="120"/>
      </w:pPr>
      <w:r>
        <w:rPr>
          <w:rFonts w:ascii="Calibri" w:hAnsi="Calibri"/>
          <w:b/>
          <w:color w:val="1F3864"/>
          <w:sz w:val="26"/>
        </w:rPr>
        <w:t>ARTICLE 6.  RACK SPACE, HUTS, POWER, ENVIRONMENT, AND GROUNDING</w:t>
      </w:r>
    </w:p>
    <w:p>
      <w:pPr>
        <w:pStyle w:val="Heading2"/>
        <w:spacing w:before="160" w:after="60"/>
      </w:pPr>
      <w:r>
        <w:rPr>
          <w:rFonts w:ascii="Calibri" w:hAnsi="Calibri"/>
          <w:b/>
          <w:color w:val="000000"/>
          <w:sz w:val="22"/>
        </w:rPr>
        <w:t>6.1  Rack Space, Huts, and Cabinets</w:t>
      </w:r>
    </w:p>
    <w:p>
      <w:r>
        <w:rPr>
          <w:b w:val="0"/>
          <w:i w:val="0"/>
        </w:rPr>
        <w:t>Rack space, huts, and cabinets used for interconnection are specified on Schedules Engineering Standards, Bill of Materials, Equipment, Interconnection, and Demarcation and Land, Poles, Sites, Power, Permits, Shared Facilities, and Owner Consents, noting the owner of each (</w:t>
      </w:r>
      <w:r>
        <w:rPr>
          <w:b w:val="0"/>
          <w:i w:val="0"/>
          <w:color w:val="804000"/>
          <w:highlight w:val="yellow"/>
        </w:rPr>
        <w:t>[■ rack/hut/cabinet inventory and owner]</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6.2  Power, Generators, HVAC, and Grounding</w:t>
      </w:r>
    </w:p>
    <w:p>
      <w:r>
        <w:rPr>
          <w:b w:val="0"/>
          <w:i w:val="0"/>
        </w:rPr>
        <w:t>Power feeds, backup generators, HVAC, and grounding at each shared site are specified on Schedule Land, Poles, Sites, Power, Permits, Shared Facilities, and Owner Consents (</w:t>
      </w:r>
      <w:r>
        <w:rPr>
          <w:b w:val="0"/>
          <w:i w:val="0"/>
          <w:color w:val="804000"/>
          <w:highlight w:val="yellow"/>
        </w:rPr>
        <w:t>[■ power/generator/HVAC/grounding detail]</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6.3  LREMC-Owned Facilities and Power</w:t>
      </w:r>
    </w:p>
    <w:p>
      <w:r>
        <w:rPr>
          <w:b w:val="0"/>
          <w:i w:val="0"/>
        </w:rPr>
        <w:t>Where a hut, cabinet, site, pole, easement, land, or power feed is a LREMC Facilities, it is owned by LREMC and made available, if at all, only under a separate LREMC consent, license, lease, pole-attachment, easement, or facility instrument (see Article 15, the Land, Easement, Right-of-Way, Pole, Site, Power, and Facility Instruments, and the LREMC Consent). Nothing in this Agreement grants RIVR Tech or the Tribe any right in the LREMC Facilities, and any LREMC Facilities use is valued and never assumed free.</w:t>
      </w:r>
    </w:p>
    <w:p>
      <w:pPr>
        <w:ind w:left="504"/>
      </w:pPr>
      <w:r>
        <w:rPr>
          <w:b/>
          <w:color w:val="0000C0"/>
        </w:rPr>
        <w:t xml:space="preserve">[ATTORNEY REVIEW REQUIRED]  </w:t>
      </w:r>
      <w:r>
        <w:rPr>
          <w:i/>
          <w:color w:val="595959"/>
        </w:rPr>
        <w:t>Every LREMC pole/easement/site/power dependency requires a separate, owner-executed instrument; confirm N.C. pole-attachment (N.C. Gen. Stat. § 62-350 (broadband attachment to utility poles)) and dig-safety (N.C. Gen. Stat. Ch. 87, Art. 8A (Underground Utility Safety and Damage Prevention Act / 811 locates)) requirements.</w:t>
      </w:r>
    </w:p>
    <w:p>
      <w:pPr>
        <w:pStyle w:val="Heading1"/>
        <w:spacing w:before="240" w:after="120"/>
      </w:pPr>
      <w:r>
        <w:rPr>
          <w:rFonts w:ascii="Calibri" w:hAnsi="Calibri"/>
          <w:b/>
          <w:color w:val="1F3864"/>
          <w:sz w:val="26"/>
        </w:rPr>
        <w:t>ARTICLE 7.  MONITORING, SOFTWARE, SPARES, AND SECURITY</w:t>
      </w:r>
    </w:p>
    <w:p>
      <w:pPr>
        <w:pStyle w:val="Heading2"/>
        <w:spacing w:before="160" w:after="60"/>
      </w:pPr>
      <w:r>
        <w:rPr>
          <w:rFonts w:ascii="Calibri" w:hAnsi="Calibri"/>
          <w:b/>
          <w:color w:val="000000"/>
          <w:sz w:val="22"/>
        </w:rPr>
        <w:t>7.1  Monitoring</w:t>
      </w:r>
    </w:p>
    <w:p>
      <w:r>
        <w:rPr>
          <w:b w:val="0"/>
          <w:i w:val="0"/>
        </w:rPr>
        <w:t>Network monitoring, NOC responsibility, alarms, and performance data sharing operate on a 24 hours per day, 7 days per week, 365 days per year basis, coordinated with the Network Operations, Maintenance, and Lifecycle Agreement and Schedule Operations, Service Levels, Lifecycle, Spares, Refresh, and Reserves.</w:t>
      </w:r>
    </w:p>
    <w:p>
      <w:pPr>
        <w:pStyle w:val="Heading2"/>
        <w:spacing w:before="160" w:after="60"/>
      </w:pPr>
      <w:r>
        <w:rPr>
          <w:rFonts w:ascii="Calibri" w:hAnsi="Calibri"/>
          <w:b/>
          <w:color w:val="000000"/>
          <w:sz w:val="22"/>
        </w:rPr>
        <w:t>7.2  Software Licenses</w:t>
      </w:r>
    </w:p>
    <w:p>
      <w:r>
        <w:rPr>
          <w:b w:val="0"/>
          <w:i w:val="0"/>
        </w:rPr>
        <w:t>Element-management, OSS/BSS, and equipment software licenses used at the interconnection, and their assignability and cost, are identified on Schedule Engineering Standards, Bill of Materials, Equipment, Interconnection, and Demarcation; grant-funded intangibles are handled under 2 CFR 200.315 (Intangible property).</w:t>
      </w:r>
    </w:p>
    <w:p>
      <w:pPr>
        <w:pStyle w:val="Heading2"/>
        <w:spacing w:before="160" w:after="60"/>
      </w:pPr>
      <w:r>
        <w:rPr>
          <w:rFonts w:ascii="Calibri" w:hAnsi="Calibri"/>
          <w:b/>
          <w:color w:val="000000"/>
          <w:sz w:val="22"/>
        </w:rPr>
        <w:t>7.3  Spares</w:t>
      </w:r>
    </w:p>
    <w:p>
      <w:r>
        <w:rPr>
          <w:b w:val="0"/>
          <w:i w:val="0"/>
        </w:rPr>
        <w:t>Interconnection spares, sparing ratios, and replenishment are handled under the Network Operations, Maintenance, and Lifecycle Agreement and Schedule Operations, Service Levels, Lifecycle, Spares, Refresh, and Reserves.</w:t>
      </w:r>
    </w:p>
    <w:p>
      <w:pPr>
        <w:pStyle w:val="Heading2"/>
        <w:spacing w:before="160" w:after="60"/>
      </w:pPr>
      <w:r>
        <w:rPr>
          <w:rFonts w:ascii="Calibri" w:hAnsi="Calibri"/>
          <w:b/>
          <w:color w:val="000000"/>
          <w:sz w:val="22"/>
        </w:rPr>
        <w:t>7.4  Security and Supply-Chain</w:t>
      </w:r>
    </w:p>
    <w:p>
      <w:r>
        <w:rPr>
          <w:b w:val="0"/>
          <w:i w:val="0"/>
        </w:rPr>
        <w:t>Physical and logical security, and supply-chain restrictions, follow the Data Privacy, Cybersecurity, Supply-Chain Risk, and Business Continuity Addendum and Schedule Data, Privacy, Cybersecurity, Supply-Chain Risk, Incident Response, and Disaster Recovery. No covered telecommunications or video-surveillance equipment prohibited by 2 CFR 200.216 (Prohibition on certain telecommunications and video surveillance — §889 covered equipment) may be used, and Build America, Buy America requirements (Build America, Buy America Act, IIJA §§ 70911–70917 (Pub. L. 117-58); 2 CFR Part 184; and NTIA BABA award terms) apply to grant-funded elements.</w:t>
      </w:r>
    </w:p>
    <w:p>
      <w:pPr>
        <w:pStyle w:val="Heading1"/>
        <w:spacing w:before="240" w:after="120"/>
      </w:pPr>
      <w:r>
        <w:rPr>
          <w:rFonts w:ascii="Calibri" w:hAnsi="Calibri"/>
          <w:b/>
          <w:color w:val="1F3864"/>
          <w:sz w:val="26"/>
        </w:rPr>
        <w:t>ARTICLE 8.  CAPACITY FORECASTS, AUGMENTATION, AND TESTING</w:t>
      </w:r>
    </w:p>
    <w:p>
      <w:pPr>
        <w:pStyle w:val="Heading2"/>
        <w:spacing w:before="160" w:after="60"/>
      </w:pPr>
      <w:r>
        <w:rPr>
          <w:rFonts w:ascii="Calibri" w:hAnsi="Calibri"/>
          <w:b/>
          <w:color w:val="000000"/>
          <w:sz w:val="22"/>
        </w:rPr>
        <w:t>8.1  Capacity Forecasts and Augmentation</w:t>
      </w:r>
    </w:p>
    <w:p>
      <w:r>
        <w:rPr>
          <w:b w:val="0"/>
          <w:i w:val="0"/>
        </w:rPr>
        <w:t>The Parties exchange capacity forecasts and coordinate augmentation of interconnection capacity so that neither the Tribal Network nor the RIVR Tech Existing Network is congested; augmentation cost is allocated under Article 13. Reserved Tribal/project capacity is protected per Schedule Approved Commercial Capacity, Non-Project Use, Non-Tribal Customers, Valuation, and Cost Allocation (</w:t>
      </w:r>
      <w:r>
        <w:rPr>
          <w:b w:val="0"/>
          <w:i w:val="0"/>
          <w:color w:val="804000"/>
          <w:highlight w:val="yellow"/>
        </w:rPr>
        <w:t>[■ forecast horizon / augmentation triggers]</w:t>
      </w:r>
      <w:r>
        <w:rPr>
          <w:b w:val="0"/>
          <w:i w:val="0"/>
        </w:rPr>
        <w:t xml:space="preserve">, </w:t>
      </w:r>
      <w:r>
        <w:rPr>
          <w:b/>
          <w:i w:val="0"/>
          <w:color w:val="007000"/>
        </w:rPr>
        <w:t>[TECHNICAL INFORMATION REQUIRED]</w:t>
      </w:r>
      <w:r>
        <w:rPr>
          <w:b w:val="0"/>
          <w:i w:val="0"/>
        </w:rPr>
        <w:t>).</w:t>
      </w:r>
    </w:p>
    <w:p>
      <w:pPr>
        <w:pStyle w:val="Heading2"/>
        <w:spacing w:before="160" w:after="60"/>
      </w:pPr>
      <w:r>
        <w:rPr>
          <w:rFonts w:ascii="Calibri" w:hAnsi="Calibri"/>
          <w:b/>
          <w:color w:val="000000"/>
          <w:sz w:val="22"/>
        </w:rPr>
        <w:t>8.2  Testing</w:t>
      </w:r>
    </w:p>
    <w:p>
      <w:r>
        <w:rPr>
          <w:b w:val="0"/>
          <w:i w:val="0"/>
        </w:rPr>
        <w:t>Interconnection commissioning and periodic testing use the optical acceptance standards of Article 3 and the procedures of Schedule Engineering Standards, Bill of Materials, Equipment, Interconnection, and Demarcation.</w:t>
      </w:r>
    </w:p>
    <w:p>
      <w:pPr>
        <w:pStyle w:val="Heading1"/>
        <w:spacing w:before="240" w:after="120"/>
      </w:pPr>
      <w:r>
        <w:rPr>
          <w:rFonts w:ascii="Calibri" w:hAnsi="Calibri"/>
          <w:b/>
          <w:color w:val="1F3864"/>
          <w:sz w:val="26"/>
        </w:rPr>
        <w:t>ARTICLE 9.  MAINTENANCE, OUTAGE COORDINATION, RESTORATION, AND SERVICE LEVELS</w:t>
      </w:r>
    </w:p>
    <w:p>
      <w:pPr>
        <w:pStyle w:val="Heading2"/>
        <w:spacing w:before="160" w:after="60"/>
      </w:pPr>
      <w:r>
        <w:rPr>
          <w:rFonts w:ascii="Calibri" w:hAnsi="Calibri"/>
          <w:b/>
          <w:color w:val="000000"/>
          <w:sz w:val="22"/>
        </w:rPr>
        <w:t>9.1  Planned Maintenance and Outage Coordination</w:t>
      </w:r>
    </w:p>
    <w:p>
      <w:r>
        <w:rPr>
          <w:b w:val="0"/>
          <w:i w:val="0"/>
        </w:rPr>
        <w:t>Planned maintenance is coordinated with advance notice and maintenance windows, and outages are jointly managed, under the Network Operations, Maintenance, and Lifecycle Agreement and Schedule Operations, Service Levels, Lifecycle, Spares, Refresh, and Reserves.</w:t>
      </w:r>
    </w:p>
    <w:p>
      <w:pPr>
        <w:pStyle w:val="Heading2"/>
        <w:spacing w:before="160" w:after="60"/>
      </w:pPr>
      <w:r>
        <w:rPr>
          <w:rFonts w:ascii="Calibri" w:hAnsi="Calibri"/>
          <w:b/>
          <w:color w:val="000000"/>
          <w:sz w:val="22"/>
        </w:rPr>
        <w:t>9.2  Restoration Priority</w:t>
      </w:r>
    </w:p>
    <w:p>
      <w:r>
        <w:rPr>
          <w:b w:val="0"/>
          <w:i w:val="0"/>
        </w:rPr>
        <w:t>Restoration priority follows the severity model of the Network Operations, Maintenance, and Lifecycle Agreement and Schedule Operations, Service Levels, Lifecycle, Spares, Refresh, and Reserves, prioritizing continuity of Essential Services and public safety.</w:t>
      </w:r>
    </w:p>
    <w:p>
      <w:pPr>
        <w:pStyle w:val="Heading2"/>
        <w:spacing w:before="160" w:after="60"/>
      </w:pPr>
      <w:r>
        <w:rPr>
          <w:rFonts w:ascii="Calibri" w:hAnsi="Calibri"/>
          <w:b/>
          <w:color w:val="000000"/>
          <w:sz w:val="22"/>
        </w:rPr>
        <w:t>9.3  Service Levels</w:t>
      </w:r>
    </w:p>
    <w:p>
      <w:r>
        <w:rPr>
          <w:b w:val="0"/>
          <w:i w:val="0"/>
        </w:rPr>
        <w:t>Interconnection service levels are those of Schedule Operations, Service Levels, Lifecycle, Spares, Refresh, and Reserves and the Network Operations, Maintenance, and Lifecycle Agreement, including the availability target of 99.9% and the severity response, dispatch, and restoration targets summarized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864"/>
            <w:vAlign w:val="center"/>
          </w:tcPr>
          <w:p>
            <w:pPr>
              <w:jc w:val="center"/>
            </w:pPr>
            <w:r>
              <w:rPr>
                <w:b/>
                <w:color w:val="FFFFFF"/>
                <w:sz w:val="18"/>
              </w:rPr>
              <w:t>Severity</w:t>
            </w:r>
          </w:p>
        </w:tc>
        <w:tc>
          <w:tcPr>
            <w:tcW w:type="dxa" w:w="2016"/>
            <w:shd w:val="clear" w:color="auto" w:fill="1F3864"/>
            <w:vAlign w:val="center"/>
          </w:tcPr>
          <w:p>
            <w:pPr>
              <w:jc w:val="center"/>
            </w:pPr>
            <w:r>
              <w:rPr>
                <w:b/>
                <w:color w:val="FFFFFF"/>
                <w:sz w:val="18"/>
              </w:rPr>
              <w:t>Response</w:t>
            </w:r>
          </w:p>
        </w:tc>
        <w:tc>
          <w:tcPr>
            <w:tcW w:type="dxa" w:w="2016"/>
            <w:shd w:val="clear" w:color="auto" w:fill="1F3864"/>
            <w:vAlign w:val="center"/>
          </w:tcPr>
          <w:p>
            <w:pPr>
              <w:jc w:val="center"/>
            </w:pPr>
            <w:r>
              <w:rPr>
                <w:b/>
                <w:color w:val="FFFFFF"/>
                <w:sz w:val="18"/>
              </w:rPr>
              <w:t>Dispatch</w:t>
            </w:r>
          </w:p>
        </w:tc>
        <w:tc>
          <w:tcPr>
            <w:tcW w:type="dxa" w:w="2016"/>
            <w:shd w:val="clear" w:color="auto" w:fill="1F3864"/>
            <w:vAlign w:val="center"/>
          </w:tcPr>
          <w:p>
            <w:pPr>
              <w:jc w:val="center"/>
            </w:pPr>
            <w:r>
              <w:rPr>
                <w:b/>
                <w:color w:val="FFFFFF"/>
                <w:sz w:val="18"/>
              </w:rPr>
              <w:t>Restore</w:t>
            </w:r>
          </w:p>
        </w:tc>
      </w:tr>
      <w:tr>
        <w:tc>
          <w:tcPr>
            <w:tcW w:type="dxa" w:w="2448"/>
            <w:vAlign w:val="center"/>
          </w:tcPr>
          <w:p>
            <w:r>
              <w:rPr>
                <w:b w:val="0"/>
                <w:i w:val="0"/>
                <w:sz w:val="18"/>
              </w:rPr>
              <w:t>P1 (Critical)</w:t>
            </w:r>
          </w:p>
        </w:tc>
        <w:tc>
          <w:tcPr>
            <w:tcW w:type="dxa" w:w="2016"/>
            <w:vAlign w:val="center"/>
          </w:tcPr>
          <w:p>
            <w:pPr>
              <w:jc w:val="center"/>
            </w:pPr>
            <w:r>
              <w:rPr>
                <w:b w:val="0"/>
                <w:i w:val="0"/>
                <w:sz w:val="18"/>
              </w:rPr>
              <w:t>15 min</w:t>
            </w:r>
          </w:p>
        </w:tc>
        <w:tc>
          <w:tcPr>
            <w:tcW w:type="dxa" w:w="2016"/>
            <w:vAlign w:val="center"/>
          </w:tcPr>
          <w:p>
            <w:pPr>
              <w:jc w:val="center"/>
            </w:pPr>
            <w:r>
              <w:rPr>
                <w:b w:val="0"/>
                <w:i w:val="0"/>
                <w:sz w:val="18"/>
              </w:rPr>
              <w:t>2 hr</w:t>
            </w:r>
          </w:p>
        </w:tc>
        <w:tc>
          <w:tcPr>
            <w:tcW w:type="dxa" w:w="2016"/>
            <w:vAlign w:val="center"/>
          </w:tcPr>
          <w:p>
            <w:pPr>
              <w:jc w:val="center"/>
            </w:pPr>
            <w:r>
              <w:rPr>
                <w:b w:val="0"/>
                <w:i w:val="0"/>
                <w:sz w:val="18"/>
              </w:rPr>
              <w:t>8 hr</w:t>
            </w:r>
          </w:p>
        </w:tc>
      </w:tr>
      <w:tr>
        <w:tc>
          <w:tcPr>
            <w:tcW w:type="dxa" w:w="2448"/>
            <w:shd w:val="clear" w:color="auto" w:fill="F2F2F2"/>
            <w:vAlign w:val="center"/>
          </w:tcPr>
          <w:p>
            <w:r>
              <w:rPr>
                <w:b w:val="0"/>
                <w:i w:val="0"/>
                <w:sz w:val="18"/>
              </w:rPr>
              <w:t>P2 (Major)</w:t>
            </w:r>
          </w:p>
        </w:tc>
        <w:tc>
          <w:tcPr>
            <w:tcW w:type="dxa" w:w="2016"/>
            <w:shd w:val="clear" w:color="auto" w:fill="F2F2F2"/>
            <w:vAlign w:val="center"/>
          </w:tcPr>
          <w:p>
            <w:pPr>
              <w:jc w:val="center"/>
            </w:pPr>
            <w:r>
              <w:rPr>
                <w:b w:val="0"/>
                <w:i w:val="0"/>
                <w:sz w:val="18"/>
              </w:rPr>
              <w:t>30 min</w:t>
            </w:r>
          </w:p>
        </w:tc>
        <w:tc>
          <w:tcPr>
            <w:tcW w:type="dxa" w:w="2016"/>
            <w:shd w:val="clear" w:color="auto" w:fill="F2F2F2"/>
            <w:vAlign w:val="center"/>
          </w:tcPr>
          <w:p>
            <w:pPr>
              <w:jc w:val="center"/>
            </w:pPr>
            <w:r>
              <w:rPr>
                <w:b w:val="0"/>
                <w:i w:val="0"/>
                <w:sz w:val="18"/>
              </w:rPr>
              <w:t>4 hr</w:t>
            </w:r>
          </w:p>
        </w:tc>
        <w:tc>
          <w:tcPr>
            <w:tcW w:type="dxa" w:w="2016"/>
            <w:shd w:val="clear" w:color="auto" w:fill="F2F2F2"/>
            <w:vAlign w:val="center"/>
          </w:tcPr>
          <w:p>
            <w:pPr>
              <w:jc w:val="center"/>
            </w:pPr>
            <w:r>
              <w:rPr>
                <w:b w:val="0"/>
                <w:i w:val="0"/>
                <w:sz w:val="18"/>
              </w:rPr>
              <w:t>24 hr</w:t>
            </w:r>
          </w:p>
        </w:tc>
      </w:tr>
      <w:tr>
        <w:tc>
          <w:tcPr>
            <w:tcW w:type="dxa" w:w="2448"/>
            <w:vAlign w:val="center"/>
          </w:tcPr>
          <w:p>
            <w:r>
              <w:rPr>
                <w:b w:val="0"/>
                <w:i w:val="0"/>
                <w:sz w:val="18"/>
              </w:rPr>
              <w:t>P3 (Minor)</w:t>
            </w:r>
          </w:p>
        </w:tc>
        <w:tc>
          <w:tcPr>
            <w:tcW w:type="dxa" w:w="2016"/>
            <w:vAlign w:val="center"/>
          </w:tcPr>
          <w:p>
            <w:pPr>
              <w:jc w:val="center"/>
            </w:pPr>
            <w:r>
              <w:rPr>
                <w:b w:val="0"/>
                <w:i w:val="0"/>
                <w:sz w:val="18"/>
              </w:rPr>
              <w:t>4 hr</w:t>
            </w:r>
          </w:p>
        </w:tc>
        <w:tc>
          <w:tcPr>
            <w:tcW w:type="dxa" w:w="2016"/>
            <w:vAlign w:val="center"/>
          </w:tcPr>
          <w:p>
            <w:pPr>
              <w:jc w:val="center"/>
            </w:pPr>
            <w:r>
              <w:rPr>
                <w:b w:val="0"/>
                <w:i w:val="0"/>
                <w:sz w:val="18"/>
              </w:rPr>
              <w:t>24 hr</w:t>
            </w:r>
          </w:p>
        </w:tc>
        <w:tc>
          <w:tcPr>
            <w:tcW w:type="dxa" w:w="2016"/>
            <w:vAlign w:val="center"/>
          </w:tcPr>
          <w:p>
            <w:pPr>
              <w:jc w:val="center"/>
            </w:pPr>
            <w:r>
              <w:rPr>
                <w:b w:val="0"/>
                <w:i w:val="0"/>
                <w:sz w:val="18"/>
              </w:rPr>
              <w:t>5 days</w:t>
            </w:r>
          </w:p>
        </w:tc>
      </w:tr>
      <w:tr>
        <w:tc>
          <w:tcPr>
            <w:tcW w:type="dxa" w:w="2448"/>
            <w:shd w:val="clear" w:color="auto" w:fill="F2F2F2"/>
            <w:vAlign w:val="center"/>
          </w:tcPr>
          <w:p>
            <w:r>
              <w:rPr>
                <w:b w:val="0"/>
                <w:i w:val="0"/>
                <w:sz w:val="18"/>
              </w:rPr>
              <w:t>P4 (Low)</w:t>
            </w:r>
          </w:p>
        </w:tc>
        <w:tc>
          <w:tcPr>
            <w:tcW w:type="dxa" w:w="2016"/>
            <w:shd w:val="clear" w:color="auto" w:fill="F2F2F2"/>
            <w:vAlign w:val="center"/>
          </w:tcPr>
          <w:p>
            <w:pPr>
              <w:jc w:val="center"/>
            </w:pPr>
            <w:r>
              <w:rPr>
                <w:b w:val="0"/>
                <w:i w:val="0"/>
                <w:sz w:val="18"/>
              </w:rPr>
              <w:t>8 hr</w:t>
            </w:r>
          </w:p>
        </w:tc>
        <w:tc>
          <w:tcPr>
            <w:tcW w:type="dxa" w:w="2016"/>
            <w:shd w:val="clear" w:color="auto" w:fill="F2F2F2"/>
            <w:vAlign w:val="center"/>
          </w:tcPr>
          <w:p>
            <w:pPr>
              <w:jc w:val="center"/>
            </w:pPr>
            <w:r>
              <w:rPr>
                <w:b w:val="0"/>
                <w:i w:val="0"/>
                <w:sz w:val="18"/>
              </w:rPr>
              <w:t>—</w:t>
            </w:r>
          </w:p>
        </w:tc>
        <w:tc>
          <w:tcPr>
            <w:tcW w:type="dxa" w:w="2016"/>
            <w:shd w:val="clear" w:color="auto" w:fill="F2F2F2"/>
            <w:vAlign w:val="center"/>
          </w:tcPr>
          <w:p>
            <w:pPr>
              <w:jc w:val="center"/>
            </w:pPr>
            <w:r>
              <w:rPr>
                <w:b w:val="0"/>
                <w:i w:val="0"/>
                <w:sz w:val="18"/>
              </w:rPr>
              <w:t>30 days</w:t>
            </w:r>
          </w:p>
        </w:tc>
      </w:tr>
    </w:tbl>
    <w:p>
      <w:r>
        <w:rPr>
          <w:b w:val="0"/>
          <w:i w:val="0"/>
        </w:rPr>
        <w:t>Performance targets: latency ≤ 100 ms; packet loss ≤ 0.1%; jitter ≤ 30 ms. These targets are canonical to the package and must match the Network Operations, Maintenance, and Lifecycle Agreement and Schedule Operations, Service Levels, Lifecycle, Spares, Refresh, and Reserves.</w:t>
      </w:r>
    </w:p>
    <w:p>
      <w:pPr>
        <w:pStyle w:val="Heading1"/>
        <w:spacing w:before="240" w:after="120"/>
      </w:pPr>
      <w:r>
        <w:rPr>
          <w:rFonts w:ascii="Calibri" w:hAnsi="Calibri"/>
          <w:b/>
          <w:color w:val="1F3864"/>
          <w:sz w:val="26"/>
        </w:rPr>
        <w:t>ARTICLE 10.  ACCESS PROCEDURES</w:t>
      </w:r>
    </w:p>
    <w:p>
      <w:pPr>
        <w:pStyle w:val="Heading2"/>
        <w:spacing w:before="160" w:after="60"/>
      </w:pPr>
      <w:r>
        <w:rPr>
          <w:rFonts w:ascii="Calibri" w:hAnsi="Calibri"/>
          <w:b/>
          <w:color w:val="000000"/>
          <w:sz w:val="22"/>
        </w:rPr>
        <w:t>10.1  Access to Interconnection Facilities</w:t>
      </w:r>
    </w:p>
    <w:p>
      <w:r>
        <w:rPr>
          <w:b w:val="0"/>
          <w:i w:val="0"/>
        </w:rPr>
        <w:t>Access to interconnection facilities follows the access procedures of Schedule Land, Poles, Sites, Power, Permits, Shared Facilities, and Owner Consents, including notice, escort, safety, and security requirements, and any facility-owner conditions.</w:t>
      </w:r>
    </w:p>
    <w:p>
      <w:pPr>
        <w:pStyle w:val="Heading2"/>
        <w:spacing w:before="160" w:after="60"/>
      </w:pPr>
      <w:r>
        <w:rPr>
          <w:rFonts w:ascii="Calibri" w:hAnsi="Calibri"/>
          <w:b/>
          <w:color w:val="000000"/>
          <w:sz w:val="22"/>
        </w:rPr>
        <w:t>10.2  Access to LREMC-Owned Facilities</w:t>
      </w:r>
    </w:p>
    <w:p>
      <w:r>
        <w:rPr>
          <w:b w:val="0"/>
          <w:i w:val="0"/>
        </w:rPr>
        <w:t>Access to any LREMC Facilities is governed solely by the applicable LREMC instrument and LREMC’s safety and access rules; this Agreement confers no independent access right to those facilities.</w:t>
      </w:r>
    </w:p>
    <w:p>
      <w:pPr>
        <w:pStyle w:val="Heading1"/>
        <w:spacing w:before="240" w:after="120"/>
      </w:pPr>
      <w:r>
        <w:rPr>
          <w:rFonts w:ascii="Calibri" w:hAnsi="Calibri"/>
          <w:b/>
          <w:color w:val="1F3864"/>
          <w:sz w:val="26"/>
        </w:rPr>
        <w:t>ARTICLE 11.  THIRD-PARTY INTERCONNECTION AND OPEN, NONDISCRIMINATORY MIDDLE MILE</w:t>
      </w:r>
    </w:p>
    <w:p>
      <w:pPr>
        <w:pStyle w:val="Heading2"/>
        <w:spacing w:before="160" w:after="60"/>
      </w:pPr>
      <w:r>
        <w:rPr>
          <w:rFonts w:ascii="Calibri" w:hAnsi="Calibri"/>
          <w:b/>
          <w:color w:val="000000"/>
          <w:sz w:val="22"/>
        </w:rPr>
        <w:t>11.1  Open, Nondiscriminatory Interconnection Preserved</w:t>
      </w:r>
    </w:p>
    <w:p>
      <w:r>
        <w:rPr>
          <w:b w:val="0"/>
          <w:i w:val="0"/>
        </w:rPr>
        <w:t>The Tribal Network’s open, nondiscriminatory middle-mile interconnection obligation is preserved. Qualified third parties may interconnect with the Tribal Network on reasonable, nondiscriminatory terms, consistent with the Award and applicable law, and this Agreement does not, and shall not be construed to, grant any blanket exclusivity to RIVR Tech across all Tribal lands or over the Tribal Network.</w:t>
      </w:r>
    </w:p>
    <w:p>
      <w:pPr>
        <w:ind w:left="504"/>
      </w:pPr>
      <w:r>
        <w:rPr>
          <w:b/>
          <w:color w:val="7F007F"/>
        </w:rPr>
        <w:t xml:space="preserve">[GRANT COMPLIANCE REVIEW REQUIRED]  </w:t>
      </w:r>
      <w:r>
        <w:rPr>
          <w:i/>
          <w:color w:val="595959"/>
        </w:rPr>
        <w:t>Open-access / nondiscriminatory interconnection is a TBCP-sensitive condition; confirm scope against the Award and NOFO (TBCP Round 2 Notice of Funding Opportunity, as amended March 2024 (PROVISIONAL BASELINE — controlling round/award NOT supplied; confirm before finalizing)) before finalizing any priority or preference.</w:t>
      </w:r>
    </w:p>
    <w:p>
      <w:pPr>
        <w:pStyle w:val="Heading2"/>
        <w:spacing w:before="160" w:after="60"/>
      </w:pPr>
      <w:r>
        <w:rPr>
          <w:rFonts w:ascii="Calibri" w:hAnsi="Calibri"/>
          <w:b/>
          <w:color w:val="000000"/>
          <w:sz w:val="22"/>
        </w:rPr>
        <w:t>11.2  Third-Party Terms</w:t>
      </w:r>
    </w:p>
    <w:p>
      <w:r>
        <w:rPr>
          <w:b w:val="0"/>
          <w:i w:val="0"/>
        </w:rPr>
        <w:t>Terms for third-party interconnection, including any cost recovery and capacity protection, are set consistent with Schedule Approved Commercial Capacity, Non-Project Use, Non-Tribal Customers, Valuation, and Cost Allocation and do not impair the Tribe’s reserved capacity or the service commitments.</w:t>
      </w:r>
    </w:p>
    <w:p>
      <w:pPr>
        <w:pStyle w:val="Heading1"/>
        <w:spacing w:before="240" w:after="120"/>
      </w:pPr>
      <w:r>
        <w:rPr>
          <w:rFonts w:ascii="Calibri" w:hAnsi="Calibri"/>
          <w:b/>
          <w:color w:val="1F3864"/>
          <w:sz w:val="26"/>
        </w:rPr>
        <w:t>ARTICLE 12.  COST ALLOCATION; NOTHING PROVIDED FREE</w:t>
      </w:r>
    </w:p>
    <w:p>
      <w:pPr>
        <w:pStyle w:val="Heading2"/>
        <w:spacing w:before="160" w:after="60"/>
      </w:pPr>
      <w:r>
        <w:rPr>
          <w:rFonts w:ascii="Calibri" w:hAnsi="Calibri"/>
          <w:b/>
          <w:color w:val="000000"/>
          <w:sz w:val="22"/>
        </w:rPr>
        <w:t>12.1  Valuation and Consideration</w:t>
      </w:r>
    </w:p>
    <w:p>
      <w:r>
        <w:rPr>
          <w:b w:val="0"/>
          <w:i w:val="0"/>
        </w:rPr>
        <w:t>Use of the RIVR Tech Existing Network and of any LREMC Facilities is valued and supported by consideration or cost allocation under Schedule Approved Commercial Capacity, Non-Project Use, Non-Tribal Customers, Valuation, and Cost Allocation. The RIVR Tech Existing Network is never provided free to the Tribe, grant-funded capacity is never provided as free commercial capacity, and LREMC Facilities are never assumed free.</w:t>
      </w:r>
    </w:p>
    <w:p>
      <w:pPr>
        <w:pStyle w:val="Heading2"/>
        <w:spacing w:before="160" w:after="60"/>
      </w:pPr>
      <w:r>
        <w:rPr>
          <w:rFonts w:ascii="Calibri" w:hAnsi="Calibri"/>
          <w:b/>
          <w:color w:val="000000"/>
          <w:sz w:val="22"/>
        </w:rPr>
        <w:t>12.2  Cost Categories</w:t>
      </w:r>
    </w:p>
    <w:p>
      <w:r>
        <w:rPr>
          <w:b w:val="0"/>
          <w:i w:val="0"/>
        </w:rPr>
        <w:t>Interconnection, transit, backhaul, transport, colocation, power, and augmentation costs are categorized and allocated per Schedule Approved Commercial Capacity, Non-Project Use, Non-Tribal Customers, Valuation, and Cost Allocation, distinguishing project (grant-eligible) from non-project and commercial use.</w:t>
      </w:r>
    </w:p>
    <w:p>
      <w:pPr>
        <w:ind w:left="504"/>
      </w:pPr>
      <w:r>
        <w:rPr>
          <w:b/>
          <w:color w:val="7F007F"/>
        </w:rPr>
        <w:t xml:space="preserve">[GRANT COMPLIANCE REVIEW REQUIRED]  </w:t>
      </w:r>
      <w:r>
        <w:rPr>
          <w:i/>
          <w:color w:val="595959"/>
        </w:rPr>
        <w:t>Cost allocation between grant-eligible project use and commercial use must satisfy 2 CFR Part 200, Subpart E (Cost Principles — allowability, allocability, reasonableness) and the Award; confirm the valuation methodology with grant-compliance counsel and the financial advisor.</w:t>
      </w:r>
    </w:p>
    <w:p>
      <w:pPr>
        <w:ind w:left="504"/>
      </w:pPr>
      <w:r>
        <w:rPr>
          <w:b/>
          <w:color w:val="C00000"/>
        </w:rPr>
        <w:t xml:space="preserve">[BUSINESS DECISION REQUIRED]  </w:t>
      </w:r>
      <w:r>
        <w:rPr>
          <w:i/>
          <w:color w:val="595959"/>
        </w:rPr>
        <w:t>The valuation basis and rates for the RIVR Tech Existing Network and any LREMC Facilities are a business decision and are [■ NOT SUPPLIED — to be set in Schedule S10].</w:t>
      </w:r>
    </w:p>
    <w:p>
      <w:pPr>
        <w:pStyle w:val="Heading1"/>
        <w:spacing w:before="240" w:after="120"/>
      </w:pPr>
      <w:r>
        <w:rPr>
          <w:rFonts w:ascii="Calibri" w:hAnsi="Calibri"/>
          <w:b/>
          <w:color w:val="1F3864"/>
          <w:sz w:val="26"/>
        </w:rPr>
        <w:t>ARTICLE 13.  TITLE, RISK OF LOSS, REPLACEMENT, AND DECOMMISSIONING</w:t>
      </w:r>
    </w:p>
    <w:p>
      <w:pPr>
        <w:pStyle w:val="Heading2"/>
        <w:spacing w:before="160" w:after="60"/>
      </w:pPr>
      <w:r>
        <w:rPr>
          <w:rFonts w:ascii="Calibri" w:hAnsi="Calibri"/>
          <w:b/>
          <w:color w:val="000000"/>
          <w:sz w:val="22"/>
        </w:rPr>
        <w:t>13.1  Title</w:t>
      </w:r>
    </w:p>
    <w:p>
      <w:r>
        <w:rPr>
          <w:b w:val="0"/>
          <w:i w:val="0"/>
        </w:rPr>
        <w:t>Interconnection does not transfer title. Grant-funded elements remain Grant-Funded Assets owned by the Lumbee Tribe and subject to the Federal Interest; RIVR Tech-funded elements remain part of the RIVR Tech Existing Network; and LREMC Facilities remain owned by LREMC.</w:t>
      </w:r>
    </w:p>
    <w:p>
      <w:pPr>
        <w:pStyle w:val="Heading2"/>
        <w:spacing w:before="160" w:after="60"/>
      </w:pPr>
      <w:r>
        <w:rPr>
          <w:rFonts w:ascii="Calibri" w:hAnsi="Calibri"/>
          <w:b/>
          <w:color w:val="000000"/>
          <w:sz w:val="22"/>
        </w:rPr>
        <w:t>13.2  Risk of Loss</w:t>
      </w:r>
    </w:p>
    <w:p>
      <w:r>
        <w:rPr>
          <w:b w:val="0"/>
          <w:i w:val="0"/>
        </w:rPr>
        <w:t>Risk of loss for each element follows its owner, subject to the insurance requirements of the package and 2 CFR 200.310 (Insurance coverage), and subject to the demarcation of responsibility at each Point of Interconnection.</w:t>
      </w:r>
    </w:p>
    <w:p>
      <w:pPr>
        <w:pStyle w:val="Heading2"/>
        <w:spacing w:before="160" w:after="60"/>
      </w:pPr>
      <w:r>
        <w:rPr>
          <w:rFonts w:ascii="Calibri" w:hAnsi="Calibri"/>
          <w:b/>
          <w:color w:val="000000"/>
          <w:sz w:val="22"/>
        </w:rPr>
        <w:t>13.3  Replacement</w:t>
      </w:r>
    </w:p>
    <w:p>
      <w:r>
        <w:rPr>
          <w:b w:val="0"/>
          <w:i w:val="0"/>
        </w:rPr>
        <w:t>Like-for-like replacement of interconnection elements is handled under the Network Operations, Maintenance, and Lifecycle Agreement; any element funded from Award funds becomes a Grant-Funded Assets subject to the Federal Interest.</w:t>
      </w:r>
    </w:p>
    <w:p>
      <w:pPr>
        <w:pStyle w:val="Heading2"/>
        <w:spacing w:before="160" w:after="60"/>
      </w:pPr>
      <w:r>
        <w:rPr>
          <w:rFonts w:ascii="Calibri" w:hAnsi="Calibri"/>
          <w:b/>
          <w:color w:val="000000"/>
          <w:sz w:val="22"/>
        </w:rPr>
        <w:t>13.4  Decommissioning</w:t>
      </w:r>
    </w:p>
    <w:p>
      <w:r>
        <w:rPr>
          <w:b w:val="0"/>
          <w:i w:val="0"/>
        </w:rPr>
        <w:t>Decommissioning of interconnection facilities follows the Continuity, Step-In, Termination Assistance, and Transition Agreement and Schedule Default, Cure, Step-In, Continuity, Transition, and Termination Assistance, and any disposition of Grant-Funded Assets complies with 2 CFR 200.311 (Real property — use, encumbrance, and disposition) and 2 CFR 200.313 (Equipment — use, management, and disposition).</w:t>
      </w:r>
    </w:p>
    <w:p>
      <w:pPr>
        <w:pStyle w:val="Heading1"/>
        <w:spacing w:before="240" w:after="120"/>
      </w:pPr>
      <w:r>
        <w:rPr>
          <w:rFonts w:ascii="Calibri" w:hAnsi="Calibri"/>
          <w:b/>
          <w:color w:val="1F3864"/>
          <w:sz w:val="26"/>
        </w:rPr>
        <w:t>ARTICLE 14.  SEPARATE LREMC INSTRUMENTS REQUIRED</w:t>
      </w:r>
    </w:p>
    <w:p>
      <w:r>
        <w:rPr>
          <w:b w:val="0"/>
          <w:i w:val="0"/>
        </w:rPr>
        <w:t>Any required LREMC consent, license, lease, pole-attachment, easement, land, power, or facility instrument is a SEPARATE signature document executed by LREMC as owner (see the Land, Easement, Right-of-Way, Pole, Site, Power, and Facility Instruments and the LREMC Consent). This Agreement is not, and does not substitute for, any such instrument, and no interconnection right over any LREMC Facilities exists until the applicable LREMC instrument is executed.</w:t>
      </w:r>
    </w:p>
    <w:p>
      <w:pPr>
        <w:ind w:left="504"/>
      </w:pPr>
      <w:r>
        <w:rPr>
          <w:b/>
          <w:color w:val="0000C0"/>
        </w:rPr>
        <w:t xml:space="preserve">[ATTORNEY REVIEW REQUIRED]  </w:t>
      </w:r>
      <w:r>
        <w:rPr>
          <w:i/>
          <w:color w:val="595959"/>
        </w:rPr>
        <w:t>Identify every LREMC-owned dependency and confirm a separate executed instrument exists for each before activation. Land rights, consents, and owner approvals are [■ NOT SUPPLIED] and must not be assumed.</w:t>
      </w:r>
    </w:p>
    <w:p>
      <w:pPr>
        <w:pStyle w:val="Heading1"/>
        <w:spacing w:before="240" w:after="120"/>
      </w:pPr>
      <w:r>
        <w:rPr>
          <w:rFonts w:ascii="Calibri" w:hAnsi="Calibri"/>
          <w:b/>
          <w:color w:val="1F3864"/>
          <w:sz w:val="26"/>
        </w:rPr>
        <w:t>ARTICLE 15.  ORDER OF PRECEDENCE AND SHARED DEFINITIONS</w:t>
      </w:r>
    </w:p>
    <w:p>
      <w:pPr>
        <w:pStyle w:val="Heading2"/>
        <w:spacing w:before="160" w:after="60"/>
      </w:pPr>
      <w:r>
        <w:rPr>
          <w:rFonts w:ascii="Calibri" w:hAnsi="Calibri"/>
          <w:b/>
          <w:color w:val="000000"/>
          <w:sz w:val="22"/>
        </w:rPr>
        <w:t>15.1  Order of Precedence</w:t>
      </w:r>
    </w:p>
    <w:p>
      <w:r>
        <w:rPr>
          <w:b w:val="0"/>
          <w:i w:val="0"/>
        </w:rPr>
        <w:t>This Agreement is one of the Definitive Agreements delivered under, and is subordinate to, the Master TBCP Partnership and Implementation Agreement. In the event of any conflict, ambiguity, or inconsistency among the instruments comprising the transaction, the following order of precedence controls, from highest to lowest:</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2"/>
        <w:spacing w:before="160" w:after="60"/>
      </w:pPr>
      <w:r>
        <w:rPr>
          <w:rFonts w:ascii="Calibri" w:hAnsi="Calibri"/>
          <w:b/>
          <w:color w:val="000000"/>
          <w:sz w:val="22"/>
        </w:rPr>
        <w:t>15.2  Shared Definitions</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pPr>
        <w:ind w:left="504"/>
      </w:pPr>
      <w:r>
        <w:rPr>
          <w:b/>
        </w:rPr>
        <w:t xml:space="preserve">(a)  </w:t>
      </w:r>
      <w:r>
        <w:rPr>
          <w:b w:val="0"/>
          <w:i w:val="0"/>
        </w:rPr>
        <w:t>Capitalized terms used in this Agreement — including “Lumbee Tribe,” “RIVR Tech,” “LREMC,” “Tribal Network,” “Grant-Funded Assets,” “RIVR Tech Existing Network,” “LREMC Facilities,” “Federal Interest,” “Program Income,” “Approved Project Area,” “Active Subscriber,” “Demarcation Point,” and “Point of Interconnection” — have the meanings given in Article 2 (Definitions) of the Master TBCP Partnership and Implementation Agreement unless expressly defined herein.</w:t>
      </w:r>
    </w:p>
    <w:p>
      <w:pPr>
        <w:pStyle w:val="Heading1"/>
        <w:spacing w:before="240" w:after="120"/>
      </w:pPr>
      <w:r>
        <w:rPr>
          <w:rFonts w:ascii="Calibri" w:hAnsi="Calibri"/>
          <w:b/>
          <w:color w:val="1F3864"/>
          <w:sz w:val="26"/>
        </w:rPr>
        <w:t>ARTICLE 16.  GENERAL PROVISIONS</w:t>
      </w:r>
    </w:p>
    <w:p>
      <w:pPr>
        <w:pStyle w:val="Heading2"/>
        <w:spacing w:before="160" w:after="60"/>
      </w:pPr>
      <w:r>
        <w:rPr>
          <w:rFonts w:ascii="Calibri" w:hAnsi="Calibri"/>
          <w:b/>
          <w:color w:val="000000"/>
          <w:sz w:val="22"/>
        </w:rPr>
        <w:t>16.1  No Third-Party Beneficiaries</w:t>
      </w:r>
    </w:p>
    <w:p>
      <w:r>
        <w:rPr>
          <w:b w:val="0"/>
          <w:i w:val="0"/>
        </w:rPr>
        <w:t>Except for NTIA/U.S. Department of Commerce as to the Federal Interest and grant-compliance rights, and except for the preserved rights of qualified third-party interconnectors under Article 11, this Agreement creates no third-party beneficiary rights.</w:t>
      </w:r>
    </w:p>
    <w:p>
      <w:pPr>
        <w:pStyle w:val="Heading2"/>
        <w:spacing w:before="160" w:after="60"/>
      </w:pPr>
      <w:r>
        <w:rPr>
          <w:rFonts w:ascii="Calibri" w:hAnsi="Calibri"/>
          <w:b/>
          <w:color w:val="000000"/>
          <w:sz w:val="22"/>
        </w:rPr>
        <w:t>16.2  Severability and Reformation</w:t>
      </w:r>
    </w:p>
    <w:p>
      <w:r>
        <w:rPr>
          <w:b w:val="0"/>
          <w:i w:val="0"/>
        </w:rPr>
        <w:t>If any interconnection, exclusivity, cost-allocation, or commercial-use term is held invalid or is rejected under the Award, the remainder remains effective and a lawful interconnection and service provision is preserved, consistent with the precedence rule.</w:t>
      </w:r>
    </w:p>
    <w:p/>
    <w:p>
      <w:r>
        <w:rPr>
          <w:b/>
          <w:color w:val="C00000"/>
        </w:rPr>
        <w:t xml:space="preserve">DISCLAIMER.  </w:t>
      </w:r>
      <w:r>
        <w:rPr>
          <w:i/>
          <w:color w:val="595959"/>
        </w:rPr>
        <w:t>This document is a PRELIMINARY working draft prepared for discussion only.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It is not final legal, grant-compliance, tax, or financial advice, does not create any binding obligation, and does not constitute an offer. Party names, defined terms, economic terms, routes, useful life, approvals, land rights, and consents shown as placeholders or flags must be verified and completed by qualified Tribal counsel, grant-compliance counsel, and technical and financial advisors, and conformed to the executed federal Award, before any reliance or execution.</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signatory authority for RIVR Tech and the Tribe, and note that LREMC is NOT a signatory to this Agreement — LREMC executes its own separate instruments.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Interconnection, Transport, and Shared Facilities Agreement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