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DEFINITIVE AGREEMENT 05</w:t>
      </w:r>
    </w:p>
    <w:p>
      <w:pPr>
        <w:jc w:val="center"/>
      </w:pPr>
      <w:r>
        <w:rPr>
          <w:b/>
          <w:color w:val="1F3864"/>
          <w:sz w:val="48"/>
        </w:rPr>
        <w:t>Network Operations, Maintenance, and Lifecycle Agreement</w:t>
      </w:r>
    </w:p>
    <w:p>
      <w:pPr>
        <w:jc w:val="center"/>
      </w:pPr>
      <w:r>
        <w:rPr>
          <w:color w:val="595959"/>
          <w:sz w:val="28"/>
        </w:rPr>
        <w:t>Lumbee Tribe • RIVR Tech • TBCP Fiber Package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t>This Network Operations, Maintenance, and Lifecycle Agreement (this “Agreement”) is entered into as of [■ Effective Date] (the “Effective Date”), by and between Lumbee Tribe of North Carolina (the “Lumbee Tribe”), acting directly or through a wholly owned Tribal entity or Tribally chartered instrumentality designated by the Lumbee Tribe, and LREMC Technologies, LLC d/b/a RIVR Tech (“RIVR Tech”). The Lumbee Tribe and RIVR Tech are each a “Party” and together the “Parties.”</w:t>
      </w:r>
    </w:p>
    <w:p/>
    <w:p>
      <w:r>
        <w:rPr>
          <w:b/>
          <w:i w:val="0"/>
        </w:rPr>
        <w:t>RECITALS</w:t>
      </w:r>
    </w:p>
    <w:p>
      <w:r>
        <w:rPr>
          <w:b w:val="0"/>
          <w:i w:val="0"/>
        </w:rPr>
        <w:t>A.  The Lumbee Tribe is the recipient and steward of an award (or proposed award) under the Tribal Broadband Connectivity Program (TBCP) administered by the National Telecommunications and Information Administration (NTIA), U.S. Department of Commerce, and owns the Grant-Funded Assets funded thereunder, which comprise the Tribal Network serving the Approved Project Area in southeastern North Carolina.</w:t>
      </w:r>
    </w:p>
    <w:p>
      <w:r>
        <w:rPr>
          <w:b w:val="0"/>
          <w:i w:val="0"/>
        </w:rPr>
        <w:t>B.  RIVR Tech is the Lumbee Tribe's designated operator and, subject to NTIA/U.S. Department of Commerce Award approval, the proposed retail provider of record for the Tribal Network. RIVR Tech owns and separately maintains the RIVR Tech Existing Network and its billing, provisioning, and support systems, which remain RIVR Tech's property and are never contributed to the Lumbee Tribe or made available without separately agreed, Award-permitted consideration.</w:t>
      </w:r>
    </w:p>
    <w:p>
      <w:r>
        <w:rPr>
          <w:b w:val="0"/>
          <w:i w:val="0"/>
        </w:rPr>
        <w:t>C.  Lumbee River Electric Membership Corporation d/b/a Lumbee River EMC (“LREMC”) is a separate owner of certain LREMC Facilities used in connection with the Tribal Network; those assets are addressed only under a separate owner-approved instrument or joinder and are not covered by this Agreement.</w:t>
      </w:r>
    </w:p>
    <w:p>
      <w:r>
        <w:rPr>
          <w:b w:val="0"/>
          <w:i w:val="0"/>
        </w:rPr>
        <w:t xml:space="preserve">D.  This Agreement is one of several coordinated Definitive Agreements executed under the Master TBCP Partnership and Implementation Agreement and must be read together with, and subject to, the executed Award. </w:t>
      </w:r>
      <w:r>
        <w:rPr>
          <w:b/>
          <w:i w:val="0"/>
          <w:color w:val="7F007F"/>
        </w:rPr>
        <w:t>[GRANT COMPLIANCE REVIEW REQUIRED]</w:t>
      </w:r>
      <w:r>
        <w:rPr>
          <w:b w:val="0"/>
          <w:i w:val="0"/>
        </w:rPr>
        <w:t xml:space="preserve">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w:t>
      </w:r>
    </w:p>
    <w:p/>
    <w:p>
      <w:r>
        <w:rPr>
          <w:b w:val="0"/>
          <w:i w:val="0"/>
        </w:rPr>
        <w:t>NOW, THEREFORE, in consideration of the mutual covenants below and other good and valuable consideration, the receipt and sufficiency of which are acknowledged, the Parties agree as follows:</w:t>
      </w:r>
    </w:p>
    <w:p/>
    <w:p>
      <w:pPr>
        <w:pStyle w:val="Heading1"/>
        <w:spacing w:before="240" w:after="120"/>
      </w:pPr>
      <w:r>
        <w:rPr>
          <w:rFonts w:ascii="Calibri" w:hAnsi="Calibri"/>
          <w:b/>
          <w:color w:val="1F3864"/>
          <w:sz w:val="26"/>
        </w:rPr>
        <w:t>ARTICLE 1.  DEFINITIONS, INTERPRETATION, AND SHARED DEFINITIONS</w:t>
      </w:r>
    </w:p>
    <w:p>
      <w:pPr>
        <w:pStyle w:val="Heading2"/>
        <w:spacing w:before="160" w:after="60"/>
      </w:pPr>
      <w:r>
        <w:rPr>
          <w:rFonts w:ascii="Calibri" w:hAnsi="Calibri"/>
          <w:b/>
          <w:color w:val="000000"/>
          <w:sz w:val="22"/>
        </w:rPr>
        <w:t>1.1  Shared Definitions Source</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pPr>
        <w:pStyle w:val="Heading2"/>
        <w:spacing w:before="160" w:after="60"/>
      </w:pPr>
      <w:r>
        <w:rPr>
          <w:rFonts w:ascii="Calibri" w:hAnsi="Calibri"/>
          <w:b/>
          <w:color w:val="000000"/>
          <w:sz w:val="22"/>
        </w:rPr>
        <w:t>1.2  Local Defined Terms</w:t>
      </w:r>
    </w:p>
    <w:p>
      <w:r>
        <w:rPr>
          <w:b w:val="0"/>
          <w:i w:val="0"/>
        </w:rPr>
        <w:t>In addition to the shared definitions, the following terms have the meanings given below when used in this Agreement:</w:t>
      </w:r>
    </w:p>
    <w:p>
      <w:pPr>
        <w:ind w:left="504"/>
      </w:pPr>
      <w:r>
        <w:rPr>
          <w:b/>
        </w:rPr>
        <w:t xml:space="preserve">(NOC)  </w:t>
      </w:r>
      <w:r>
        <w:rPr>
          <w:b w:val="0"/>
          <w:i w:val="0"/>
        </w:rPr>
        <w:t>the network operations center providing continuous monitoring, alarm management, trouble-ticketing, and dispatch coordination for the Tribal Network.</w:t>
      </w:r>
    </w:p>
    <w:p>
      <w:pPr>
        <w:ind w:left="504"/>
      </w:pPr>
      <w:r>
        <w:rPr>
          <w:b/>
        </w:rPr>
        <w:t xml:space="preserve">(Fault Severity)  </w:t>
      </w:r>
      <w:r>
        <w:rPr>
          <w:b w:val="0"/>
          <w:i w:val="0"/>
        </w:rPr>
        <w:t>the priority classification (P1–P4) assigned to an event under the Severity Matrix in this Agreement.</w:t>
      </w:r>
    </w:p>
    <w:p>
      <w:pPr>
        <w:ind w:left="504"/>
      </w:pPr>
      <w:r>
        <w:rPr>
          <w:b/>
        </w:rPr>
        <w:t xml:space="preserve">(Restoration)  </w:t>
      </w:r>
      <w:r>
        <w:rPr>
          <w:b w:val="0"/>
          <w:i w:val="0"/>
        </w:rPr>
        <w:t>the point at which affected retail broadband service is measurably restored to the applicable performance targets, distinct from permanent repair.</w:t>
      </w:r>
    </w:p>
    <w:p>
      <w:pPr>
        <w:ind w:left="504"/>
      </w:pPr>
      <w:r>
        <w:rPr>
          <w:b/>
        </w:rPr>
        <w:t xml:space="preserve">(Replacement Reserve)  </w:t>
      </w:r>
      <w:r>
        <w:rPr>
          <w:b w:val="0"/>
          <w:i w:val="0"/>
        </w:rPr>
        <w:t>the funded reserve established and maintained for capital refresh, obsolescence, and end-of-life replacement of the Grant-Funded Assets.</w:t>
      </w:r>
    </w:p>
    <w:p>
      <w:pPr>
        <w:ind w:left="504"/>
      </w:pPr>
      <w:r>
        <w:rPr>
          <w:b/>
        </w:rPr>
        <w:t xml:space="preserve">(Extraordinary Work)  </w:t>
      </w:r>
      <w:r>
        <w:rPr>
          <w:b w:val="0"/>
          <w:i w:val="0"/>
        </w:rPr>
        <w:t>work outside routine and preventive operations and maintenance, including force-majeure restoration, third-party damage repair, and Tribe-directed changes.</w:t>
      </w:r>
    </w:p>
    <w:p>
      <w:pPr>
        <w:pStyle w:val="Heading2"/>
        <w:spacing w:before="160" w:after="60"/>
      </w:pPr>
      <w:r>
        <w:rPr>
          <w:rFonts w:ascii="Calibri" w:hAnsi="Calibri"/>
          <w:b/>
          <w:color w:val="000000"/>
          <w:sz w:val="22"/>
        </w:rPr>
        <w:t>1.3  Interpretation</w:t>
      </w:r>
    </w:p>
    <w:p>
      <w:r>
        <w:rPr>
          <w:b w:val="0"/>
          <w:i w:val="0"/>
        </w:rPr>
        <w:t>Headings are for convenience only. “Including” means “including without limitation.” References to statutes, regulations, and the Award include successor and amended versions applicable to the controlling Award. Time periods stated in Business Days exclude weekends and federal and Tribal holidays.</w:t>
      </w:r>
    </w:p>
    <w:p>
      <w:pPr>
        <w:pStyle w:val="Heading1"/>
        <w:spacing w:before="240" w:after="120"/>
      </w:pPr>
      <w:r>
        <w:rPr>
          <w:rFonts w:ascii="Calibri" w:hAnsi="Calibri"/>
          <w:b/>
          <w:color w:val="1F3864"/>
          <w:sz w:val="26"/>
        </w:rPr>
        <w:t>ARTICLE 2.  ORDER OF PRECEDENCE</w:t>
      </w:r>
    </w:p>
    <w:p>
      <w:pPr>
        <w:pStyle w:val="Heading2"/>
        <w:spacing w:before="160" w:after="60"/>
      </w:pPr>
      <w:r>
        <w:rPr>
          <w:rFonts w:ascii="Calibri" w:hAnsi="Calibri"/>
          <w:b/>
          <w:color w:val="000000"/>
          <w:sz w:val="22"/>
        </w:rPr>
        <w:t>2.1  Controlling Order</w:t>
      </w:r>
    </w:p>
    <w:p>
      <w:r>
        <w:rPr>
          <w:b w:val="0"/>
          <w:i w:val="0"/>
        </w:rPr>
        <w:t>In the event of any conflict or inconsistency, the following instruments control in descending order of precedence:</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pPr>
        <w:pStyle w:val="Heading2"/>
        <w:spacing w:before="160" w:after="60"/>
      </w:pPr>
      <w:r>
        <w:rPr>
          <w:rFonts w:ascii="Calibri" w:hAnsi="Calibri"/>
          <w:b/>
          <w:color w:val="000000"/>
          <w:sz w:val="22"/>
        </w:rPr>
        <w:t>2.2  Precedence Rule</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ind w:left="504"/>
      </w:pPr>
      <w:r>
        <w:rPr>
          <w:b/>
          <w:color w:val="7F007F"/>
        </w:rPr>
        <w:t xml:space="preserve">[GRANT COMPLIANCE REVIEW REQUIRED]  </w:t>
      </w:r>
      <w:r>
        <w:rPr>
          <w:i/>
          <w:color w:val="595959"/>
        </w:rPr>
        <w:t>Nothing in this Agreement may be performed in a manner inconsistent with the Award, 2 CFR Part 200, or applicable NTIA/DOC award terms; conflicting commercial terms yield to the higher-ranked instrument.</w:t>
      </w:r>
    </w:p>
    <w:p>
      <w:pPr>
        <w:pStyle w:val="Heading1"/>
        <w:spacing w:before="240" w:after="120"/>
      </w:pPr>
      <w:r>
        <w:rPr>
          <w:rFonts w:ascii="Calibri" w:hAnsi="Calibri"/>
          <w:b/>
          <w:color w:val="1F3864"/>
          <w:sz w:val="26"/>
        </w:rPr>
        <w:t>ARTICLE 3.  SCOPE OF SERVICES, ROLES, AND RESPONSIBILITIES</w:t>
      </w:r>
    </w:p>
    <w:p>
      <w:pPr>
        <w:pStyle w:val="Heading2"/>
        <w:spacing w:before="160" w:after="60"/>
      </w:pPr>
      <w:r>
        <w:rPr>
          <w:rFonts w:ascii="Calibri" w:hAnsi="Calibri"/>
          <w:b/>
          <w:color w:val="000000"/>
          <w:sz w:val="22"/>
        </w:rPr>
        <w:t>3.1  Operator Responsibility</w:t>
      </w:r>
    </w:p>
    <w:p>
      <w:r>
        <w:rPr>
          <w:b w:val="0"/>
          <w:i w:val="0"/>
        </w:rPr>
        <w:t>RIVR Tech is responsible for the day-to-day operation, monitoring, maintenance, repair, and lifecycle management of the Grant-Funded Assets comprising the Tribal Network, all in accordance with the Award, this Agreement, and Operations, Service Levels, Lifecycle, Spares, Refresh, and Reserves.</w:t>
      </w:r>
    </w:p>
    <w:p>
      <w:pPr>
        <w:pStyle w:val="Heading2"/>
        <w:spacing w:before="160" w:after="60"/>
      </w:pPr>
      <w:r>
        <w:rPr>
          <w:rFonts w:ascii="Calibri" w:hAnsi="Calibri"/>
          <w:b/>
          <w:color w:val="000000"/>
          <w:sz w:val="22"/>
        </w:rPr>
        <w:t>3.2  Tribe Oversight</w:t>
      </w:r>
    </w:p>
    <w:p>
      <w:r>
        <w:rPr>
          <w:b w:val="0"/>
          <w:i w:val="0"/>
        </w:rPr>
        <w:t>The Lumbee Tribe retains ownership of the Grant-Funded Assets, oversight of Award compliance, and the review, audit, annual-review, and step-in rights set out in this Agreement.</w:t>
      </w:r>
    </w:p>
    <w:p>
      <w:pPr>
        <w:pStyle w:val="Heading2"/>
        <w:spacing w:before="160" w:after="60"/>
      </w:pPr>
      <w:r>
        <w:rPr>
          <w:rFonts w:ascii="Calibri" w:hAnsi="Calibri"/>
          <w:b/>
          <w:color w:val="000000"/>
          <w:sz w:val="22"/>
        </w:rPr>
        <w:t>3.3  Standard of Care</w:t>
      </w:r>
    </w:p>
    <w:p>
      <w:r>
        <w:rPr>
          <w:b w:val="0"/>
          <w:i w:val="0"/>
        </w:rPr>
        <w:t>Services must meet or exceed prudent-industry telecommunications standards, manufacturer specifications, applicable law, and the service levels in this Agreement.</w:t>
      </w:r>
    </w:p>
    <w:p>
      <w:pPr>
        <w:pStyle w:val="Heading2"/>
        <w:spacing w:before="160" w:after="60"/>
      </w:pPr>
      <w:r>
        <w:rPr>
          <w:rFonts w:ascii="Calibri" w:hAnsi="Calibri"/>
          <w:b/>
          <w:color w:val="000000"/>
          <w:sz w:val="22"/>
        </w:rPr>
        <w:t>3.4  Boundary of Assets</w:t>
      </w:r>
    </w:p>
    <w:p>
      <w:r>
        <w:rPr>
          <w:b w:val="0"/>
          <w:i w:val="0"/>
        </w:rPr>
        <w:t>This Agreement governs the Grant-Funded Assets only. The RIVR Tech Existing Network and LREMC Facilities are governed by their respective instruments; use of either for the project is never presumed free and requires separately agreed, Award-permitted terms.</w:t>
      </w:r>
    </w:p>
    <w:p>
      <w:pPr>
        <w:pStyle w:val="Heading1"/>
        <w:spacing w:before="240" w:after="120"/>
      </w:pPr>
      <w:r>
        <w:rPr>
          <w:rFonts w:ascii="Calibri" w:hAnsi="Calibri"/>
          <w:b/>
          <w:color w:val="1F3864"/>
          <w:sz w:val="26"/>
        </w:rPr>
        <w:t>ARTICLE 4.  NETWORK MONITORING AND NOC</w:t>
      </w:r>
    </w:p>
    <w:p>
      <w:pPr>
        <w:pStyle w:val="Heading2"/>
        <w:spacing w:before="160" w:after="60"/>
      </w:pPr>
      <w:r>
        <w:rPr>
          <w:rFonts w:ascii="Calibri" w:hAnsi="Calibri"/>
          <w:b/>
          <w:color w:val="000000"/>
          <w:sz w:val="22"/>
        </w:rPr>
        <w:t>4.1  24x7x365 NOC</w:t>
      </w:r>
    </w:p>
    <w:p>
      <w:r>
        <w:rPr>
          <w:b w:val="0"/>
          <w:i w:val="0"/>
        </w:rPr>
        <w:t>RIVR Tech will operate, or cause to be operated, a NOC providing monitoring and first response 24 hours per day, 7 days per week, 365 days per year.</w:t>
      </w:r>
    </w:p>
    <w:p>
      <w:pPr>
        <w:pStyle w:val="Heading2"/>
        <w:spacing w:before="160" w:after="60"/>
      </w:pPr>
      <w:r>
        <w:rPr>
          <w:rFonts w:ascii="Calibri" w:hAnsi="Calibri"/>
          <w:b/>
          <w:color w:val="000000"/>
          <w:sz w:val="22"/>
        </w:rPr>
        <w:t>4.2  Continuous Monitoring</w:t>
      </w:r>
    </w:p>
    <w:p>
      <w:r>
        <w:rPr>
          <w:b w:val="0"/>
          <w:i w:val="0"/>
        </w:rPr>
        <w:t>The NOC will continuously monitor availability, utilization, optical and transport health, power and environmental alarms, and security events, and will generate and track trouble tickets for all qualifying events.</w:t>
      </w:r>
    </w:p>
    <w:p>
      <w:pPr>
        <w:pStyle w:val="Heading2"/>
        <w:spacing w:before="160" w:after="60"/>
      </w:pPr>
      <w:r>
        <w:rPr>
          <w:rFonts w:ascii="Calibri" w:hAnsi="Calibri"/>
          <w:b/>
          <w:color w:val="000000"/>
          <w:sz w:val="22"/>
        </w:rPr>
        <w:t>4.3  Performance Targets</w:t>
      </w:r>
    </w:p>
    <w:p>
      <w:r>
        <w:rPr>
          <w:b w:val="0"/>
          <w:i w:val="0"/>
        </w:rPr>
        <w:t>Steady-state network performance targets are: availability 99.9%; round-trip latency ≤ 100 ms; packet loss ≤ 0.1%; jitter ≤ 30 ms, measured as set out in Operations, Service Levels, Lifecycle, Spares, Refresh, and Reserves.</w:t>
      </w:r>
    </w:p>
    <w:p>
      <w:pPr>
        <w:pStyle w:val="Heading1"/>
        <w:spacing w:before="240" w:after="120"/>
      </w:pPr>
      <w:r>
        <w:rPr>
          <w:rFonts w:ascii="Calibri" w:hAnsi="Calibri"/>
          <w:b/>
          <w:color w:val="1F3864"/>
          <w:sz w:val="26"/>
        </w:rPr>
        <w:t>ARTICLE 5.  PREVENTIVE AND SCHEDULED MAINTENANCE</w:t>
      </w:r>
    </w:p>
    <w:p>
      <w:pPr>
        <w:pStyle w:val="Heading2"/>
        <w:spacing w:before="160" w:after="60"/>
      </w:pPr>
      <w:r>
        <w:rPr>
          <w:rFonts w:ascii="Calibri" w:hAnsi="Calibri"/>
          <w:b/>
          <w:color w:val="000000"/>
          <w:sz w:val="22"/>
        </w:rPr>
        <w:t>5.1  Preventive Maintenance Program</w:t>
      </w:r>
    </w:p>
    <w:p>
      <w:r>
        <w:rPr>
          <w:b w:val="0"/>
          <w:i w:val="0"/>
        </w:rPr>
        <w:t>Operator will maintain a documented preventive-maintenance program covering fiber plant, electronics, power systems, batteries/generators, HVAC, and physical sites, on a schedule no less protective than manufacturer requirements and Operations, Service Levels, Lifecycle, Spares, Refresh, and Reserves.</w:t>
      </w:r>
    </w:p>
    <w:p>
      <w:pPr>
        <w:pStyle w:val="Heading2"/>
        <w:spacing w:before="160" w:after="60"/>
      </w:pPr>
      <w:r>
        <w:rPr>
          <w:rFonts w:ascii="Calibri" w:hAnsi="Calibri"/>
          <w:b/>
          <w:color w:val="000000"/>
          <w:sz w:val="22"/>
        </w:rPr>
        <w:t>5.2  Inspections and Testing</w:t>
      </w:r>
    </w:p>
    <w:p>
      <w:r>
        <w:rPr>
          <w:b w:val="0"/>
          <w:i w:val="0"/>
        </w:rPr>
        <w:t>Program includes periodic optical testing consistent with the acceptance standards, battery and generator load testing, and site and enclosure inspections, with records retained and made available to the Tribe.</w:t>
      </w:r>
    </w:p>
    <w:p>
      <w:pPr>
        <w:pStyle w:val="Heading1"/>
        <w:spacing w:before="240" w:after="120"/>
      </w:pPr>
      <w:r>
        <w:rPr>
          <w:rFonts w:ascii="Calibri" w:hAnsi="Calibri"/>
          <w:b/>
          <w:color w:val="1F3864"/>
          <w:sz w:val="26"/>
        </w:rPr>
        <w:t>ARTICLE 6.  LOCATES AND UNDERGROUND DAMAGE PREVENTION</w:t>
      </w:r>
    </w:p>
    <w:p>
      <w:pPr>
        <w:pStyle w:val="Heading2"/>
        <w:spacing w:before="160" w:after="60"/>
      </w:pPr>
      <w:r>
        <w:rPr>
          <w:rFonts w:ascii="Calibri" w:hAnsi="Calibri"/>
          <w:b/>
          <w:color w:val="000000"/>
          <w:sz w:val="22"/>
        </w:rPr>
        <w:t>6.1  NC 811 Locates</w:t>
      </w:r>
    </w:p>
    <w:p>
      <w:r>
        <w:rPr>
          <w:b w:val="0"/>
          <w:i w:val="0"/>
        </w:rPr>
        <w:t>Operator is responsible for timely and accurate positive-response locates and marking of buried Grant-Funded Assets in accordance with North Carolina 811 requirements and N.C. Gen. Stat. Ch. 87, Art. 8A (Underground Utility Safety and Damage Prevention Act / 811 locates).</w:t>
      </w:r>
    </w:p>
    <w:p>
      <w:pPr>
        <w:pStyle w:val="Heading2"/>
        <w:spacing w:before="160" w:after="60"/>
      </w:pPr>
      <w:r>
        <w:rPr>
          <w:rFonts w:ascii="Calibri" w:hAnsi="Calibri"/>
          <w:b/>
          <w:color w:val="000000"/>
          <w:sz w:val="22"/>
        </w:rPr>
        <w:t>6.2  Membership and Records</w:t>
      </w:r>
    </w:p>
    <w:p>
      <w:r>
        <w:rPr>
          <w:b w:val="0"/>
          <w:i w:val="0"/>
        </w:rPr>
        <w:t>Operator will maintain 811 one-call center membership as required, respond within statutory timeframes, and retain locate tickets and positive-response records for audit.</w:t>
      </w:r>
    </w:p>
    <w:p>
      <w:pPr>
        <w:ind w:left="504"/>
      </w:pPr>
      <w:r>
        <w:rPr>
          <w:b/>
          <w:color w:val="0000C0"/>
        </w:rPr>
        <w:t xml:space="preserve">[ATTORNEY REVIEW REQUIRED]  </w:t>
      </w:r>
      <w:r>
        <w:rPr>
          <w:i/>
          <w:color w:val="595959"/>
        </w:rPr>
        <w:t>Confirm allocation of locate liability and any indemnity for mislocates; coordinate with the land/ROW instruments and any pole/attachment terms.</w:t>
      </w:r>
    </w:p>
    <w:p>
      <w:pPr>
        <w:pStyle w:val="Heading1"/>
        <w:spacing w:before="240" w:after="120"/>
      </w:pPr>
      <w:r>
        <w:rPr>
          <w:rFonts w:ascii="Calibri" w:hAnsi="Calibri"/>
          <w:b/>
          <w:color w:val="1F3864"/>
          <w:sz w:val="26"/>
        </w:rPr>
        <w:t>ARTICLE 7.  FAULT SEVERITY, REPAIR, DISPATCH, ESCALATION, AND RESTORATION</w:t>
      </w:r>
    </w:p>
    <w:p>
      <w:pPr>
        <w:pStyle w:val="Heading2"/>
        <w:spacing w:before="160" w:after="60"/>
      </w:pPr>
      <w:r>
        <w:rPr>
          <w:rFonts w:ascii="Calibri" w:hAnsi="Calibri"/>
          <w:b/>
          <w:color w:val="000000"/>
          <w:sz w:val="22"/>
        </w:rPr>
        <w:t>7.1  Severity Classification</w:t>
      </w:r>
    </w:p>
    <w:p>
      <w:r>
        <w:rPr>
          <w:b w:val="0"/>
          <w:i w:val="0"/>
        </w:rPr>
        <w:t>Each event is classified P1 (critical) through P4 (low) per the Severity Matrix below. Response is measured to acknowledgement; dispatch to field mobilization; restoration to measurable service recovery.</w:t>
      </w:r>
    </w:p>
    <w:p>
      <w:r>
        <w:rPr>
          <w:b/>
          <w:i w:val="0"/>
        </w:rPr>
        <w:t>Severity Matrix (P1–P4):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1F3864"/>
            <w:vAlign w:val="center"/>
          </w:tcPr>
          <w:p>
            <w:pPr>
              <w:jc w:val="center"/>
            </w:pPr>
            <w:r>
              <w:rPr>
                <w:b/>
                <w:color w:val="FFFFFF"/>
                <w:sz w:val="18"/>
              </w:rPr>
              <w:t>Severity</w:t>
            </w:r>
          </w:p>
        </w:tc>
        <w:tc>
          <w:tcPr>
            <w:tcW w:type="dxa" w:w="3600"/>
            <w:shd w:val="clear" w:color="auto" w:fill="1F3864"/>
            <w:vAlign w:val="center"/>
          </w:tcPr>
          <w:p>
            <w:pPr>
              <w:jc w:val="center"/>
            </w:pPr>
            <w:r>
              <w:rPr>
                <w:b/>
                <w:color w:val="FFFFFF"/>
                <w:sz w:val="18"/>
              </w:rPr>
              <w:t>Definition / Examples</w:t>
            </w:r>
          </w:p>
        </w:tc>
        <w:tc>
          <w:tcPr>
            <w:tcW w:type="dxa" w:w="1728"/>
            <w:shd w:val="clear" w:color="auto" w:fill="1F3864"/>
            <w:vAlign w:val="center"/>
          </w:tcPr>
          <w:p>
            <w:pPr>
              <w:jc w:val="center"/>
            </w:pPr>
            <w:r>
              <w:rPr>
                <w:b/>
                <w:color w:val="FFFFFF"/>
                <w:sz w:val="18"/>
              </w:rPr>
              <w:t>Response (Acknowledge)</w:t>
            </w:r>
          </w:p>
        </w:tc>
        <w:tc>
          <w:tcPr>
            <w:tcW w:type="dxa" w:w="1296"/>
            <w:shd w:val="clear" w:color="auto" w:fill="1F3864"/>
            <w:vAlign w:val="center"/>
          </w:tcPr>
          <w:p>
            <w:pPr>
              <w:jc w:val="center"/>
            </w:pPr>
            <w:r>
              <w:rPr>
                <w:b/>
                <w:color w:val="FFFFFF"/>
                <w:sz w:val="18"/>
              </w:rPr>
              <w:t>Dispatch</w:t>
            </w:r>
          </w:p>
        </w:tc>
        <w:tc>
          <w:tcPr>
            <w:tcW w:type="dxa" w:w="1584"/>
            <w:shd w:val="clear" w:color="auto" w:fill="1F3864"/>
            <w:vAlign w:val="center"/>
          </w:tcPr>
          <w:p>
            <w:pPr>
              <w:jc w:val="center"/>
            </w:pPr>
            <w:r>
              <w:rPr>
                <w:b/>
                <w:color w:val="FFFFFF"/>
                <w:sz w:val="18"/>
              </w:rPr>
              <w:t>Restoration Target</w:t>
            </w:r>
          </w:p>
        </w:tc>
      </w:tr>
      <w:tr>
        <w:tc>
          <w:tcPr>
            <w:tcW w:type="dxa" w:w="1584"/>
            <w:vAlign w:val="center"/>
          </w:tcPr>
          <w:p>
            <w:r>
              <w:rPr>
                <w:b w:val="0"/>
                <w:i w:val="0"/>
                <w:sz w:val="18"/>
              </w:rPr>
              <w:t>P1 — Critical</w:t>
            </w:r>
          </w:p>
        </w:tc>
        <w:tc>
          <w:tcPr>
            <w:tcW w:type="dxa" w:w="3600"/>
            <w:vAlign w:val="center"/>
          </w:tcPr>
          <w:p>
            <w:r>
              <w:rPr>
                <w:b w:val="0"/>
                <w:i w:val="0"/>
                <w:sz w:val="18"/>
              </w:rPr>
              <w:t>Total outage of a segment/site; loss of core transport; life-safety or public-safety impact</w:t>
            </w:r>
          </w:p>
        </w:tc>
        <w:tc>
          <w:tcPr>
            <w:tcW w:type="dxa" w:w="1728"/>
            <w:vAlign w:val="center"/>
          </w:tcPr>
          <w:p>
            <w:pPr>
              <w:jc w:val="center"/>
            </w:pPr>
            <w:r>
              <w:rPr>
                <w:b w:val="0"/>
                <w:i w:val="0"/>
                <w:sz w:val="18"/>
              </w:rPr>
              <w:t>15 minutes</w:t>
            </w:r>
          </w:p>
        </w:tc>
        <w:tc>
          <w:tcPr>
            <w:tcW w:type="dxa" w:w="1296"/>
            <w:vAlign w:val="center"/>
          </w:tcPr>
          <w:p>
            <w:pPr>
              <w:jc w:val="center"/>
            </w:pPr>
            <w:r>
              <w:rPr>
                <w:b w:val="0"/>
                <w:i w:val="0"/>
                <w:sz w:val="18"/>
              </w:rPr>
              <w:t>2 hours</w:t>
            </w:r>
          </w:p>
        </w:tc>
        <w:tc>
          <w:tcPr>
            <w:tcW w:type="dxa" w:w="1584"/>
            <w:vAlign w:val="center"/>
          </w:tcPr>
          <w:p>
            <w:pPr>
              <w:jc w:val="center"/>
            </w:pPr>
            <w:r>
              <w:rPr>
                <w:b w:val="0"/>
                <w:i w:val="0"/>
                <w:sz w:val="18"/>
              </w:rPr>
              <w:t>8 hours</w:t>
            </w:r>
          </w:p>
        </w:tc>
      </w:tr>
      <w:tr>
        <w:tc>
          <w:tcPr>
            <w:tcW w:type="dxa" w:w="1584"/>
            <w:shd w:val="clear" w:color="auto" w:fill="F2F2F2"/>
            <w:vAlign w:val="center"/>
          </w:tcPr>
          <w:p>
            <w:r>
              <w:rPr>
                <w:b w:val="0"/>
                <w:i w:val="0"/>
                <w:sz w:val="18"/>
              </w:rPr>
              <w:t>P2 — Major</w:t>
            </w:r>
          </w:p>
        </w:tc>
        <w:tc>
          <w:tcPr>
            <w:tcW w:type="dxa" w:w="3600"/>
            <w:shd w:val="clear" w:color="auto" w:fill="F2F2F2"/>
            <w:vAlign w:val="center"/>
          </w:tcPr>
          <w:p>
            <w:r>
              <w:rPr>
                <w:b w:val="0"/>
                <w:i w:val="0"/>
                <w:sz w:val="18"/>
              </w:rPr>
              <w:t>Partial outage; significant degradation; redundancy lost but service continuing</w:t>
            </w:r>
          </w:p>
        </w:tc>
        <w:tc>
          <w:tcPr>
            <w:tcW w:type="dxa" w:w="1728"/>
            <w:shd w:val="clear" w:color="auto" w:fill="F2F2F2"/>
            <w:vAlign w:val="center"/>
          </w:tcPr>
          <w:p>
            <w:pPr>
              <w:jc w:val="center"/>
            </w:pPr>
            <w:r>
              <w:rPr>
                <w:b w:val="0"/>
                <w:i w:val="0"/>
                <w:sz w:val="18"/>
              </w:rPr>
              <w:t>30 minutes</w:t>
            </w:r>
          </w:p>
        </w:tc>
        <w:tc>
          <w:tcPr>
            <w:tcW w:type="dxa" w:w="1296"/>
            <w:shd w:val="clear" w:color="auto" w:fill="F2F2F2"/>
            <w:vAlign w:val="center"/>
          </w:tcPr>
          <w:p>
            <w:pPr>
              <w:jc w:val="center"/>
            </w:pPr>
            <w:r>
              <w:rPr>
                <w:b w:val="0"/>
                <w:i w:val="0"/>
                <w:sz w:val="18"/>
              </w:rPr>
              <w:t>4 hours</w:t>
            </w:r>
          </w:p>
        </w:tc>
        <w:tc>
          <w:tcPr>
            <w:tcW w:type="dxa" w:w="1584"/>
            <w:shd w:val="clear" w:color="auto" w:fill="F2F2F2"/>
            <w:vAlign w:val="center"/>
          </w:tcPr>
          <w:p>
            <w:pPr>
              <w:jc w:val="center"/>
            </w:pPr>
            <w:r>
              <w:rPr>
                <w:b w:val="0"/>
                <w:i w:val="0"/>
                <w:sz w:val="18"/>
              </w:rPr>
              <w:t>24 hours</w:t>
            </w:r>
          </w:p>
        </w:tc>
      </w:tr>
      <w:tr>
        <w:tc>
          <w:tcPr>
            <w:tcW w:type="dxa" w:w="1584"/>
            <w:vAlign w:val="center"/>
          </w:tcPr>
          <w:p>
            <w:r>
              <w:rPr>
                <w:b w:val="0"/>
                <w:i w:val="0"/>
                <w:sz w:val="18"/>
              </w:rPr>
              <w:t>P3 — Minor</w:t>
            </w:r>
          </w:p>
        </w:tc>
        <w:tc>
          <w:tcPr>
            <w:tcW w:type="dxa" w:w="3600"/>
            <w:vAlign w:val="center"/>
          </w:tcPr>
          <w:p>
            <w:r>
              <w:rPr>
                <w:b w:val="0"/>
                <w:i w:val="0"/>
                <w:sz w:val="18"/>
              </w:rPr>
              <w:t>Localized degradation; single-subscriber or non-service-affecting fault</w:t>
            </w:r>
          </w:p>
        </w:tc>
        <w:tc>
          <w:tcPr>
            <w:tcW w:type="dxa" w:w="1728"/>
            <w:vAlign w:val="center"/>
          </w:tcPr>
          <w:p>
            <w:pPr>
              <w:jc w:val="center"/>
            </w:pPr>
            <w:r>
              <w:rPr>
                <w:b w:val="0"/>
                <w:i w:val="0"/>
                <w:sz w:val="18"/>
              </w:rPr>
              <w:t>4 hours</w:t>
            </w:r>
          </w:p>
        </w:tc>
        <w:tc>
          <w:tcPr>
            <w:tcW w:type="dxa" w:w="1296"/>
            <w:vAlign w:val="center"/>
          </w:tcPr>
          <w:p>
            <w:pPr>
              <w:jc w:val="center"/>
            </w:pPr>
            <w:r>
              <w:rPr>
                <w:b w:val="0"/>
                <w:i w:val="0"/>
                <w:sz w:val="18"/>
              </w:rPr>
              <w:t>24 hours</w:t>
            </w:r>
          </w:p>
        </w:tc>
        <w:tc>
          <w:tcPr>
            <w:tcW w:type="dxa" w:w="1584"/>
            <w:vAlign w:val="center"/>
          </w:tcPr>
          <w:p>
            <w:pPr>
              <w:jc w:val="center"/>
            </w:pPr>
            <w:r>
              <w:rPr>
                <w:b w:val="0"/>
                <w:i w:val="0"/>
                <w:sz w:val="18"/>
              </w:rPr>
              <w:t>5 days</w:t>
            </w:r>
          </w:p>
        </w:tc>
      </w:tr>
      <w:tr>
        <w:tc>
          <w:tcPr>
            <w:tcW w:type="dxa" w:w="1584"/>
            <w:shd w:val="clear" w:color="auto" w:fill="F2F2F2"/>
            <w:vAlign w:val="center"/>
          </w:tcPr>
          <w:p>
            <w:r>
              <w:rPr>
                <w:b w:val="0"/>
                <w:i w:val="0"/>
                <w:sz w:val="18"/>
              </w:rPr>
              <w:t>P4 — Low</w:t>
            </w:r>
          </w:p>
        </w:tc>
        <w:tc>
          <w:tcPr>
            <w:tcW w:type="dxa" w:w="3600"/>
            <w:shd w:val="clear" w:color="auto" w:fill="F2F2F2"/>
            <w:vAlign w:val="center"/>
          </w:tcPr>
          <w:p>
            <w:r>
              <w:rPr>
                <w:b w:val="0"/>
                <w:i w:val="0"/>
                <w:sz w:val="18"/>
              </w:rPr>
              <w:t>Cosmetic, informational, or scheduled-work items; no service impact</w:t>
            </w:r>
          </w:p>
        </w:tc>
        <w:tc>
          <w:tcPr>
            <w:tcW w:type="dxa" w:w="1728"/>
            <w:shd w:val="clear" w:color="auto" w:fill="F2F2F2"/>
            <w:vAlign w:val="center"/>
          </w:tcPr>
          <w:p>
            <w:pPr>
              <w:jc w:val="center"/>
            </w:pPr>
            <w:r>
              <w:rPr>
                <w:b w:val="0"/>
                <w:i w:val="0"/>
                <w:sz w:val="18"/>
              </w:rPr>
              <w:t>8 hours</w:t>
            </w:r>
          </w:p>
        </w:tc>
        <w:tc>
          <w:tcPr>
            <w:tcW w:type="dxa" w:w="1296"/>
            <w:shd w:val="clear" w:color="auto" w:fill="F2F2F2"/>
            <w:vAlign w:val="center"/>
          </w:tcPr>
          <w:p>
            <w:pPr>
              <w:jc w:val="center"/>
            </w:pPr>
            <w:r>
              <w:rPr>
                <w:b w:val="0"/>
                <w:i w:val="0"/>
                <w:sz w:val="18"/>
              </w:rPr>
              <w:t>As scheduled</w:t>
            </w:r>
          </w:p>
        </w:tc>
        <w:tc>
          <w:tcPr>
            <w:tcW w:type="dxa" w:w="1584"/>
            <w:shd w:val="clear" w:color="auto" w:fill="F2F2F2"/>
            <w:vAlign w:val="center"/>
          </w:tcPr>
          <w:p>
            <w:pPr>
              <w:jc w:val="center"/>
            </w:pPr>
            <w:r>
              <w:rPr>
                <w:b w:val="0"/>
                <w:i w:val="0"/>
                <w:sz w:val="18"/>
              </w:rPr>
              <w:t>30 days</w:t>
            </w:r>
          </w:p>
        </w:tc>
      </w:tr>
    </w:tbl>
    <w:p>
      <w:pPr>
        <w:pStyle w:val="Heading2"/>
        <w:spacing w:before="160" w:after="60"/>
      </w:pPr>
      <w:r>
        <w:rPr>
          <w:rFonts w:ascii="Calibri" w:hAnsi="Calibri"/>
          <w:b/>
          <w:color w:val="000000"/>
          <w:sz w:val="22"/>
        </w:rPr>
        <w:t>7.2  Routine and Emergency Repair</w:t>
      </w:r>
    </w:p>
    <w:p>
      <w:r>
        <w:rPr>
          <w:b w:val="0"/>
          <w:i w:val="0"/>
        </w:rPr>
        <w:t>Operator will perform routine repair within the applicable severity targets and emergency repair immediately where continuity of Essential Services or public safety is threatened.</w:t>
      </w:r>
    </w:p>
    <w:p>
      <w:pPr>
        <w:pStyle w:val="Heading2"/>
        <w:spacing w:before="160" w:after="60"/>
      </w:pPr>
      <w:r>
        <w:rPr>
          <w:rFonts w:ascii="Calibri" w:hAnsi="Calibri"/>
          <w:b/>
          <w:color w:val="000000"/>
          <w:sz w:val="22"/>
        </w:rPr>
        <w:t>7.3  Dispatch</w:t>
      </w:r>
    </w:p>
    <w:p>
      <w:r>
        <w:rPr>
          <w:b w:val="0"/>
          <w:i w:val="0"/>
        </w:rPr>
        <w:t>Operator will maintain dispatch capability sufficient to meet the dispatch targets above, including after-hours and holiday coverage.</w:t>
      </w:r>
    </w:p>
    <w:p>
      <w:pPr>
        <w:pStyle w:val="Heading2"/>
        <w:spacing w:before="160" w:after="60"/>
      </w:pPr>
      <w:r>
        <w:rPr>
          <w:rFonts w:ascii="Calibri" w:hAnsi="Calibri"/>
          <w:b/>
          <w:color w:val="000000"/>
          <w:sz w:val="22"/>
        </w:rPr>
        <w:t>7.4  Escalation</w:t>
      </w:r>
    </w:p>
    <w:p>
      <w:r>
        <w:rPr>
          <w:b w:val="0"/>
          <w:i w:val="0"/>
        </w:rPr>
        <w:t>Unresolved events escalate on a documented time-based ladder (technician → supervisor → manager → executive sponsor → Tribe notification), with escalation contacts and thresholds maintained in Operations, Service Levels, Lifecycle, Spares, Refresh, and Reserves.</w:t>
      </w:r>
    </w:p>
    <w:p>
      <w:pPr>
        <w:pStyle w:val="Heading1"/>
        <w:spacing w:before="240" w:after="120"/>
      </w:pPr>
      <w:r>
        <w:rPr>
          <w:rFonts w:ascii="Calibri" w:hAnsi="Calibri"/>
          <w:b/>
          <w:color w:val="1F3864"/>
          <w:sz w:val="26"/>
        </w:rPr>
        <w:t>ARTICLE 8.  OUTAGE DEFINITIONS, TROUBLE TICKETS, AND PERFORMANCE METRICS</w:t>
      </w:r>
    </w:p>
    <w:p>
      <w:pPr>
        <w:pStyle w:val="Heading2"/>
        <w:spacing w:before="160" w:after="60"/>
      </w:pPr>
      <w:r>
        <w:rPr>
          <w:rFonts w:ascii="Calibri" w:hAnsi="Calibri"/>
          <w:b/>
          <w:color w:val="000000"/>
          <w:sz w:val="22"/>
        </w:rPr>
        <w:t>8.1  Outage Definition</w:t>
      </w:r>
    </w:p>
    <w:p>
      <w:r>
        <w:rPr>
          <w:b w:val="0"/>
          <w:i w:val="0"/>
        </w:rPr>
        <w:t>An “Outage” is a loss of, or degradation below the performance targets for, retail broadband service at one or more locations, measured from NOC detection or first valid report to Restoration, excluding approved planned-maintenance windows and customer-caused events.</w:t>
      </w:r>
    </w:p>
    <w:p>
      <w:pPr>
        <w:pStyle w:val="Heading2"/>
        <w:spacing w:before="160" w:after="60"/>
      </w:pPr>
      <w:r>
        <w:rPr>
          <w:rFonts w:ascii="Calibri" w:hAnsi="Calibri"/>
          <w:b/>
          <w:color w:val="000000"/>
          <w:sz w:val="22"/>
        </w:rPr>
        <w:t>8.2  Trouble-Ticket Metrics</w:t>
      </w:r>
    </w:p>
    <w:p>
      <w:r>
        <w:rPr>
          <w:b w:val="0"/>
          <w:i w:val="0"/>
        </w:rPr>
        <w:t>Operator will track and report per event: detection source and time, severity, response, dispatch, restoration, permanent-repair time, root cause, and affected locations; and monthly aggregates including MTTR by severity, ticket volumes, and repeat-fault counts.</w:t>
      </w:r>
    </w:p>
    <w:p>
      <w:pPr>
        <w:pStyle w:val="Heading1"/>
        <w:spacing w:before="240" w:after="120"/>
      </w:pPr>
      <w:r>
        <w:rPr>
          <w:rFonts w:ascii="Calibri" w:hAnsi="Calibri"/>
          <w:b/>
          <w:color w:val="1F3864"/>
          <w:sz w:val="26"/>
        </w:rPr>
        <w:t>ARTICLE 9.  PLANNED MAINTENANCE WINDOWS</w:t>
      </w:r>
    </w:p>
    <w:p>
      <w:pPr>
        <w:pStyle w:val="Heading2"/>
        <w:spacing w:before="160" w:after="60"/>
      </w:pPr>
      <w:r>
        <w:rPr>
          <w:rFonts w:ascii="Calibri" w:hAnsi="Calibri"/>
          <w:b/>
          <w:color w:val="000000"/>
          <w:sz w:val="22"/>
        </w:rPr>
        <w:t>9.1  Standard Windows</w:t>
      </w:r>
    </w:p>
    <w:p>
      <w:r>
        <w:rPr>
          <w:b w:val="0"/>
          <w:i w:val="0"/>
        </w:rPr>
        <w:t xml:space="preserve">Planned maintenance is performed within pre-agreed maintenance windows </w:t>
      </w:r>
      <w:r>
        <w:rPr>
          <w:b w:val="0"/>
          <w:i w:val="0"/>
          <w:color w:val="804000"/>
          <w:highlight w:val="yellow"/>
        </w:rPr>
        <w:t>[■ e.g., low-traffic overnight window(s) per week]</w:t>
      </w:r>
      <w:r>
        <w:rPr>
          <w:b w:val="0"/>
          <w:i w:val="0"/>
        </w:rPr>
        <w:t>, with advance notice per Operations, Service Levels, Lifecycle, Spares, Refresh, and Reserves; emergency maintenance may occur outside windows with prompt notice.</w:t>
      </w:r>
    </w:p>
    <w:p>
      <w:pPr>
        <w:pStyle w:val="Heading2"/>
        <w:spacing w:before="160" w:after="60"/>
      </w:pPr>
      <w:r>
        <w:rPr>
          <w:rFonts w:ascii="Calibri" w:hAnsi="Calibri"/>
          <w:b/>
          <w:color w:val="000000"/>
          <w:sz w:val="22"/>
        </w:rPr>
        <w:t>9.2  Customer Notice Coordination</w:t>
      </w:r>
    </w:p>
    <w:p>
      <w:r>
        <w:rPr>
          <w:b w:val="0"/>
          <w:i w:val="0"/>
        </w:rPr>
        <w:t>Planned-work notices affecting customers are coordinated with the retail provider of record under the Retail Customer Service, Billing, Collections, and Subscriber Revenue Agreement.</w:t>
      </w:r>
    </w:p>
    <w:p>
      <w:pPr>
        <w:pStyle w:val="Heading1"/>
        <w:spacing w:before="240" w:after="120"/>
      </w:pPr>
      <w:r>
        <w:rPr>
          <w:rFonts w:ascii="Calibri" w:hAnsi="Calibri"/>
          <w:b/>
          <w:color w:val="1F3864"/>
          <w:sz w:val="26"/>
        </w:rPr>
        <w:t>ARTICLE 10.  SPARE INVENTORY, VENDOR MANAGEMENT, AND STORM RESPONSE</w:t>
      </w:r>
    </w:p>
    <w:p>
      <w:pPr>
        <w:pStyle w:val="Heading2"/>
        <w:spacing w:before="160" w:after="60"/>
      </w:pPr>
      <w:r>
        <w:rPr>
          <w:rFonts w:ascii="Calibri" w:hAnsi="Calibri"/>
          <w:b/>
          <w:color w:val="000000"/>
          <w:sz w:val="22"/>
        </w:rPr>
        <w:t>10.1  Spare Parts Inventory</w:t>
      </w:r>
    </w:p>
    <w:p>
      <w:r>
        <w:rPr>
          <w:b w:val="0"/>
          <w:i w:val="0"/>
        </w:rPr>
        <w:t>Operator will maintain a critical-spares inventory sufficient to meet restoration targets, tracked and reported in Operations, Service Levels, Lifecycle, Spares, Refresh, and Reserves, with minimum stocking levels for long-lead items.</w:t>
      </w:r>
    </w:p>
    <w:p>
      <w:pPr>
        <w:pStyle w:val="Heading2"/>
        <w:spacing w:before="160" w:after="60"/>
      </w:pPr>
      <w:r>
        <w:rPr>
          <w:rFonts w:ascii="Calibri" w:hAnsi="Calibri"/>
          <w:b/>
          <w:color w:val="000000"/>
          <w:sz w:val="22"/>
        </w:rPr>
        <w:t>10.2  Vendor Management</w:t>
      </w:r>
    </w:p>
    <w:p>
      <w:r>
        <w:rPr>
          <w:b w:val="0"/>
          <w:i w:val="0"/>
        </w:rPr>
        <w:t>Operator will manage subcontractors and vendors under flow-down of Award and this Agreement's requirements, maintaining qualified vendors for splicing, construction, and electronics support.</w:t>
      </w:r>
    </w:p>
    <w:p>
      <w:pPr>
        <w:pStyle w:val="Heading2"/>
        <w:spacing w:before="160" w:after="60"/>
      </w:pPr>
      <w:r>
        <w:rPr>
          <w:rFonts w:ascii="Calibri" w:hAnsi="Calibri"/>
          <w:b/>
          <w:color w:val="000000"/>
          <w:sz w:val="22"/>
        </w:rPr>
        <w:t>10.3  Storm and Emergency Response</w:t>
      </w:r>
    </w:p>
    <w:p>
      <w:r>
        <w:rPr>
          <w:b w:val="0"/>
          <w:i w:val="0"/>
        </w:rPr>
        <w:t>Operator will maintain a storm/emergency response plan addressing pre-event readiness, mutual aid, prioritized restoration of Essential Services, and coordination with LREMC for power and shared facilities, consistent with southeastern North Carolina hurricane exposure.</w:t>
      </w:r>
    </w:p>
    <w:p>
      <w:pPr>
        <w:ind w:left="504"/>
      </w:pPr>
      <w:r>
        <w:rPr>
          <w:b/>
          <w:color w:val="007000"/>
        </w:rPr>
        <w:t xml:space="preserve">[TECHNICAL INFORMATION REQUIRED]  </w:t>
      </w:r>
      <w:r>
        <w:rPr>
          <w:i/>
          <w:color w:val="595959"/>
        </w:rPr>
        <w:t>Confirm critical-spares list, stocking levels, and long-lead items against the approved bill of materials and equipment schedule.</w:t>
      </w:r>
    </w:p>
    <w:p>
      <w:pPr>
        <w:pStyle w:val="Heading1"/>
        <w:spacing w:before="240" w:after="120"/>
      </w:pPr>
      <w:r>
        <w:rPr>
          <w:rFonts w:ascii="Calibri" w:hAnsi="Calibri"/>
          <w:b/>
          <w:color w:val="1F3864"/>
          <w:sz w:val="26"/>
        </w:rPr>
        <w:t>ARTICLE 11.  FIRMWARE, SOFTWARE, AND CYBERSECURITY COORDINATION</w:t>
      </w:r>
    </w:p>
    <w:p>
      <w:pPr>
        <w:pStyle w:val="Heading2"/>
        <w:spacing w:before="160" w:after="60"/>
      </w:pPr>
      <w:r>
        <w:rPr>
          <w:rFonts w:ascii="Calibri" w:hAnsi="Calibri"/>
          <w:b/>
          <w:color w:val="000000"/>
          <w:sz w:val="22"/>
        </w:rPr>
        <w:t>11.1  Firmware/Software Management</w:t>
      </w:r>
    </w:p>
    <w:p>
      <w:r>
        <w:rPr>
          <w:b w:val="0"/>
          <w:i w:val="0"/>
        </w:rPr>
        <w:t>Operator will manage firmware and software versions, security patches, configuration baselines, and change control, testing changes before deployment where practicable and maintaining rollback capability.</w:t>
      </w:r>
    </w:p>
    <w:p>
      <w:pPr>
        <w:pStyle w:val="Heading2"/>
        <w:spacing w:before="160" w:after="60"/>
      </w:pPr>
      <w:r>
        <w:rPr>
          <w:rFonts w:ascii="Calibri" w:hAnsi="Calibri"/>
          <w:b/>
          <w:color w:val="000000"/>
          <w:sz w:val="22"/>
        </w:rPr>
        <w:t>11.2  Cybersecurity Coordination</w:t>
      </w:r>
    </w:p>
    <w:p>
      <w:r>
        <w:rPr>
          <w:b w:val="0"/>
          <w:i w:val="0"/>
        </w:rPr>
        <w:t xml:space="preserve">Cybersecurity monitoring, incident response, supply-chain risk, and covered-equipment prohibitions are coordinated under the Data Privacy, Cybersecurity, Supply-Chain Risk, and Business Continuity Addendum and Data, Privacy, Cybersecurity, Supply-Chain Risk, Incident Response, and Disaster Recovery; in any conflict that Addendum controls security matters. </w:t>
      </w:r>
      <w:r>
        <w:rPr>
          <w:b/>
          <w:i w:val="0"/>
          <w:color w:val="7F007F"/>
        </w:rPr>
        <w:t>[GRANT COMPLIANCE REVIEW REQUIRED]</w:t>
      </w:r>
      <w:r>
        <w:rPr>
          <w:b w:val="0"/>
          <w:i w:val="0"/>
        </w:rPr>
        <w:t xml:space="preserve">  Covered telecommunications equipment is prohibited per 2 CFR 200.216 (Prohibition on certain telecommunications and video surveillance — §889 covered equipment).</w:t>
      </w:r>
    </w:p>
    <w:p>
      <w:pPr>
        <w:pStyle w:val="Heading1"/>
        <w:spacing w:before="240" w:after="120"/>
      </w:pPr>
      <w:r>
        <w:rPr>
          <w:rFonts w:ascii="Calibri" w:hAnsi="Calibri"/>
          <w:b/>
          <w:color w:val="1F3864"/>
          <w:sz w:val="26"/>
        </w:rPr>
        <w:t>ARTICLE 12.  PERFORMANCE REPORTING AND SERVICE CREDITS</w:t>
      </w:r>
    </w:p>
    <w:p>
      <w:pPr>
        <w:pStyle w:val="Heading2"/>
        <w:spacing w:before="160" w:after="60"/>
      </w:pPr>
      <w:r>
        <w:rPr>
          <w:rFonts w:ascii="Calibri" w:hAnsi="Calibri"/>
          <w:b/>
          <w:color w:val="000000"/>
          <w:sz w:val="22"/>
        </w:rPr>
        <w:t>12.1  Monthly Performance Reporting</w:t>
      </w:r>
    </w:p>
    <w:p>
      <w:r>
        <w:rPr>
          <w:b w:val="0"/>
          <w:i w:val="0"/>
        </w:rPr>
        <w:t>Operator will deliver a monthly performance report (cross-reference: 04 Operational Forms — Monthly Performance Report and Operations, Service Levels, Lifecycle, Spares, Refresh, and Reserves) covering availability, latency, loss, jitter, severity-based response/dispatch/restoration attainment, ticket metrics, and open items.</w:t>
      </w:r>
    </w:p>
    <w:p>
      <w:pPr>
        <w:pStyle w:val="Heading2"/>
        <w:spacing w:before="160" w:after="60"/>
      </w:pPr>
      <w:r>
        <w:rPr>
          <w:rFonts w:ascii="Calibri" w:hAnsi="Calibri"/>
          <w:b/>
          <w:color w:val="000000"/>
          <w:sz w:val="22"/>
        </w:rPr>
        <w:t>12.2  Service Credits</w:t>
      </w:r>
    </w:p>
    <w:p>
      <w:r>
        <w:rPr>
          <w:b w:val="0"/>
          <w:i w:val="0"/>
        </w:rPr>
        <w:t xml:space="preserve">Where Operator fails to meet a committed service level, service credits apply as set out below and in Operations, Service Levels, Lifecycle, Spares, Refresh, and Reserves. Service credits are the agreed monetary adjustment for the measured miss and do not limit step-in or persistent-failure remedies. </w:t>
      </w:r>
      <w:r>
        <w:rPr>
          <w:b/>
          <w:i w:val="0"/>
          <w:color w:val="C00000"/>
        </w:rPr>
        <w:t>[BUSINESS DECISION REQUIRED]</w:t>
      </w:r>
      <w:r>
        <w:rPr>
          <w:b w:val="0"/>
          <w:i w:val="0"/>
        </w:rPr>
        <w:t xml:space="preserve">  Credit amounts, caps, and whether credits offset operating payments or the per-subscriber payment are business decisions to be confirmed.</w:t>
      </w:r>
    </w:p>
    <w:p>
      <w:r>
        <w:rPr>
          <w:b/>
          <w:i w:val="0"/>
        </w:rPr>
        <w:t>Service-Credit Schedule: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1F3864"/>
            <w:vAlign w:val="center"/>
          </w:tcPr>
          <w:p>
            <w:pPr>
              <w:jc w:val="center"/>
            </w:pPr>
            <w:r>
              <w:rPr>
                <w:b/>
                <w:color w:val="FFFFFF"/>
                <w:sz w:val="18"/>
              </w:rPr>
              <w:t>Service Level</w:t>
            </w:r>
          </w:p>
        </w:tc>
        <w:tc>
          <w:tcPr>
            <w:tcW w:type="dxa" w:w="2160"/>
            <w:shd w:val="clear" w:color="auto" w:fill="1F3864"/>
            <w:vAlign w:val="center"/>
          </w:tcPr>
          <w:p>
            <w:pPr>
              <w:jc w:val="center"/>
            </w:pPr>
            <w:r>
              <w:rPr>
                <w:b/>
                <w:color w:val="FFFFFF"/>
                <w:sz w:val="18"/>
              </w:rPr>
              <w:t>Committed Target</w:t>
            </w:r>
          </w:p>
        </w:tc>
        <w:tc>
          <w:tcPr>
            <w:tcW w:type="dxa" w:w="1584"/>
            <w:shd w:val="clear" w:color="auto" w:fill="1F3864"/>
            <w:vAlign w:val="center"/>
          </w:tcPr>
          <w:p>
            <w:pPr>
              <w:jc w:val="center"/>
            </w:pPr>
            <w:r>
              <w:rPr>
                <w:b/>
                <w:color w:val="FFFFFF"/>
                <w:sz w:val="18"/>
              </w:rPr>
              <w:t>Measurement Period</w:t>
            </w:r>
          </w:p>
        </w:tc>
        <w:tc>
          <w:tcPr>
            <w:tcW w:type="dxa" w:w="1728"/>
            <w:shd w:val="clear" w:color="auto" w:fill="1F3864"/>
            <w:vAlign w:val="center"/>
          </w:tcPr>
          <w:p>
            <w:pPr>
              <w:jc w:val="center"/>
            </w:pPr>
            <w:r>
              <w:rPr>
                <w:b/>
                <w:color w:val="FFFFFF"/>
                <w:sz w:val="18"/>
              </w:rPr>
              <w:t>Miss Threshold</w:t>
            </w:r>
          </w:p>
        </w:tc>
        <w:tc>
          <w:tcPr>
            <w:tcW w:type="dxa" w:w="1872"/>
            <w:shd w:val="clear" w:color="auto" w:fill="1F3864"/>
            <w:vAlign w:val="center"/>
          </w:tcPr>
          <w:p>
            <w:pPr>
              <w:jc w:val="center"/>
            </w:pPr>
            <w:r>
              <w:rPr>
                <w:b/>
                <w:color w:val="FFFFFF"/>
                <w:sz w:val="18"/>
              </w:rPr>
              <w:t>Service Credit</w:t>
            </w:r>
          </w:p>
        </w:tc>
      </w:tr>
      <w:tr>
        <w:tc>
          <w:tcPr>
            <w:tcW w:type="dxa" w:w="2016"/>
            <w:vAlign w:val="center"/>
          </w:tcPr>
          <w:p>
            <w:r>
              <w:rPr>
                <w:b w:val="0"/>
                <w:i w:val="0"/>
                <w:sz w:val="18"/>
              </w:rPr>
              <w:t>Availability</w:t>
            </w:r>
          </w:p>
        </w:tc>
        <w:tc>
          <w:tcPr>
            <w:tcW w:type="dxa" w:w="2160"/>
            <w:vAlign w:val="center"/>
          </w:tcPr>
          <w:p>
            <w:r>
              <w:rPr>
                <w:b w:val="0"/>
                <w:i w:val="0"/>
                <w:sz w:val="18"/>
              </w:rPr>
              <w:t>99.9%</w:t>
            </w:r>
          </w:p>
        </w:tc>
        <w:tc>
          <w:tcPr>
            <w:tcW w:type="dxa" w:w="1584"/>
            <w:vAlign w:val="center"/>
          </w:tcPr>
          <w:p>
            <w:r>
              <w:rPr>
                <w:b w:val="0"/>
                <w:i w:val="0"/>
                <w:sz w:val="18"/>
              </w:rPr>
              <w:t>Monthly</w:t>
            </w:r>
          </w:p>
        </w:tc>
        <w:tc>
          <w:tcPr>
            <w:tcW w:type="dxa" w:w="1728"/>
            <w:vAlign w:val="center"/>
          </w:tcPr>
          <w:p>
            <w:r>
              <w:rPr>
                <w:b w:val="0"/>
                <w:i w:val="0"/>
                <w:sz w:val="18"/>
              </w:rPr>
              <w:t>Below 99.9%</w:t>
            </w:r>
          </w:p>
        </w:tc>
        <w:tc>
          <w:tcPr>
            <w:tcW w:type="dxa" w:w="1872"/>
            <w:vAlign w:val="center"/>
          </w:tcPr>
          <w:p>
            <w:r>
              <w:rPr>
                <w:b w:val="0"/>
                <w:i w:val="0"/>
                <w:color w:val="804000"/>
                <w:sz w:val="18"/>
                <w:highlight w:val="yellow"/>
              </w:rPr>
              <w:t>[■ credit % of monthly amount / step schedule]</w:t>
            </w:r>
          </w:p>
        </w:tc>
      </w:tr>
      <w:tr>
        <w:tc>
          <w:tcPr>
            <w:tcW w:type="dxa" w:w="2016"/>
            <w:shd w:val="clear" w:color="auto" w:fill="F2F2F2"/>
            <w:vAlign w:val="center"/>
          </w:tcPr>
          <w:p>
            <w:r>
              <w:rPr>
                <w:b w:val="0"/>
                <w:i w:val="0"/>
                <w:sz w:val="18"/>
              </w:rPr>
              <w:t>P1 Restoration</w:t>
            </w:r>
          </w:p>
        </w:tc>
        <w:tc>
          <w:tcPr>
            <w:tcW w:type="dxa" w:w="2160"/>
            <w:shd w:val="clear" w:color="auto" w:fill="F2F2F2"/>
            <w:vAlign w:val="center"/>
          </w:tcPr>
          <w:p>
            <w:r>
              <w:rPr>
                <w:b w:val="0"/>
                <w:i w:val="0"/>
                <w:sz w:val="18"/>
              </w:rPr>
              <w:t>8 hours</w:t>
            </w:r>
          </w:p>
        </w:tc>
        <w:tc>
          <w:tcPr>
            <w:tcW w:type="dxa" w:w="1584"/>
            <w:shd w:val="clear" w:color="auto" w:fill="F2F2F2"/>
            <w:vAlign w:val="center"/>
          </w:tcPr>
          <w:p>
            <w:r>
              <w:rPr>
                <w:b w:val="0"/>
                <w:i w:val="0"/>
                <w:sz w:val="18"/>
              </w:rPr>
              <w:t>Per event / monthly</w:t>
            </w:r>
          </w:p>
        </w:tc>
        <w:tc>
          <w:tcPr>
            <w:tcW w:type="dxa" w:w="1728"/>
            <w:shd w:val="clear" w:color="auto" w:fill="F2F2F2"/>
            <w:vAlign w:val="center"/>
          </w:tcPr>
          <w:p>
            <w:r>
              <w:rPr>
                <w:b w:val="0"/>
                <w:i w:val="0"/>
                <w:sz w:val="18"/>
              </w:rPr>
              <w:t>Target missed</w:t>
            </w:r>
          </w:p>
        </w:tc>
        <w:tc>
          <w:tcPr>
            <w:tcW w:type="dxa" w:w="1872"/>
            <w:shd w:val="clear" w:color="auto" w:fill="F2F2F2"/>
            <w:vAlign w:val="center"/>
          </w:tcPr>
          <w:p>
            <w:r>
              <w:rPr>
                <w:b w:val="0"/>
                <w:i w:val="0"/>
                <w:color w:val="804000"/>
                <w:sz w:val="18"/>
                <w:highlight w:val="yellow"/>
              </w:rPr>
              <w:t>[■ per-event credit]</w:t>
            </w:r>
          </w:p>
        </w:tc>
      </w:tr>
      <w:tr>
        <w:tc>
          <w:tcPr>
            <w:tcW w:type="dxa" w:w="2016"/>
            <w:vAlign w:val="center"/>
          </w:tcPr>
          <w:p>
            <w:r>
              <w:rPr>
                <w:b w:val="0"/>
                <w:i w:val="0"/>
                <w:sz w:val="18"/>
              </w:rPr>
              <w:t>P2 Restoration</w:t>
            </w:r>
          </w:p>
        </w:tc>
        <w:tc>
          <w:tcPr>
            <w:tcW w:type="dxa" w:w="2160"/>
            <w:vAlign w:val="center"/>
          </w:tcPr>
          <w:p>
            <w:r>
              <w:rPr>
                <w:b w:val="0"/>
                <w:i w:val="0"/>
                <w:sz w:val="18"/>
              </w:rPr>
              <w:t>24 hours</w:t>
            </w:r>
          </w:p>
        </w:tc>
        <w:tc>
          <w:tcPr>
            <w:tcW w:type="dxa" w:w="1584"/>
            <w:vAlign w:val="center"/>
          </w:tcPr>
          <w:p>
            <w:r>
              <w:rPr>
                <w:b w:val="0"/>
                <w:i w:val="0"/>
                <w:sz w:val="18"/>
              </w:rPr>
              <w:t>Per event / monthly</w:t>
            </w:r>
          </w:p>
        </w:tc>
        <w:tc>
          <w:tcPr>
            <w:tcW w:type="dxa" w:w="1728"/>
            <w:vAlign w:val="center"/>
          </w:tcPr>
          <w:p>
            <w:r>
              <w:rPr>
                <w:b w:val="0"/>
                <w:i w:val="0"/>
                <w:sz w:val="18"/>
              </w:rPr>
              <w:t>Target missed</w:t>
            </w:r>
          </w:p>
        </w:tc>
        <w:tc>
          <w:tcPr>
            <w:tcW w:type="dxa" w:w="1872"/>
            <w:vAlign w:val="center"/>
          </w:tcPr>
          <w:p>
            <w:r>
              <w:rPr>
                <w:b w:val="0"/>
                <w:i w:val="0"/>
                <w:color w:val="804000"/>
                <w:sz w:val="18"/>
                <w:highlight w:val="yellow"/>
              </w:rPr>
              <w:t>[■ per-event credit]</w:t>
            </w:r>
          </w:p>
        </w:tc>
      </w:tr>
      <w:tr>
        <w:tc>
          <w:tcPr>
            <w:tcW w:type="dxa" w:w="2016"/>
            <w:shd w:val="clear" w:color="auto" w:fill="F2F2F2"/>
            <w:vAlign w:val="center"/>
          </w:tcPr>
          <w:p>
            <w:r>
              <w:rPr>
                <w:b w:val="0"/>
                <w:i w:val="0"/>
                <w:sz w:val="18"/>
              </w:rPr>
              <w:t>Latency / Loss / Jitter</w:t>
            </w:r>
          </w:p>
        </w:tc>
        <w:tc>
          <w:tcPr>
            <w:tcW w:type="dxa" w:w="2160"/>
            <w:shd w:val="clear" w:color="auto" w:fill="F2F2F2"/>
            <w:vAlign w:val="center"/>
          </w:tcPr>
          <w:p>
            <w:r>
              <w:rPr>
                <w:b w:val="0"/>
                <w:i w:val="0"/>
                <w:sz w:val="18"/>
              </w:rPr>
              <w:t>≤100ms / ≤0.1% / ≤30ms</w:t>
            </w:r>
          </w:p>
        </w:tc>
        <w:tc>
          <w:tcPr>
            <w:tcW w:type="dxa" w:w="1584"/>
            <w:shd w:val="clear" w:color="auto" w:fill="F2F2F2"/>
            <w:vAlign w:val="center"/>
          </w:tcPr>
          <w:p>
            <w:r>
              <w:rPr>
                <w:b w:val="0"/>
                <w:i w:val="0"/>
                <w:sz w:val="18"/>
              </w:rPr>
              <w:t>Monthly</w:t>
            </w:r>
          </w:p>
        </w:tc>
        <w:tc>
          <w:tcPr>
            <w:tcW w:type="dxa" w:w="1728"/>
            <w:shd w:val="clear" w:color="auto" w:fill="F2F2F2"/>
            <w:vAlign w:val="center"/>
          </w:tcPr>
          <w:p>
            <w:r>
              <w:rPr>
                <w:b w:val="0"/>
                <w:i w:val="0"/>
                <w:sz w:val="18"/>
              </w:rPr>
              <w:t>Sustained breach</w:t>
            </w:r>
          </w:p>
        </w:tc>
        <w:tc>
          <w:tcPr>
            <w:tcW w:type="dxa" w:w="1872"/>
            <w:shd w:val="clear" w:color="auto" w:fill="F2F2F2"/>
            <w:vAlign w:val="center"/>
          </w:tcPr>
          <w:p>
            <w:r>
              <w:rPr>
                <w:b w:val="0"/>
                <w:i w:val="0"/>
                <w:color w:val="804000"/>
                <w:sz w:val="18"/>
                <w:highlight w:val="yellow"/>
              </w:rPr>
              <w:t>[■ credit % of monthly amount]</w:t>
            </w:r>
          </w:p>
        </w:tc>
      </w:tr>
      <w:tr>
        <w:tc>
          <w:tcPr>
            <w:tcW w:type="dxa" w:w="2016"/>
            <w:vAlign w:val="center"/>
          </w:tcPr>
          <w:p>
            <w:r>
              <w:rPr>
                <w:b w:val="0"/>
                <w:i w:val="0"/>
                <w:sz w:val="18"/>
              </w:rPr>
              <w:t>Chronic / Repeat Fault</w:t>
            </w:r>
          </w:p>
        </w:tc>
        <w:tc>
          <w:tcPr>
            <w:tcW w:type="dxa" w:w="2160"/>
            <w:vAlign w:val="center"/>
          </w:tcPr>
          <w:p>
            <w:r>
              <w:rPr>
                <w:b w:val="0"/>
                <w:i w:val="0"/>
                <w:sz w:val="18"/>
              </w:rPr>
              <w:t>No repeat P1/P2 at same location within [30] days</w:t>
            </w:r>
          </w:p>
        </w:tc>
        <w:tc>
          <w:tcPr>
            <w:tcW w:type="dxa" w:w="1584"/>
            <w:vAlign w:val="center"/>
          </w:tcPr>
          <w:p>
            <w:r>
              <w:rPr>
                <w:b w:val="0"/>
                <w:i w:val="0"/>
                <w:sz w:val="18"/>
              </w:rPr>
              <w:t>Rolling</w:t>
            </w:r>
          </w:p>
        </w:tc>
        <w:tc>
          <w:tcPr>
            <w:tcW w:type="dxa" w:w="1728"/>
            <w:vAlign w:val="center"/>
          </w:tcPr>
          <w:p>
            <w:r>
              <w:rPr>
                <w:b w:val="0"/>
                <w:i w:val="0"/>
                <w:sz w:val="18"/>
              </w:rPr>
              <w:t>Repeat within window</w:t>
            </w:r>
          </w:p>
        </w:tc>
        <w:tc>
          <w:tcPr>
            <w:tcW w:type="dxa" w:w="1872"/>
            <w:vAlign w:val="center"/>
          </w:tcPr>
          <w:p>
            <w:r>
              <w:rPr>
                <w:b w:val="0"/>
                <w:i w:val="0"/>
                <w:color w:val="804000"/>
                <w:sz w:val="18"/>
                <w:highlight w:val="yellow"/>
              </w:rPr>
              <w:t>[■ escalated credit + remediation plan]</w:t>
            </w:r>
          </w:p>
        </w:tc>
      </w:tr>
    </w:tbl>
    <w:p>
      <w:pPr>
        <w:pStyle w:val="Heading1"/>
        <w:spacing w:before="240" w:after="120"/>
      </w:pPr>
      <w:r>
        <w:rPr>
          <w:rFonts w:ascii="Calibri" w:hAnsi="Calibri"/>
          <w:b/>
          <w:color w:val="1F3864"/>
          <w:sz w:val="26"/>
        </w:rPr>
        <w:t>ARTICLE 13.  EXTRAORDINARY WORK</w:t>
      </w:r>
    </w:p>
    <w:p>
      <w:pPr>
        <w:pStyle w:val="Heading2"/>
        <w:spacing w:before="160" w:after="60"/>
      </w:pPr>
      <w:r>
        <w:rPr>
          <w:rFonts w:ascii="Calibri" w:hAnsi="Calibri"/>
          <w:b/>
          <w:color w:val="000000"/>
          <w:sz w:val="22"/>
        </w:rPr>
        <w:t>13.1  Scope and Authorization</w:t>
      </w:r>
    </w:p>
    <w:p>
      <w:r>
        <w:rPr>
          <w:b w:val="0"/>
          <w:i w:val="0"/>
        </w:rPr>
        <w:t>Extraordinary Work is outside routine/preventive O&amp;M and requires prior written authorization and an agreed change order specifying scope, price basis, and Award-cost eligibility.</w:t>
      </w:r>
    </w:p>
    <w:p>
      <w:pPr>
        <w:pStyle w:val="Heading2"/>
        <w:spacing w:before="160" w:after="60"/>
      </w:pPr>
      <w:r>
        <w:rPr>
          <w:rFonts w:ascii="Calibri" w:hAnsi="Calibri"/>
          <w:b/>
          <w:color w:val="000000"/>
          <w:sz w:val="22"/>
        </w:rPr>
        <w:t>13.2  Pricing Basis</w:t>
      </w:r>
    </w:p>
    <w:p>
      <w:r>
        <w:rPr>
          <w:b w:val="0"/>
          <w:i w:val="0"/>
        </w:rPr>
        <w:t xml:space="preserve">Extraordinary Work is priced on </w:t>
      </w:r>
      <w:r>
        <w:rPr>
          <w:b w:val="0"/>
          <w:i w:val="0"/>
          <w:color w:val="804000"/>
          <w:highlight w:val="yellow"/>
        </w:rPr>
        <w:t>[■ agreed rate card / time-and-materials / lump sum]</w:t>
      </w:r>
      <w:r>
        <w:rPr>
          <w:b w:val="0"/>
          <w:i w:val="0"/>
        </w:rPr>
        <w:t xml:space="preserve"> basis, subject to 2 CFR Part 200, Subpart E (Cost Principles — allowability, allocability, reasonableness) where costs are charged to the Award. </w:t>
      </w:r>
      <w:r>
        <w:rPr>
          <w:b/>
          <w:i w:val="0"/>
          <w:color w:val="C00000"/>
        </w:rPr>
        <w:t>[BUSINESS DECISION REQUIRED]</w:t>
      </w:r>
    </w:p>
    <w:p>
      <w:pPr>
        <w:pStyle w:val="Heading1"/>
        <w:spacing w:before="240" w:after="120"/>
      </w:pPr>
      <w:r>
        <w:rPr>
          <w:rFonts w:ascii="Calibri" w:hAnsi="Calibri"/>
          <w:b/>
          <w:color w:val="1F3864"/>
          <w:sz w:val="26"/>
        </w:rPr>
        <w:t>ARTICLE 14.  OPERATING BUDGET, CAPITAL REFRESH, REPLACEMENT RESERVE, AND END-OF-LIFE</w:t>
      </w:r>
    </w:p>
    <w:p>
      <w:pPr>
        <w:pStyle w:val="Heading2"/>
        <w:spacing w:before="160" w:after="60"/>
      </w:pPr>
      <w:r>
        <w:rPr>
          <w:rFonts w:ascii="Calibri" w:hAnsi="Calibri"/>
          <w:b/>
          <w:color w:val="000000"/>
          <w:sz w:val="22"/>
        </w:rPr>
        <w:t>14.1  Annual Operating Budget</w:t>
      </w:r>
    </w:p>
    <w:p>
      <w:r>
        <w:rPr>
          <w:b w:val="0"/>
          <w:i w:val="0"/>
        </w:rPr>
        <w:t xml:space="preserve">The Parties will agree an annual operating budget for the Tribal Network covering monitoring, maintenance, spares, and support, reconciled annually. </w:t>
      </w:r>
      <w:r>
        <w:rPr>
          <w:b/>
          <w:i w:val="0"/>
          <w:color w:val="C00000"/>
        </w:rPr>
        <w:t>[BUSINESS DECISION REQUIRED]</w:t>
      </w:r>
    </w:p>
    <w:p>
      <w:pPr>
        <w:pStyle w:val="Heading2"/>
        <w:spacing w:before="160" w:after="60"/>
      </w:pPr>
      <w:r>
        <w:rPr>
          <w:rFonts w:ascii="Calibri" w:hAnsi="Calibri"/>
          <w:b/>
          <w:color w:val="000000"/>
          <w:sz w:val="22"/>
        </w:rPr>
        <w:t>14.2  Capital Refresh and Obsolescence</w:t>
      </w:r>
    </w:p>
    <w:p>
      <w:r>
        <w:rPr>
          <w:b w:val="0"/>
          <w:i w:val="0"/>
        </w:rPr>
        <w:t>Operator will maintain a rolling multi-year capital-refresh and obsolescence plan identifying electronics and systems approaching end-of-support, with recommended replacement timing.</w:t>
      </w:r>
    </w:p>
    <w:p>
      <w:pPr>
        <w:pStyle w:val="Heading2"/>
        <w:spacing w:before="160" w:after="60"/>
      </w:pPr>
      <w:r>
        <w:rPr>
          <w:rFonts w:ascii="Calibri" w:hAnsi="Calibri"/>
          <w:b/>
          <w:color w:val="000000"/>
          <w:sz w:val="22"/>
        </w:rPr>
        <w:t>14.3  Replacement Reserve</w:t>
      </w:r>
    </w:p>
    <w:p>
      <w:r>
        <w:rPr>
          <w:b w:val="0"/>
          <w:i w:val="0"/>
        </w:rPr>
        <w:t xml:space="preserve">A Replacement Reserve will be established and funded to support capital refresh and end-of-life replacement of the Grant-Funded Assets. </w:t>
      </w:r>
      <w:r>
        <w:rPr>
          <w:b/>
          <w:i w:val="0"/>
          <w:color w:val="C00000"/>
        </w:rPr>
        <w:t>[BUSINESS DECISION REQUIRED]</w:t>
      </w:r>
      <w:r>
        <w:rPr>
          <w:b w:val="0"/>
          <w:i w:val="0"/>
        </w:rPr>
        <w:t xml:space="preserve">  Funding source, contribution amount, custody, and permitted uses are to be confirmed. </w:t>
      </w:r>
      <w:r>
        <w:rPr>
          <w:b/>
          <w:i w:val="0"/>
          <w:color w:val="7F007F"/>
        </w:rPr>
        <w:t>[GRANT COMPLIANCE REVIEW REQUIRED]</w:t>
      </w:r>
      <w:r>
        <w:rPr>
          <w:b w:val="0"/>
          <w:i w:val="0"/>
        </w:rPr>
        <w:t xml:space="preserve">  Reserve funding and use must be consistent with the Award, allowable-cost rules (2 CFR Part 200, Subpart E (Cost Principles — allowability, allocability, reasonableness)), and any program-income treatment (2 CFR 200.307 (Program income)).</w:t>
      </w:r>
    </w:p>
    <w:p>
      <w:pPr>
        <w:pStyle w:val="Heading2"/>
        <w:spacing w:before="160" w:after="60"/>
      </w:pPr>
      <w:r>
        <w:rPr>
          <w:rFonts w:ascii="Calibri" w:hAnsi="Calibri"/>
          <w:b/>
          <w:color w:val="000000"/>
          <w:sz w:val="22"/>
        </w:rPr>
        <w:t>14.4  End-of-Life Planning</w:t>
      </w:r>
    </w:p>
    <w:p>
      <w:r>
        <w:rPr>
          <w:b w:val="0"/>
          <w:i w:val="0"/>
        </w:rPr>
        <w:t>Operator will provide end-of-life planning for major assets, including migration and decommissioning recommendations, to preserve continuity and protect the Federal Interest.</w:t>
      </w:r>
    </w:p>
    <w:p>
      <w:pPr>
        <w:pStyle w:val="Heading1"/>
        <w:spacing w:before="240" w:after="120"/>
      </w:pPr>
      <w:r>
        <w:rPr>
          <w:rFonts w:ascii="Calibri" w:hAnsi="Calibri"/>
          <w:b/>
          <w:color w:val="1F3864"/>
          <w:sz w:val="26"/>
        </w:rPr>
        <w:t>ARTICLE 15.  INSURANCE</w:t>
      </w:r>
    </w:p>
    <w:p>
      <w:pPr>
        <w:pStyle w:val="Heading2"/>
        <w:spacing w:before="160" w:after="60"/>
      </w:pPr>
      <w:r>
        <w:rPr>
          <w:rFonts w:ascii="Calibri" w:hAnsi="Calibri"/>
          <w:b/>
          <w:color w:val="000000"/>
          <w:sz w:val="22"/>
        </w:rPr>
        <w:t>15.1  Required Coverages</w:t>
      </w:r>
    </w:p>
    <w:p>
      <w:r>
        <w:rPr>
          <w:b w:val="0"/>
          <w:i w:val="0"/>
        </w:rPr>
        <w:t>Operator will maintain, at minimum: commercial general liability $2,000,000 per occurrence / $4,000,000 aggregate; automobile liability $1,000,000; umbrella/excess $10,000,000; workers' compensation at statutory limits with employers' liability $1,000,000; professional/technology E&amp;O $5,000,000; cyber $5,000,000; and property/builders' risk at full replacement cost of the Tribal Assets, all consistent with Insurance, Indemnity, Liability Allocation, and Claims Procedures and 2 CFR 200.310 (Insurance coverage).</w:t>
      </w:r>
    </w:p>
    <w:p>
      <w:pPr>
        <w:pStyle w:val="Heading2"/>
        <w:spacing w:before="160" w:after="60"/>
      </w:pPr>
      <w:r>
        <w:rPr>
          <w:rFonts w:ascii="Calibri" w:hAnsi="Calibri"/>
          <w:b/>
          <w:color w:val="000000"/>
          <w:sz w:val="22"/>
        </w:rPr>
        <w:t>15.2  Endorsements</w:t>
      </w:r>
    </w:p>
    <w:p>
      <w:r>
        <w:rPr>
          <w:b w:val="0"/>
          <w:i w:val="0"/>
        </w:rPr>
        <w:t>Policies will name the Lumbee Tribe as additional insured as its interests appear, provide waivers of subrogation where available, and require notice of cancellation.</w:t>
      </w:r>
    </w:p>
    <w:p>
      <w:pPr>
        <w:ind w:left="504"/>
      </w:pPr>
      <w:r>
        <w:rPr>
          <w:b/>
          <w:color w:val="0000C0"/>
        </w:rPr>
        <w:t xml:space="preserve">[ATTORNEY REVIEW REQUIRED]  </w:t>
      </w:r>
      <w:r>
        <w:rPr>
          <w:i/>
          <w:color w:val="595959"/>
        </w:rPr>
        <w:t>Confirm limits, additional-insured status, and coordination with indemnity and any lender/landowner insurance requirements.</w:t>
      </w:r>
    </w:p>
    <w:p>
      <w:pPr>
        <w:pStyle w:val="Heading1"/>
        <w:spacing w:before="240" w:after="120"/>
      </w:pPr>
      <w:r>
        <w:rPr>
          <w:rFonts w:ascii="Calibri" w:hAnsi="Calibri"/>
          <w:b/>
          <w:color w:val="1F3864"/>
          <w:sz w:val="26"/>
        </w:rPr>
        <w:t>ARTICLE 16.  ANNUAL REVIEW AND AUDIT RIGHTS</w:t>
      </w:r>
    </w:p>
    <w:p>
      <w:pPr>
        <w:pStyle w:val="Heading2"/>
        <w:spacing w:before="160" w:after="60"/>
      </w:pPr>
      <w:r>
        <w:rPr>
          <w:rFonts w:ascii="Calibri" w:hAnsi="Calibri"/>
          <w:b/>
          <w:color w:val="000000"/>
          <w:sz w:val="22"/>
        </w:rPr>
        <w:t>16.1  Annual Review</w:t>
      </w:r>
    </w:p>
    <w:p>
      <w:r>
        <w:rPr>
          <w:b w:val="0"/>
          <w:i w:val="0"/>
        </w:rPr>
        <w:t>The Parties will conduct an annual operational review of performance, budget, spares, refresh, and reserve adequacy, documenting agreed corrective actions.</w:t>
      </w:r>
    </w:p>
    <w:p>
      <w:pPr>
        <w:pStyle w:val="Heading2"/>
        <w:spacing w:before="160" w:after="60"/>
      </w:pPr>
      <w:r>
        <w:rPr>
          <w:rFonts w:ascii="Calibri" w:hAnsi="Calibri"/>
          <w:b/>
          <w:color w:val="000000"/>
          <w:sz w:val="22"/>
        </w:rPr>
        <w:t>16.2  Audit Rights</w:t>
      </w:r>
    </w:p>
    <w:p>
      <w:r>
        <w:rPr>
          <w:b w:val="0"/>
          <w:i w:val="0"/>
        </w:rPr>
        <w:t>The Lumbee Tribe, NTIA/U.S. Department of Commerce, and their authorized representatives may audit Operator's records relating to the Grant-Funded Assets and Award-charged costs on 10 Business Days' notice, with records retained for 3 years per 2 CFR 200.334–200.337 (Record retention and access; three-year retention).</w:t>
      </w:r>
    </w:p>
    <w:p>
      <w:pPr>
        <w:pStyle w:val="Heading1"/>
        <w:spacing w:before="240" w:after="120"/>
      </w:pPr>
      <w:r>
        <w:rPr>
          <w:rFonts w:ascii="Calibri" w:hAnsi="Calibri"/>
          <w:b/>
          <w:color w:val="1F3864"/>
          <w:sz w:val="26"/>
        </w:rPr>
        <w:t>ARTICLE 17.  PERSISTENT-FAILURE REMEDIES AND STEP-IN</w:t>
      </w:r>
    </w:p>
    <w:p>
      <w:pPr>
        <w:pStyle w:val="Heading2"/>
        <w:spacing w:before="160" w:after="60"/>
      </w:pPr>
      <w:r>
        <w:rPr>
          <w:rFonts w:ascii="Calibri" w:hAnsi="Calibri"/>
          <w:b/>
          <w:color w:val="000000"/>
          <w:sz w:val="22"/>
        </w:rPr>
        <w:t>17.1  Cure</w:t>
      </w:r>
    </w:p>
    <w:p>
      <w:r>
        <w:rPr>
          <w:b w:val="0"/>
          <w:i w:val="0"/>
        </w:rPr>
        <w:t>Monetary defaults have a 30-day cure period; non-monetary defaults have a 60-day cure period, with an additional sixty (60) days if the breach is not reasonably curable within the initial period and the defaulting Party is diligently pursuing cure.</w:t>
      </w:r>
    </w:p>
    <w:p>
      <w:pPr>
        <w:pStyle w:val="Heading2"/>
        <w:spacing w:before="160" w:after="60"/>
      </w:pPr>
      <w:r>
        <w:rPr>
          <w:rFonts w:ascii="Calibri" w:hAnsi="Calibri"/>
          <w:b/>
          <w:color w:val="000000"/>
          <w:sz w:val="22"/>
        </w:rPr>
        <w:t>17.2  Persistent Failure</w:t>
      </w:r>
    </w:p>
    <w:p>
      <w:r>
        <w:rPr>
          <w:b w:val="0"/>
          <w:i w:val="0"/>
        </w:rPr>
        <w:t>Repeated or chronic failure to meet critical service levels, uncured after notice, is a persistent failure entitling the Tribe to escalated remedies, including remediation plans, increased credits, and step-in.</w:t>
      </w:r>
    </w:p>
    <w:p>
      <w:pPr>
        <w:pStyle w:val="Heading2"/>
        <w:spacing w:before="160" w:after="60"/>
      </w:pPr>
      <w:r>
        <w:rPr>
          <w:rFonts w:ascii="Calibri" w:hAnsi="Calibri"/>
          <w:b/>
          <w:color w:val="000000"/>
          <w:sz w:val="22"/>
        </w:rPr>
        <w:t>17.3  Step-In</w:t>
      </w:r>
    </w:p>
    <w:p>
      <w:r>
        <w:rPr>
          <w:b w:val="0"/>
          <w:i w:val="0"/>
        </w:rPr>
        <w:t>Emergency step-in is available immediate, upon notice, where continuity of Essential Services, public safety, or compliance with the Award is imminently threatened. Step-in, continuity, termination assistance, and transition are governed by the Continuity, Step-In, Termination Assistance, and Transition Agreement, which controls those procedures; transition assistance continues for up to 12 months.</w:t>
      </w:r>
    </w:p>
    <w:p>
      <w:pPr>
        <w:pStyle w:val="Heading1"/>
        <w:spacing w:before="240" w:after="120"/>
      </w:pPr>
      <w:r>
        <w:rPr>
          <w:rFonts w:ascii="Calibri" w:hAnsi="Calibri"/>
          <w:b/>
          <w:color w:val="1F3864"/>
          <w:sz w:val="26"/>
        </w:rPr>
        <w:t>ARTICLE 18.  GOVERNING LAW, DISPUTE RESOLUTION, AND SOVEREIGN IMMUNITY</w:t>
      </w:r>
    </w:p>
    <w:p>
      <w:pPr>
        <w:pStyle w:val="Heading2"/>
        <w:spacing w:before="160" w:after="60"/>
      </w:pPr>
      <w:r>
        <w:rPr>
          <w:rFonts w:ascii="Calibri" w:hAnsi="Calibri"/>
          <w:b/>
          <w:color w:val="000000"/>
          <w:sz w:val="22"/>
        </w:rPr>
        <w:t>18.1  Governing Law — ALTERNATIVES</w:t>
      </w:r>
    </w:p>
    <w:p>
      <w:r>
        <w:rPr>
          <w:b w:val="0"/>
          <w:i w:val="0"/>
        </w:rPr>
        <w:t>The Parties must select one governing-law framework. The following are presented as bracketed alternatives for counsel to resolve:</w:t>
      </w:r>
    </w:p>
    <w:p>
      <w:pPr>
        <w:ind w:left="504"/>
      </w:pPr>
      <w:r>
        <w:rPr>
          <w:b/>
        </w:rPr>
        <w:t xml:space="preserve">(Alt. 1)  </w:t>
      </w:r>
      <w:r>
        <w:rPr>
          <w:b w:val="0"/>
          <w:i w:val="0"/>
        </w:rPr>
        <w:t>[The laws of the State of North Carolina, without regard to its conflict-of-laws rules], to the extent not preempted by federal law or Tribal law.</w:t>
      </w:r>
    </w:p>
    <w:p>
      <w:pPr>
        <w:ind w:left="504"/>
      </w:pPr>
      <w:r>
        <w:rPr>
          <w:b/>
        </w:rPr>
        <w:t xml:space="preserve">(Alt. 2)  </w:t>
      </w:r>
      <w:r>
        <w:rPr>
          <w:b w:val="0"/>
          <w:i w:val="0"/>
        </w:rPr>
        <w:t>[The laws of the Lumbee Tribe, with federal law governing all Award-related matters], and Tribal forum as the primary venue.</w:t>
      </w:r>
    </w:p>
    <w:p>
      <w:pPr>
        <w:ind w:left="504"/>
      </w:pPr>
      <w:r>
        <w:rPr>
          <w:b/>
        </w:rPr>
        <w:t xml:space="preserve">(Alt. 3)  </w:t>
      </w:r>
      <w:r>
        <w:rPr>
          <w:b w:val="0"/>
          <w:i w:val="0"/>
        </w:rPr>
        <w:t>[A hybrid: federal law and the Award govern grant-compliance matters; North Carolina law governs ordinary commercial matters not preempted].</w:t>
      </w:r>
    </w:p>
    <w:p>
      <w:pPr>
        <w:ind w:left="504"/>
      </w:pPr>
      <w:r>
        <w:rPr>
          <w:b/>
          <w:color w:val="0000C0"/>
        </w:rPr>
        <w:t xml:space="preserve">[ATTORNEY REVIEW REQUIRED]  </w:t>
      </w:r>
      <w:r>
        <w:rPr>
          <w:i/>
          <w:color w:val="595959"/>
        </w:rPr>
        <w:t>Governing law, venue, and choice-of-forum are bracketed alternatives requiring counsel selection; do not finalize without Tribal and outside counsel review.</w:t>
      </w:r>
    </w:p>
    <w:p>
      <w:pPr>
        <w:pStyle w:val="Heading2"/>
        <w:spacing w:before="160" w:after="60"/>
      </w:pPr>
      <w:r>
        <w:rPr>
          <w:rFonts w:ascii="Calibri" w:hAnsi="Calibri"/>
          <w:b/>
          <w:color w:val="000000"/>
          <w:sz w:val="22"/>
        </w:rPr>
        <w:t>18.2  Sovereign Immunity — ALTERNATIVES</w:t>
      </w:r>
    </w:p>
    <w:p>
      <w:r>
        <w:rPr>
          <w:b w:val="0"/>
          <w:i w:val="0"/>
        </w:rPr>
        <w:t>The Lumbee Tribe is a sovereign and retains its sovereign immunity except to the extent, if any, of an express, written, and limited waiver duly authorized by the governing Tribal body. Any waiver must be clear and unequivocal. The following are bracketed alternatives:</w:t>
      </w:r>
    </w:p>
    <w:p>
      <w:pPr>
        <w:ind w:left="504"/>
      </w:pPr>
      <w:r>
        <w:rPr>
          <w:b/>
        </w:rPr>
        <w:t xml:space="preserve">(Alt. A)  </w:t>
      </w:r>
      <w:r>
        <w:rPr>
          <w:b w:val="0"/>
          <w:i w:val="0"/>
        </w:rPr>
        <w:t>[No waiver of sovereign immunity; disputes resolved solely through non-binding processes and Award remedies].</w:t>
      </w:r>
    </w:p>
    <w:p>
      <w:pPr>
        <w:ind w:left="504"/>
      </w:pPr>
      <w:r>
        <w:rPr>
          <w:b/>
        </w:rPr>
        <w:t xml:space="preserve">(Alt. B)  </w:t>
      </w:r>
      <w:r>
        <w:rPr>
          <w:b w:val="0"/>
          <w:i w:val="0"/>
        </w:rPr>
        <w:t>[Limited, express waiver solely for the purpose of enforcing this Agreement, capped in amount and scope, and limited to a designated forum].</w:t>
      </w:r>
    </w:p>
    <w:p>
      <w:pPr>
        <w:ind w:left="504"/>
      </w:pPr>
      <w:r>
        <w:rPr>
          <w:b/>
        </w:rPr>
        <w:t xml:space="preserve">(Alt. C)  </w:t>
      </w:r>
      <w:r>
        <w:rPr>
          <w:b w:val="0"/>
          <w:i w:val="0"/>
        </w:rPr>
        <w:t>[Limited waiver limited to specified equitable remedies (e.g., step-in and transition) and excluding money damages].</w:t>
      </w:r>
    </w:p>
    <w:p>
      <w:pPr>
        <w:ind w:left="504"/>
      </w:pPr>
      <w:r>
        <w:rPr>
          <w:b/>
          <w:color w:val="0000C0"/>
        </w:rPr>
        <w:t xml:space="preserve">[ATTORNEY REVIEW REQUIRED]  </w:t>
      </w:r>
      <w:r>
        <w:rPr>
          <w:i/>
          <w:color w:val="595959"/>
        </w:rPr>
        <w:t>A clear express waiver is required for any enforceable relief against the Tribe per Santa Clara Pueblo v. Martinez, 436 U.S. 49 (1978); C&amp;L Enterprises v. Citizen Band Potawatomi, 532 U.S. 411 (2001); Michigan v. Bay Mills, 572 U.S. 782 (2014) (tribal sovereign immunity; clear express waiver required). Scope, cap, forum, and authorizing resolution are attorney-review items and must not be assumed.</w:t>
      </w:r>
    </w:p>
    <w:p>
      <w:pPr>
        <w:pStyle w:val="Heading2"/>
        <w:spacing w:before="160" w:after="60"/>
      </w:pPr>
      <w:r>
        <w:rPr>
          <w:rFonts w:ascii="Calibri" w:hAnsi="Calibri"/>
          <w:b/>
          <w:color w:val="000000"/>
          <w:sz w:val="22"/>
        </w:rPr>
        <w:t>18.3  Dispute Escalation</w:t>
      </w:r>
    </w:p>
    <w:p>
      <w:r>
        <w:rPr>
          <w:b w:val="0"/>
          <w:i w:val="0"/>
        </w:rPr>
        <w:t>The Parties will attempt good-faith resolution through designated senior representatives before pursuing any authorized remedy, without waiving Award remedies or the emergency step-in rights cross-referenced to the Continuity, Step-In, Termination Assistance, and Transition Agreement.</w:t>
      </w:r>
    </w:p>
    <w:p/>
    <w:p>
      <w:r>
        <w:rPr>
          <w:b/>
          <w:color w:val="C00000"/>
        </w:rPr>
        <w:t xml:space="preserve">DISCLAIMER.  </w:t>
      </w:r>
      <w:r>
        <w:rPr>
          <w:i/>
        </w:rPr>
        <w:t>PRELIMINARY DRAFT – NO CONTROLLING TBCP AWARD OR SOURCE DOCUMENTS SUPPLIED – PROVISIONAL BASELINE: MARCH 2024 AMENDED ROUND 2 NOFO – SUBJECT TO LEGAL, GRANT AND FINANCIAL REVIEW  This is a working draft prepared for discussion and negotiation only. It is not executed, is not legal, tax, accounting, or grant-compliance advice, and does not create any binding obligation. All bracketed placeholders, alternatives, prices, routes, approvals, and characterizations are provisional and must be confirmed against the executed Award and reviewed by qualified counsel and grant, financial, and technical advisors before any reliance. [ATTORNEY REVIEW REQUIRED]  [GRANT COMPLIANCE REVIEW REQUIRED]</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signatory authority, authorizing Tribal resolution, and Award-approval prerequisites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05 — O&amp;M and Lifecycle Agreement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