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DEFINITIVE AGREEMENT 06</w:t>
      </w:r>
    </w:p>
    <w:p>
      <w:pPr>
        <w:jc w:val="center"/>
      </w:pPr>
      <w:r>
        <w:rPr>
          <w:b/>
          <w:color w:val="1F3864"/>
          <w:sz w:val="48"/>
        </w:rPr>
        <w:t>Retail Customer Service, Billing, Collections, and Subscriber Revenue Agreement</w:t>
      </w:r>
    </w:p>
    <w:p>
      <w:pPr>
        <w:jc w:val="center"/>
      </w:pPr>
      <w:r>
        <w:rPr>
          <w:color w:val="595959"/>
          <w:sz w:val="28"/>
        </w:rPr>
        <w:t>Lumbee Tribe • RIVR Tech • TBCP Fiber Package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t>This Retail Customer Service, Billing, Collections, and Subscriber Revenue Agreement (this “Agreement”) is entered into as of [■ Effective Date] (the “Effective Date”), by and between Lumbee Tribe of North Carolina (the “Lumbee Tribe”), acting directly or through a wholly owned Tribal entity or Tribally chartered instrumentality designated by the Lumbee Tribe, and LREMC Technologies, LLC d/b/a RIVR Tech (“RIVR Tech”). The Lumbee Tribe and RIVR Tech are each a “Party” and together the “Parties.”</w:t>
      </w:r>
    </w:p>
    <w:p/>
    <w:p>
      <w:r>
        <w:rPr>
          <w:b/>
          <w:i w:val="0"/>
        </w:rPr>
        <w:t>RECITALS</w:t>
      </w:r>
    </w:p>
    <w:p>
      <w:r>
        <w:rPr>
          <w:b w:val="0"/>
          <w:i w:val="0"/>
        </w:rPr>
        <w:t>A.  The Lumbee Tribe is the recipient and steward of an award (or proposed award) under the Tribal Broadband Connectivity Program (TBCP) administered by the National Telecommunications and Information Administration (NTIA), U.S. Department of Commerce, and owns the Grant-Funded Assets funded thereunder, which comprise the Tribal Network serving the Approved Project Area in southeastern North Carolina.</w:t>
      </w:r>
    </w:p>
    <w:p>
      <w:r>
        <w:rPr>
          <w:b w:val="0"/>
          <w:i w:val="0"/>
        </w:rPr>
        <w:t>B.  RIVR Tech is the Lumbee Tribe's designated operator and, subject to NTIA/U.S. Department of Commerce Award approval, the proposed retail provider of record for the Tribal Network. RIVR Tech owns and separately maintains the RIVR Tech Existing Network and its billing, provisioning, and support systems, which remain RIVR Tech's property and are never contributed to the Lumbee Tribe or made available without separately agreed, Award-permitted consideration.</w:t>
      </w:r>
    </w:p>
    <w:p>
      <w:r>
        <w:rPr>
          <w:b w:val="0"/>
          <w:i w:val="0"/>
        </w:rPr>
        <w:t>C.  Lumbee River Electric Membership Corporation d/b/a Lumbee River EMC (“LREMC”) is a separate owner of certain LREMC Facilities used in connection with the Tribal Network; those assets are addressed only under a separate owner-approved instrument or joinder and are not covered by this Agreement.</w:t>
      </w:r>
    </w:p>
    <w:p>
      <w:r>
        <w:rPr>
          <w:b w:val="0"/>
          <w:i w:val="0"/>
        </w:rPr>
        <w:t xml:space="preserve">D.  This Agreement is one of several coordinated Definitive Agreements executed under the Master TBCP Partnership and Implementation Agreement and must be read together with, and subject to, the executed Award. </w:t>
      </w:r>
      <w:r>
        <w:rPr>
          <w:b/>
          <w:i w:val="0"/>
          <w:color w:val="7F007F"/>
        </w:rPr>
        <w:t>[GRANT COMPLIANCE REVIEW REQUIRED]</w:t>
      </w:r>
      <w:r>
        <w:rPr>
          <w:b w:val="0"/>
          <w:i w:val="0"/>
        </w:rPr>
        <w:t xml:space="preserve">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w:t>
      </w:r>
    </w:p>
    <w:p/>
    <w:p>
      <w:r>
        <w:rPr>
          <w:b w:val="0"/>
          <w:i w:val="0"/>
        </w:rPr>
        <w:t>NOW, THEREFORE, in consideration of the mutual covenants below and other good and valuable consideration, the receipt and sufficiency of which are acknowledged, the Parties agree as follows:</w:t>
      </w:r>
    </w:p>
    <w:p/>
    <w:p>
      <w:pPr>
        <w:pStyle w:val="Heading1"/>
        <w:spacing w:before="240" w:after="120"/>
      </w:pPr>
      <w:r>
        <w:rPr>
          <w:rFonts w:ascii="Calibri" w:hAnsi="Calibri"/>
          <w:b/>
          <w:color w:val="1F3864"/>
          <w:sz w:val="26"/>
        </w:rPr>
        <w:t>ARTICLE 1.  DEFINITIONS, INTERPRETATION, AND SHARED DEFINITIONS</w:t>
      </w:r>
    </w:p>
    <w:p>
      <w:pPr>
        <w:pStyle w:val="Heading2"/>
        <w:spacing w:before="160" w:after="60"/>
      </w:pPr>
      <w:r>
        <w:rPr>
          <w:rFonts w:ascii="Calibri" w:hAnsi="Calibri"/>
          <w:b/>
          <w:color w:val="000000"/>
          <w:sz w:val="22"/>
        </w:rPr>
        <w:t>1.1  Shared Definitions Source</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pPr>
        <w:pStyle w:val="Heading2"/>
        <w:spacing w:before="160" w:after="60"/>
      </w:pPr>
      <w:r>
        <w:rPr>
          <w:rFonts w:ascii="Calibri" w:hAnsi="Calibri"/>
          <w:b/>
          <w:color w:val="000000"/>
          <w:sz w:val="22"/>
        </w:rPr>
        <w:t>1.2  Local Defined Terms</w:t>
      </w:r>
    </w:p>
    <w:p>
      <w:r>
        <w:rPr>
          <w:b w:val="0"/>
          <w:i w:val="0"/>
        </w:rPr>
        <w:t>In addition to the shared definitions, the following terms have the meanings given below when used in this Agreement:</w:t>
      </w:r>
    </w:p>
    <w:p>
      <w:pPr>
        <w:ind w:left="504"/>
      </w:pPr>
      <w:r>
        <w:rPr>
          <w:b/>
        </w:rPr>
        <w:t xml:space="preserve">(Active Subscriber)  </w:t>
      </w:r>
      <w:r>
        <w:rPr>
          <w:b w:val="0"/>
          <w:i w:val="0"/>
        </w:rPr>
        <w:t>as defined in the Per-Active-Subscriber Payment article of this Agreement (the controlling definition for payment purposes).</w:t>
      </w:r>
    </w:p>
    <w:p>
      <w:pPr>
        <w:ind w:left="504"/>
      </w:pPr>
      <w:r>
        <w:rPr>
          <w:b/>
        </w:rPr>
        <w:t xml:space="preserve">(Retail Provider of Record)  </w:t>
      </w:r>
      <w:r>
        <w:rPr>
          <w:b w:val="0"/>
          <w:i w:val="0"/>
        </w:rPr>
        <w:t>the entity holding retail branding, customer contracts, pricing administration, sales, billing, collections, and customer-facing regulatory obligations, subject to Award approval.</w:t>
      </w:r>
    </w:p>
    <w:p>
      <w:pPr>
        <w:ind w:left="504"/>
      </w:pPr>
      <w:r>
        <w:rPr>
          <w:b/>
        </w:rPr>
        <w:t xml:space="preserve">(Customer Data)  </w:t>
      </w:r>
      <w:r>
        <w:rPr>
          <w:b w:val="0"/>
          <w:i w:val="0"/>
        </w:rPr>
        <w:t>data relating to end-user customers, categorized in the Data Rights article; no single Party is characterized as unqualified owner of customer personal data.</w:t>
      </w:r>
    </w:p>
    <w:p>
      <w:pPr>
        <w:ind w:left="504"/>
      </w:pPr>
      <w:r>
        <w:rPr>
          <w:b/>
        </w:rPr>
        <w:t xml:space="preserve">(Program Income)  </w:t>
      </w:r>
      <w:r>
        <w:rPr>
          <w:b w:val="0"/>
          <w:i w:val="0"/>
        </w:rPr>
        <w:t>income treatment determined under 2 CFR 200.307 (Program income) by the controlling Award, not by the label the Parties assign.</w:t>
      </w:r>
    </w:p>
    <w:p>
      <w:pPr>
        <w:pStyle w:val="Heading2"/>
        <w:spacing w:before="160" w:after="60"/>
      </w:pPr>
      <w:r>
        <w:rPr>
          <w:rFonts w:ascii="Calibri" w:hAnsi="Calibri"/>
          <w:b/>
          <w:color w:val="000000"/>
          <w:sz w:val="22"/>
        </w:rPr>
        <w:t>1.3  Interpretation</w:t>
      </w:r>
    </w:p>
    <w:p>
      <w:r>
        <w:rPr>
          <w:b w:val="0"/>
          <w:i w:val="0"/>
        </w:rPr>
        <w:t>Headings are for convenience only. “Including” means “including without limitation.” References to statutes, regulations, and the Award include successor and amended versions applicable to the controlling Award. Time periods stated in Business Days exclude weekends and federal and Tribal holidays.</w:t>
      </w:r>
    </w:p>
    <w:p>
      <w:pPr>
        <w:pStyle w:val="Heading1"/>
        <w:spacing w:before="240" w:after="120"/>
      </w:pPr>
      <w:r>
        <w:rPr>
          <w:rFonts w:ascii="Calibri" w:hAnsi="Calibri"/>
          <w:b/>
          <w:color w:val="1F3864"/>
          <w:sz w:val="26"/>
        </w:rPr>
        <w:t>ARTICLE 2.  ORDER OF PRECEDENCE</w:t>
      </w:r>
    </w:p>
    <w:p>
      <w:pPr>
        <w:pStyle w:val="Heading2"/>
        <w:spacing w:before="160" w:after="60"/>
      </w:pPr>
      <w:r>
        <w:rPr>
          <w:rFonts w:ascii="Calibri" w:hAnsi="Calibri"/>
          <w:b/>
          <w:color w:val="000000"/>
          <w:sz w:val="22"/>
        </w:rPr>
        <w:t>2.1  Controlling Order</w:t>
      </w:r>
    </w:p>
    <w:p>
      <w:r>
        <w:rPr>
          <w:b w:val="0"/>
          <w:i w:val="0"/>
        </w:rPr>
        <w:t>In the event of any conflict or inconsistency, the following instruments control in descending order of precedence:</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pPr>
        <w:pStyle w:val="Heading2"/>
        <w:spacing w:before="160" w:after="60"/>
      </w:pPr>
      <w:r>
        <w:rPr>
          <w:rFonts w:ascii="Calibri" w:hAnsi="Calibri"/>
          <w:b/>
          <w:color w:val="000000"/>
          <w:sz w:val="22"/>
        </w:rPr>
        <w:t>2.2  Precedence Rule</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ind w:left="504"/>
      </w:pPr>
      <w:r>
        <w:rPr>
          <w:b/>
          <w:color w:val="7F007F"/>
        </w:rPr>
        <w:t xml:space="preserve">[GRANT COMPLIANCE REVIEW REQUIRED]  </w:t>
      </w:r>
      <w:r>
        <w:rPr>
          <w:i/>
          <w:color w:val="595959"/>
        </w:rPr>
        <w:t>Nothing in this Agreement may be performed in a manner inconsistent with the Award, 2 CFR Part 200, or applicable NTIA/DOC award terms; conflicting commercial terms yield to the higher-ranked instrument.</w:t>
      </w:r>
    </w:p>
    <w:p>
      <w:pPr>
        <w:pStyle w:val="Heading1"/>
        <w:spacing w:before="240" w:after="120"/>
      </w:pPr>
      <w:r>
        <w:rPr>
          <w:rFonts w:ascii="Calibri" w:hAnsi="Calibri"/>
          <w:b/>
          <w:color w:val="1F3864"/>
          <w:sz w:val="26"/>
        </w:rPr>
        <w:t>ARTICLE 3.  APPOINTMENT AS RETAIL PROVIDER OF RECORD</w:t>
      </w:r>
    </w:p>
    <w:p>
      <w:pPr>
        <w:pStyle w:val="Heading2"/>
        <w:spacing w:before="160" w:after="60"/>
      </w:pPr>
      <w:r>
        <w:rPr>
          <w:rFonts w:ascii="Calibri" w:hAnsi="Calibri"/>
          <w:b/>
          <w:color w:val="000000"/>
          <w:sz w:val="22"/>
        </w:rPr>
        <w:t>3.1  Appointment</w:t>
      </w:r>
    </w:p>
    <w:p>
      <w:r>
        <w:rPr>
          <w:b w:val="0"/>
          <w:i w:val="0"/>
        </w:rPr>
        <w:t>Subject to NTIA/U.S. Department of Commerce Award approval, the Lumbee Tribe appoints RIVR Tech as the retail provider of record for broadband service over the Tribal Network in the Approved Project Area.</w:t>
      </w:r>
    </w:p>
    <w:p>
      <w:pPr>
        <w:pStyle w:val="Heading2"/>
        <w:spacing w:before="160" w:after="60"/>
      </w:pPr>
      <w:r>
        <w:rPr>
          <w:rFonts w:ascii="Calibri" w:hAnsi="Calibri"/>
          <w:b/>
          <w:color w:val="000000"/>
          <w:sz w:val="22"/>
        </w:rPr>
        <w:t>3.2  Scope of Role</w:t>
      </w:r>
    </w:p>
    <w:p>
      <w:r>
        <w:rPr>
          <w:b w:val="0"/>
          <w:i w:val="0"/>
        </w:rPr>
        <w:t>As Retail Provider of Record, RIVR Tech holds responsibility for branding, customer contracts, pricing administration, sales, billing, collections, ordinary bad-debt risk, and customer-facing regulatory and customer-service obligations.</w:t>
      </w:r>
    </w:p>
    <w:p>
      <w:pPr>
        <w:ind w:left="504"/>
      </w:pPr>
      <w:r>
        <w:rPr>
          <w:b/>
          <w:color w:val="7F007F"/>
        </w:rPr>
        <w:t xml:space="preserve">[GRANT COMPLIANCE REVIEW REQUIRED]  </w:t>
      </w:r>
      <w:r>
        <w:rPr>
          <w:i/>
          <w:color w:val="595959"/>
        </w:rPr>
        <w:t>The retail-provider-of-record designation is subject to Award approval; confirm against the executed Award and any Specific Award Conditions before finalizing.</w:t>
      </w:r>
    </w:p>
    <w:p>
      <w:pPr>
        <w:pStyle w:val="Heading1"/>
        <w:spacing w:before="240" w:after="120"/>
      </w:pPr>
      <w:r>
        <w:rPr>
          <w:rFonts w:ascii="Calibri" w:hAnsi="Calibri"/>
          <w:b/>
          <w:color w:val="1F3864"/>
          <w:sz w:val="26"/>
        </w:rPr>
        <w:t>ARTICLE 4.  BRANDING</w:t>
      </w:r>
    </w:p>
    <w:p>
      <w:pPr>
        <w:pStyle w:val="Heading2"/>
        <w:spacing w:before="160" w:after="60"/>
      </w:pPr>
      <w:r>
        <w:rPr>
          <w:rFonts w:ascii="Calibri" w:hAnsi="Calibri"/>
          <w:b/>
          <w:color w:val="000000"/>
          <w:sz w:val="22"/>
        </w:rPr>
        <w:t>4.1  Retail Brand</w:t>
      </w:r>
    </w:p>
    <w:p>
      <w:r>
        <w:rPr>
          <w:b w:val="0"/>
          <w:i w:val="0"/>
        </w:rPr>
        <w:t xml:space="preserve">RIVR Tech may market retail service under its brand, subject to any Tribal acknowledgement and Award attribution/co-branding requirements. </w:t>
      </w:r>
      <w:r>
        <w:rPr>
          <w:b/>
          <w:i w:val="0"/>
          <w:color w:val="C00000"/>
        </w:rPr>
        <w:t>[BUSINESS DECISION REQUIRED]</w:t>
      </w:r>
    </w:p>
    <w:p>
      <w:pPr>
        <w:pStyle w:val="Heading2"/>
        <w:spacing w:before="160" w:after="60"/>
      </w:pPr>
      <w:r>
        <w:rPr>
          <w:rFonts w:ascii="Calibri" w:hAnsi="Calibri"/>
          <w:b/>
          <w:color w:val="000000"/>
          <w:sz w:val="22"/>
        </w:rPr>
        <w:t>4.2  Tribal and Federal Attribution</w:t>
      </w:r>
    </w:p>
    <w:p>
      <w:r>
        <w:rPr>
          <w:b w:val="0"/>
          <w:i w:val="0"/>
        </w:rPr>
        <w:t>Customer-facing materials will include any required Lumbee Tribe and TBCP/NTIA attribution and non-discrimination notices.</w:t>
      </w:r>
    </w:p>
    <w:p>
      <w:pPr>
        <w:pStyle w:val="Heading1"/>
        <w:spacing w:before="240" w:after="120"/>
      </w:pPr>
      <w:r>
        <w:rPr>
          <w:rFonts w:ascii="Calibri" w:hAnsi="Calibri"/>
          <w:b/>
          <w:color w:val="1F3864"/>
          <w:sz w:val="26"/>
        </w:rPr>
        <w:t>ARTICLE 5.  PRODUCT DESIGN AND SERVICE OFFERINGS</w:t>
      </w:r>
    </w:p>
    <w:p>
      <w:pPr>
        <w:pStyle w:val="Heading2"/>
        <w:spacing w:before="160" w:after="60"/>
      </w:pPr>
      <w:r>
        <w:rPr>
          <w:rFonts w:ascii="Calibri" w:hAnsi="Calibri"/>
          <w:b/>
          <w:color w:val="000000"/>
          <w:sz w:val="22"/>
        </w:rPr>
        <w:t>5.1  Service Tiers</w:t>
      </w:r>
    </w:p>
    <w:p>
      <w:r>
        <w:rPr>
          <w:b w:val="0"/>
          <w:i w:val="0"/>
        </w:rPr>
        <w:t>RIVR Tech will design retail tiers meeting or exceeding the TBCP service floor of 100/20 Mbps, consistent with Provider-of-Record, Customer Products, Affordability, Support, Billing, and Complaints.</w:t>
      </w:r>
    </w:p>
    <w:p>
      <w:pPr>
        <w:pStyle w:val="Heading2"/>
        <w:spacing w:before="160" w:after="60"/>
      </w:pPr>
      <w:r>
        <w:rPr>
          <w:rFonts w:ascii="Calibri" w:hAnsi="Calibri"/>
          <w:b/>
          <w:color w:val="000000"/>
          <w:sz w:val="22"/>
        </w:rPr>
        <w:t>5.2  Changes</w:t>
      </w:r>
    </w:p>
    <w:p>
      <w:r>
        <w:rPr>
          <w:b w:val="0"/>
          <w:i w:val="0"/>
        </w:rPr>
        <w:t>Material changes to core offerings serving Award commitments will be coordinated with the Tribe and confirmed against Award service commitments.</w:t>
      </w:r>
    </w:p>
    <w:p>
      <w:pPr>
        <w:pStyle w:val="Heading1"/>
        <w:spacing w:before="240" w:after="120"/>
      </w:pPr>
      <w:r>
        <w:rPr>
          <w:rFonts w:ascii="Calibri" w:hAnsi="Calibri"/>
          <w:b/>
          <w:color w:val="1F3864"/>
          <w:sz w:val="26"/>
        </w:rPr>
        <w:t>ARTICLE 6.  PRICING AUTHORITY AND AFFORDABILITY COMMITMENTS</w:t>
      </w:r>
    </w:p>
    <w:p>
      <w:pPr>
        <w:pStyle w:val="Heading2"/>
        <w:spacing w:before="160" w:after="60"/>
      </w:pPr>
      <w:r>
        <w:rPr>
          <w:rFonts w:ascii="Calibri" w:hAnsi="Calibri"/>
          <w:b/>
          <w:color w:val="000000"/>
          <w:sz w:val="22"/>
        </w:rPr>
        <w:t>6.1  Pricing Authority</w:t>
      </w:r>
    </w:p>
    <w:p>
      <w:r>
        <w:rPr>
          <w:b w:val="0"/>
          <w:i w:val="0"/>
        </w:rPr>
        <w:t xml:space="preserve">RIVR Tech administers retail pricing, subject to the affordability commitments below and any Award-required rate commitments. </w:t>
      </w:r>
      <w:r>
        <w:rPr>
          <w:b/>
          <w:i w:val="0"/>
          <w:color w:val="C00000"/>
        </w:rPr>
        <w:t>[BUSINESS DECISION REQUIRED]</w:t>
      </w:r>
    </w:p>
    <w:p>
      <w:pPr>
        <w:pStyle w:val="Heading2"/>
        <w:spacing w:before="160" w:after="60"/>
      </w:pPr>
      <w:r>
        <w:rPr>
          <w:rFonts w:ascii="Calibri" w:hAnsi="Calibri"/>
          <w:b/>
          <w:color w:val="000000"/>
          <w:sz w:val="22"/>
        </w:rPr>
        <w:t>6.2  Affordability — Low-Cost Option</w:t>
      </w:r>
    </w:p>
    <w:p>
      <w:r>
        <w:rPr>
          <w:b w:val="0"/>
          <w:i w:val="0"/>
        </w:rPr>
        <w:t xml:space="preserve">RIVR Tech will offer a low-cost service option of at least 100/20 Mbps (the “Low-Cost Option”) meeting the affordability commitments applicable to the Award, at a rate </w:t>
      </w:r>
      <w:r>
        <w:rPr>
          <w:b w:val="0"/>
          <w:i w:val="0"/>
          <w:color w:val="804000"/>
          <w:highlight w:val="yellow"/>
        </w:rPr>
        <w:t>[■ confirm Award-required low-cost rate / methodology]</w:t>
      </w:r>
      <w:r>
        <w:rPr>
          <w:b w:val="0"/>
          <w:i w:val="0"/>
        </w:rPr>
        <w:t xml:space="preserve">. </w:t>
      </w:r>
      <w:r>
        <w:rPr>
          <w:b/>
          <w:i w:val="0"/>
          <w:color w:val="7F007F"/>
        </w:rPr>
        <w:t>[GRANT COMPLIANCE REVIEW REQUIRED]</w:t>
      </w:r>
    </w:p>
    <w:p>
      <w:pPr>
        <w:pStyle w:val="Heading2"/>
        <w:spacing w:before="160" w:after="60"/>
      </w:pPr>
      <w:r>
        <w:rPr>
          <w:rFonts w:ascii="Calibri" w:hAnsi="Calibri"/>
          <w:b/>
          <w:color w:val="000000"/>
          <w:sz w:val="22"/>
        </w:rPr>
        <w:t>6.3  Nondiscrimination</w:t>
      </w:r>
    </w:p>
    <w:p>
      <w:r>
        <w:rPr>
          <w:b w:val="0"/>
          <w:i w:val="0"/>
        </w:rPr>
        <w:t>Service will be offered on a nondiscriminatory basis throughout the Approved Project Area consistent with Award commitments.</w:t>
      </w:r>
    </w:p>
    <w:p>
      <w:pPr>
        <w:pStyle w:val="Heading1"/>
        <w:spacing w:before="240" w:after="120"/>
      </w:pPr>
      <w:r>
        <w:rPr>
          <w:rFonts w:ascii="Calibri" w:hAnsi="Calibri"/>
          <w:b/>
          <w:color w:val="1F3864"/>
          <w:sz w:val="26"/>
        </w:rPr>
        <w:t>ARTICLE 7.  CUSTOMER ELIGIBILITY, ORDERS, AND INSTALLATIONS</w:t>
      </w:r>
    </w:p>
    <w:p>
      <w:pPr>
        <w:pStyle w:val="Heading2"/>
        <w:spacing w:before="160" w:after="60"/>
      </w:pPr>
      <w:r>
        <w:rPr>
          <w:rFonts w:ascii="Calibri" w:hAnsi="Calibri"/>
          <w:b/>
          <w:color w:val="000000"/>
          <w:sz w:val="22"/>
        </w:rPr>
        <w:t>7.1  Eligibility</w:t>
      </w:r>
    </w:p>
    <w:p>
      <w:r>
        <w:rPr>
          <w:b w:val="0"/>
          <w:i w:val="0"/>
        </w:rPr>
        <w:t>Customer eligibility follows the Approved Project Area and any Award location eligibility, with no unlawful discrimination.</w:t>
      </w:r>
    </w:p>
    <w:p>
      <w:pPr>
        <w:pStyle w:val="Heading2"/>
        <w:spacing w:before="160" w:after="60"/>
      </w:pPr>
      <w:r>
        <w:rPr>
          <w:rFonts w:ascii="Calibri" w:hAnsi="Calibri"/>
          <w:b/>
          <w:color w:val="000000"/>
          <w:sz w:val="22"/>
        </w:rPr>
        <w:t>7.2  Orders and Installations</w:t>
      </w:r>
    </w:p>
    <w:p>
      <w:r>
        <w:rPr>
          <w:b w:val="0"/>
          <w:i w:val="0"/>
        </w:rPr>
        <w:t>Operator manages order intake, scheduling, and installation to the Demarcation Point, coordinating field work with O&amp;M under the Network Operations, Maintenance, and Lifecycle Agreement.</w:t>
      </w:r>
    </w:p>
    <w:p>
      <w:pPr>
        <w:pStyle w:val="Heading1"/>
        <w:spacing w:before="240" w:after="120"/>
      </w:pPr>
      <w:r>
        <w:rPr>
          <w:rFonts w:ascii="Calibri" w:hAnsi="Calibri"/>
          <w:b/>
          <w:color w:val="1F3864"/>
          <w:sz w:val="26"/>
        </w:rPr>
        <w:t>ARTICLE 8.  CUSTOMER CONTRACTS; ACCEPTABLE-USE AND PRIVACY TERMS</w:t>
      </w:r>
    </w:p>
    <w:p>
      <w:pPr>
        <w:pStyle w:val="Heading2"/>
        <w:spacing w:before="160" w:after="60"/>
      </w:pPr>
      <w:r>
        <w:rPr>
          <w:rFonts w:ascii="Calibri" w:hAnsi="Calibri"/>
          <w:b/>
          <w:color w:val="000000"/>
          <w:sz w:val="22"/>
        </w:rPr>
        <w:t>8.1  Customer Contracts</w:t>
      </w:r>
    </w:p>
    <w:p>
      <w:r>
        <w:rPr>
          <w:b w:val="0"/>
          <w:i w:val="0"/>
        </w:rPr>
        <w:t>RIVR Tech contracts with end-user customers in its own name as Retail Provider of Record, using terms consistent with this Agreement and the Award.</w:t>
      </w:r>
    </w:p>
    <w:p>
      <w:pPr>
        <w:pStyle w:val="Heading2"/>
        <w:spacing w:before="160" w:after="60"/>
      </w:pPr>
      <w:r>
        <w:rPr>
          <w:rFonts w:ascii="Calibri" w:hAnsi="Calibri"/>
          <w:b/>
          <w:color w:val="000000"/>
          <w:sz w:val="22"/>
        </w:rPr>
        <w:t>8.2  Acceptable Use and Privacy</w:t>
      </w:r>
    </w:p>
    <w:p>
      <w:r>
        <w:rPr>
          <w:b w:val="0"/>
          <w:i w:val="0"/>
        </w:rPr>
        <w:t>Customer terms include an acceptable-use policy and a privacy notice consistent with the Data Privacy, Cybersecurity, Supply-Chain Risk, and Business Continuity Addendum and Data, Privacy, Cybersecurity, Supply-Chain Risk, Incident Response, and Disaster Recovery, which control data-protection matters.</w:t>
      </w:r>
    </w:p>
    <w:p>
      <w:pPr>
        <w:pStyle w:val="Heading1"/>
        <w:spacing w:before="240" w:after="120"/>
      </w:pPr>
      <w:r>
        <w:rPr>
          <w:rFonts w:ascii="Calibri" w:hAnsi="Calibri"/>
          <w:b/>
          <w:color w:val="1F3864"/>
          <w:sz w:val="26"/>
        </w:rPr>
        <w:t>ARTICLE 9.  CUSTOMER SUPPORT AND COMPLAINTS</w:t>
      </w:r>
    </w:p>
    <w:p>
      <w:pPr>
        <w:pStyle w:val="Heading2"/>
        <w:spacing w:before="160" w:after="60"/>
      </w:pPr>
      <w:r>
        <w:rPr>
          <w:rFonts w:ascii="Calibri" w:hAnsi="Calibri"/>
          <w:b/>
          <w:color w:val="000000"/>
          <w:sz w:val="22"/>
        </w:rPr>
        <w:t>9.1  Support</w:t>
      </w:r>
    </w:p>
    <w:p>
      <w:r>
        <w:rPr>
          <w:b w:val="0"/>
          <w:i w:val="0"/>
        </w:rPr>
        <w:t>Operator provides customer support (contact channels, hours, and response standards) per Provider-of-Record, Customer Products, Affordability, Support, Billing, and Complaints.</w:t>
      </w:r>
    </w:p>
    <w:p>
      <w:pPr>
        <w:pStyle w:val="Heading2"/>
        <w:spacing w:before="160" w:after="60"/>
      </w:pPr>
      <w:r>
        <w:rPr>
          <w:rFonts w:ascii="Calibri" w:hAnsi="Calibri"/>
          <w:b/>
          <w:color w:val="000000"/>
          <w:sz w:val="22"/>
        </w:rPr>
        <w:t>9.2  Complaints</w:t>
      </w:r>
    </w:p>
    <w:p>
      <w:r>
        <w:rPr>
          <w:b w:val="0"/>
          <w:i w:val="0"/>
        </w:rPr>
        <w:t>Operator maintains a complaint-handling process with logging, resolution timeframes, and reporting, and escalates regulatory complaints as required.</w:t>
      </w:r>
    </w:p>
    <w:p>
      <w:pPr>
        <w:pStyle w:val="Heading1"/>
        <w:spacing w:before="240" w:after="120"/>
      </w:pPr>
      <w:r>
        <w:rPr>
          <w:rFonts w:ascii="Calibri" w:hAnsi="Calibri"/>
          <w:b/>
          <w:color w:val="1F3864"/>
          <w:sz w:val="26"/>
        </w:rPr>
        <w:t>ARTICLE 10.  BILLING, PAYMENT PROCESSING, CREDITS, AND REFUNDS</w:t>
      </w:r>
    </w:p>
    <w:p>
      <w:pPr>
        <w:pStyle w:val="Heading2"/>
        <w:spacing w:before="160" w:after="60"/>
      </w:pPr>
      <w:r>
        <w:rPr>
          <w:rFonts w:ascii="Calibri" w:hAnsi="Calibri"/>
          <w:b/>
          <w:color w:val="000000"/>
          <w:sz w:val="22"/>
        </w:rPr>
        <w:t>10.1  Billing</w:t>
      </w:r>
    </w:p>
    <w:p>
      <w:r>
        <w:rPr>
          <w:b w:val="0"/>
          <w:i w:val="0"/>
        </w:rPr>
        <w:t>Operator bills customers, administers payment processing, and issues accurate, itemized invoices reflecting taxes and regulatory fees.</w:t>
      </w:r>
    </w:p>
    <w:p>
      <w:pPr>
        <w:pStyle w:val="Heading2"/>
        <w:spacing w:before="160" w:after="60"/>
      </w:pPr>
      <w:r>
        <w:rPr>
          <w:rFonts w:ascii="Calibri" w:hAnsi="Calibri"/>
          <w:b/>
          <w:color w:val="000000"/>
          <w:sz w:val="22"/>
        </w:rPr>
        <w:t>10.2  Credits and Refunds</w:t>
      </w:r>
    </w:p>
    <w:p>
      <w:r>
        <w:rPr>
          <w:b w:val="0"/>
          <w:i w:val="0"/>
        </w:rPr>
        <w:t>Operator administers billing credits and refunds under a documented policy; credits and refunds reduce amounts counted toward the per-subscriber payment as provided in the Payment article.</w:t>
      </w:r>
    </w:p>
    <w:p>
      <w:pPr>
        <w:pStyle w:val="Heading1"/>
        <w:spacing w:before="240" w:after="120"/>
      </w:pPr>
      <w:r>
        <w:rPr>
          <w:rFonts w:ascii="Calibri" w:hAnsi="Calibri"/>
          <w:b/>
          <w:color w:val="1F3864"/>
          <w:sz w:val="26"/>
        </w:rPr>
        <w:t>ARTICLE 11.  COLLECTIONS, NONPAYMENT, AND DISCONNECTION</w:t>
      </w:r>
    </w:p>
    <w:p>
      <w:pPr>
        <w:pStyle w:val="Heading2"/>
        <w:spacing w:before="160" w:after="60"/>
      </w:pPr>
      <w:r>
        <w:rPr>
          <w:rFonts w:ascii="Calibri" w:hAnsi="Calibri"/>
          <w:b/>
          <w:color w:val="000000"/>
          <w:sz w:val="22"/>
        </w:rPr>
        <w:t>11.1  Collections and Nonpayment</w:t>
      </w:r>
    </w:p>
    <w:p>
      <w:r>
        <w:rPr>
          <w:b w:val="0"/>
          <w:i w:val="0"/>
        </w:rPr>
        <w:t xml:space="preserve">Operator manages collections and bears ordinary bad-debt risk. Accounts suspended for nonpayment beyond </w:t>
      </w:r>
      <w:r>
        <w:rPr>
          <w:b w:val="0"/>
          <w:i w:val="0"/>
          <w:color w:val="804000"/>
          <w:highlight w:val="yellow"/>
        </w:rPr>
        <w:t>[■ [30]</w:t>
      </w:r>
      <w:r>
        <w:rPr>
          <w:b w:val="0"/>
          <w:i w:val="0"/>
        </w:rPr>
        <w:t xml:space="preserve"> days] are excluded from Active Subscriber counts as provided in the Payment article.</w:t>
      </w:r>
    </w:p>
    <w:p>
      <w:pPr>
        <w:pStyle w:val="Heading2"/>
        <w:spacing w:before="160" w:after="60"/>
      </w:pPr>
      <w:r>
        <w:rPr>
          <w:rFonts w:ascii="Calibri" w:hAnsi="Calibri"/>
          <w:b/>
          <w:color w:val="000000"/>
          <w:sz w:val="22"/>
        </w:rPr>
        <w:t>11.2  Disconnection</w:t>
      </w:r>
    </w:p>
    <w:p>
      <w:r>
        <w:rPr>
          <w:b w:val="0"/>
          <w:i w:val="0"/>
        </w:rPr>
        <w:t>Disconnection follows applicable notice and consumer-protection requirements, including any medical/lifeline protections.</w:t>
      </w:r>
    </w:p>
    <w:p>
      <w:pPr>
        <w:pStyle w:val="Heading1"/>
        <w:spacing w:before="240" w:after="120"/>
      </w:pPr>
      <w:r>
        <w:rPr>
          <w:rFonts w:ascii="Calibri" w:hAnsi="Calibri"/>
          <w:b/>
          <w:color w:val="1F3864"/>
          <w:sz w:val="26"/>
        </w:rPr>
        <w:t>ARTICLE 12.  REGULATORY COMPLIANCE, OUTAGE NOTICES, TAXES, FEES, AND BAD DEBT</w:t>
      </w:r>
    </w:p>
    <w:p>
      <w:pPr>
        <w:pStyle w:val="Heading2"/>
        <w:spacing w:before="160" w:after="60"/>
      </w:pPr>
      <w:r>
        <w:rPr>
          <w:rFonts w:ascii="Calibri" w:hAnsi="Calibri"/>
          <w:b/>
          <w:color w:val="000000"/>
          <w:sz w:val="22"/>
        </w:rPr>
        <w:t>12.1  Regulatory Compliance</w:t>
      </w:r>
    </w:p>
    <w:p>
      <w:r>
        <w:rPr>
          <w:b w:val="0"/>
          <w:i w:val="0"/>
        </w:rPr>
        <w:t>Operator complies with applicable FCC/USAC and, where applicable, ETC and Lifeline requirements (47 CFR Part 54 (USAC/FCC universal service, Lifeline, and ETC requirements)) and CPNI protections (47 U.S.C. § 222 and 47 CFR §§ 64.2001–64.2011 (Customer Proprietary Network Information)).</w:t>
      </w:r>
    </w:p>
    <w:p>
      <w:pPr>
        <w:pStyle w:val="Heading2"/>
        <w:spacing w:before="160" w:after="60"/>
      </w:pPr>
      <w:r>
        <w:rPr>
          <w:rFonts w:ascii="Calibri" w:hAnsi="Calibri"/>
          <w:b/>
          <w:color w:val="000000"/>
          <w:sz w:val="22"/>
        </w:rPr>
        <w:t>12.2  Outage Notices</w:t>
      </w:r>
    </w:p>
    <w:p>
      <w:r>
        <w:rPr>
          <w:b w:val="0"/>
          <w:i w:val="0"/>
        </w:rPr>
        <w:t>Operator provides customer outage notices and any required regulatory outage reporting, coordinating with O&amp;M under the Network Operations, Maintenance, and Lifecycle Agreement.</w:t>
      </w:r>
    </w:p>
    <w:p>
      <w:pPr>
        <w:pStyle w:val="Heading2"/>
        <w:spacing w:before="160" w:after="60"/>
      </w:pPr>
      <w:r>
        <w:rPr>
          <w:rFonts w:ascii="Calibri" w:hAnsi="Calibri"/>
          <w:b/>
          <w:color w:val="000000"/>
          <w:sz w:val="22"/>
        </w:rPr>
        <w:t>12.3  Taxes and Fees</w:t>
      </w:r>
    </w:p>
    <w:p>
      <w:r>
        <w:rPr>
          <w:b w:val="0"/>
          <w:i w:val="0"/>
        </w:rPr>
        <w:t xml:space="preserve">Operator administers, collects, and remits applicable taxes, USF/regulatory fees, and pass-through charges. </w:t>
      </w:r>
      <w:r>
        <w:rPr>
          <w:b/>
          <w:i w:val="0"/>
          <w:color w:val="C00000"/>
        </w:rPr>
        <w:t>[BUSINESS DECISION REQUIRED]</w:t>
      </w:r>
      <w:r>
        <w:rPr>
          <w:b w:val="0"/>
          <w:i w:val="0"/>
        </w:rPr>
        <w:t xml:space="preserve">  Treatment of taxes and fees in the per-subscriber payment base is addressed in the Payment article.</w:t>
      </w:r>
    </w:p>
    <w:p>
      <w:pPr>
        <w:pStyle w:val="Heading2"/>
        <w:spacing w:before="160" w:after="60"/>
      </w:pPr>
      <w:r>
        <w:rPr>
          <w:rFonts w:ascii="Calibri" w:hAnsi="Calibri"/>
          <w:b/>
          <w:color w:val="000000"/>
          <w:sz w:val="22"/>
        </w:rPr>
        <w:t>12.4  Bad Debt</w:t>
      </w:r>
    </w:p>
    <w:p>
      <w:r>
        <w:rPr>
          <w:b w:val="0"/>
          <w:i w:val="0"/>
        </w:rPr>
        <w:t>Ordinary bad debt is Operator's risk; uncollectible amounts are excluded from the per-subscriber payment base as provided in the Payment article.</w:t>
      </w:r>
    </w:p>
    <w:p>
      <w:pPr>
        <w:pStyle w:val="Heading1"/>
        <w:spacing w:before="240" w:after="120"/>
      </w:pPr>
      <w:r>
        <w:rPr>
          <w:rFonts w:ascii="Calibri" w:hAnsi="Calibri"/>
          <w:b/>
          <w:color w:val="1F3864"/>
          <w:sz w:val="26"/>
        </w:rPr>
        <w:t>ARTICLE 13.  DATA RIGHTS</w:t>
      </w:r>
    </w:p>
    <w:p>
      <w:pPr>
        <w:pStyle w:val="Heading2"/>
        <w:spacing w:before="160" w:after="60"/>
      </w:pPr>
      <w:r>
        <w:rPr>
          <w:rFonts w:ascii="Calibri" w:hAnsi="Calibri"/>
          <w:b/>
          <w:color w:val="000000"/>
          <w:sz w:val="22"/>
        </w:rPr>
        <w:t>13.1  No Unqualified Ownership of Personal Data</w:t>
      </w:r>
    </w:p>
    <w:p>
      <w:r>
        <w:rPr>
          <w:b w:val="0"/>
          <w:i w:val="0"/>
        </w:rPr>
        <w:t>No Party is the unqualified “owner” of customer personal data. Roles and rights are allocated by data category below, coordinated with the Data Privacy, Cybersecurity, Supply-Chain Risk, and Business Continuity Addendum and Data, Privacy, Cybersecurity, Supply-Chain Risk, Incident Response, and Disaster Recovery, which control data-protection, security, and breach matters.</w:t>
      </w:r>
    </w:p>
    <w:p>
      <w:pPr>
        <w:pStyle w:val="Heading2"/>
        <w:spacing w:before="160" w:after="60"/>
      </w:pPr>
      <w:r>
        <w:rPr>
          <w:rFonts w:ascii="Calibri" w:hAnsi="Calibri"/>
          <w:b/>
          <w:color w:val="000000"/>
          <w:sz w:val="22"/>
        </w:rPr>
        <w:t>13.2  Allocation by Data Category</w:t>
      </w:r>
    </w:p>
    <w:p>
      <w:r>
        <w:rPr>
          <w:b w:val="0"/>
          <w:i w:val="0"/>
        </w:rPr>
        <w:t>The following table allocates controller/owner versus processor/service-provider roles and rights (access, permitted use, retention, security, breach notice, portability, deletion) by data category: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val="clear" w:color="auto" w:fill="1F3864"/>
            <w:vAlign w:val="center"/>
          </w:tcPr>
          <w:p>
            <w:pPr>
              <w:jc w:val="center"/>
            </w:pPr>
            <w:r>
              <w:rPr>
                <w:b/>
                <w:color w:val="FFFFFF"/>
                <w:sz w:val="16"/>
              </w:rPr>
              <w:t>Data Category</w:t>
            </w:r>
          </w:p>
        </w:tc>
        <w:tc>
          <w:tcPr>
            <w:tcW w:type="dxa" w:w="2016"/>
            <w:shd w:val="clear" w:color="auto" w:fill="1F3864"/>
            <w:vAlign w:val="center"/>
          </w:tcPr>
          <w:p>
            <w:pPr>
              <w:jc w:val="center"/>
            </w:pPr>
            <w:r>
              <w:rPr>
                <w:b/>
                <w:color w:val="FFFFFF"/>
                <w:sz w:val="16"/>
              </w:rPr>
              <w:t>Controller / Owner</w:t>
            </w:r>
          </w:p>
        </w:tc>
        <w:tc>
          <w:tcPr>
            <w:tcW w:type="dxa" w:w="1440"/>
            <w:shd w:val="clear" w:color="auto" w:fill="1F3864"/>
            <w:vAlign w:val="center"/>
          </w:tcPr>
          <w:p>
            <w:pPr>
              <w:jc w:val="center"/>
            </w:pPr>
            <w:r>
              <w:rPr>
                <w:b/>
                <w:color w:val="FFFFFF"/>
                <w:sz w:val="16"/>
              </w:rPr>
              <w:t>Processor / Service Provider</w:t>
            </w:r>
          </w:p>
        </w:tc>
        <w:tc>
          <w:tcPr>
            <w:tcW w:type="dxa" w:w="1440"/>
            <w:shd w:val="clear" w:color="auto" w:fill="1F3864"/>
            <w:vAlign w:val="center"/>
          </w:tcPr>
          <w:p>
            <w:pPr>
              <w:jc w:val="center"/>
            </w:pPr>
            <w:r>
              <w:rPr>
                <w:b/>
                <w:color w:val="FFFFFF"/>
                <w:sz w:val="16"/>
              </w:rPr>
              <w:t>Access</w:t>
            </w:r>
          </w:p>
        </w:tc>
        <w:tc>
          <w:tcPr>
            <w:tcW w:type="dxa" w:w="1584"/>
            <w:shd w:val="clear" w:color="auto" w:fill="1F3864"/>
            <w:vAlign w:val="center"/>
          </w:tcPr>
          <w:p>
            <w:pPr>
              <w:jc w:val="center"/>
            </w:pPr>
            <w:r>
              <w:rPr>
                <w:b/>
                <w:color w:val="FFFFFF"/>
                <w:sz w:val="16"/>
              </w:rPr>
              <w:t>Permitted Use</w:t>
            </w:r>
          </w:p>
        </w:tc>
        <w:tc>
          <w:tcPr>
            <w:tcW w:type="dxa" w:w="1008"/>
            <w:shd w:val="clear" w:color="auto" w:fill="1F3864"/>
            <w:vAlign w:val="center"/>
          </w:tcPr>
          <w:p>
            <w:pPr>
              <w:jc w:val="center"/>
            </w:pPr>
            <w:r>
              <w:rPr>
                <w:b/>
                <w:color w:val="FFFFFF"/>
                <w:sz w:val="16"/>
              </w:rPr>
              <w:t>Retention</w:t>
            </w:r>
          </w:p>
        </w:tc>
        <w:tc>
          <w:tcPr>
            <w:tcW w:type="dxa" w:w="1440"/>
            <w:shd w:val="clear" w:color="auto" w:fill="1F3864"/>
            <w:vAlign w:val="center"/>
          </w:tcPr>
          <w:p>
            <w:pPr>
              <w:jc w:val="center"/>
            </w:pPr>
            <w:r>
              <w:rPr>
                <w:b/>
                <w:color w:val="FFFFFF"/>
                <w:sz w:val="16"/>
              </w:rPr>
              <w:t>Deletion / Portability</w:t>
            </w:r>
          </w:p>
        </w:tc>
      </w:tr>
      <w:tr>
        <w:tc>
          <w:tcPr>
            <w:tcW w:type="dxa" w:w="1872"/>
            <w:vAlign w:val="center"/>
          </w:tcPr>
          <w:p>
            <w:r>
              <w:rPr>
                <w:b w:val="0"/>
                <w:i w:val="0"/>
                <w:sz w:val="16"/>
              </w:rPr>
              <w:t>Customer personal / account data</w:t>
            </w:r>
          </w:p>
        </w:tc>
        <w:tc>
          <w:tcPr>
            <w:tcW w:type="dxa" w:w="2016"/>
            <w:vAlign w:val="center"/>
          </w:tcPr>
          <w:p>
            <w:r>
              <w:rPr>
                <w:b w:val="0"/>
                <w:i w:val="0"/>
                <w:sz w:val="16"/>
              </w:rPr>
              <w:t>Shared: RIVR Tech as Retail Provider of Record; Lumbee Tribe project-level oversight [confirm]</w:t>
            </w:r>
          </w:p>
        </w:tc>
        <w:tc>
          <w:tcPr>
            <w:tcW w:type="dxa" w:w="1440"/>
            <w:vAlign w:val="center"/>
          </w:tcPr>
          <w:p>
            <w:r>
              <w:rPr>
                <w:b w:val="0"/>
                <w:i w:val="0"/>
                <w:sz w:val="16"/>
              </w:rPr>
              <w:t>RIVR Tech systems</w:t>
            </w:r>
          </w:p>
        </w:tc>
        <w:tc>
          <w:tcPr>
            <w:tcW w:type="dxa" w:w="1440"/>
            <w:vAlign w:val="center"/>
          </w:tcPr>
          <w:p>
            <w:r>
              <w:rPr>
                <w:b w:val="0"/>
                <w:i w:val="0"/>
                <w:sz w:val="16"/>
              </w:rPr>
              <w:t>Lumbee Tribe + government: project-level oversight access</w:t>
            </w:r>
          </w:p>
        </w:tc>
        <w:tc>
          <w:tcPr>
            <w:tcW w:type="dxa" w:w="1584"/>
            <w:vAlign w:val="center"/>
          </w:tcPr>
          <w:p>
            <w:r>
              <w:rPr>
                <w:b w:val="0"/>
                <w:i w:val="0"/>
                <w:sz w:val="16"/>
              </w:rPr>
              <w:t>Service delivery, billing, regulatory</w:t>
            </w:r>
          </w:p>
        </w:tc>
        <w:tc>
          <w:tcPr>
            <w:tcW w:type="dxa" w:w="1008"/>
            <w:vAlign w:val="center"/>
          </w:tcPr>
          <w:p>
            <w:r>
              <w:rPr>
                <w:b w:val="0"/>
                <w:i w:val="0"/>
                <w:color w:val="804000"/>
                <w:sz w:val="16"/>
                <w:highlight w:val="yellow"/>
              </w:rPr>
              <w:t>[■ period]</w:t>
            </w:r>
          </w:p>
        </w:tc>
        <w:tc>
          <w:tcPr>
            <w:tcW w:type="dxa" w:w="1440"/>
            <w:vAlign w:val="center"/>
          </w:tcPr>
          <w:p>
            <w:r>
              <w:rPr>
                <w:b w:val="0"/>
                <w:i w:val="0"/>
                <w:sz w:val="16"/>
              </w:rPr>
              <w:t>Per privacy addendum + law</w:t>
            </w:r>
          </w:p>
        </w:tc>
      </w:tr>
      <w:tr>
        <w:tc>
          <w:tcPr>
            <w:tcW w:type="dxa" w:w="1872"/>
            <w:shd w:val="clear" w:color="auto" w:fill="F2F2F2"/>
            <w:vAlign w:val="center"/>
          </w:tcPr>
          <w:p>
            <w:r>
              <w:rPr>
                <w:b w:val="0"/>
                <w:i w:val="0"/>
                <w:sz w:val="16"/>
              </w:rPr>
              <w:t>CPNI</w:t>
            </w:r>
          </w:p>
        </w:tc>
        <w:tc>
          <w:tcPr>
            <w:tcW w:type="dxa" w:w="2016"/>
            <w:shd w:val="clear" w:color="auto" w:fill="F2F2F2"/>
            <w:vAlign w:val="center"/>
          </w:tcPr>
          <w:p>
            <w:r>
              <w:rPr>
                <w:b w:val="0"/>
                <w:i w:val="0"/>
                <w:sz w:val="16"/>
              </w:rPr>
              <w:t>RIVR Tech (carrier duties)</w:t>
            </w:r>
          </w:p>
        </w:tc>
        <w:tc>
          <w:tcPr>
            <w:tcW w:type="dxa" w:w="1440"/>
            <w:shd w:val="clear" w:color="auto" w:fill="F2F2F2"/>
            <w:vAlign w:val="center"/>
          </w:tcPr>
          <w:p>
            <w:r>
              <w:rPr>
                <w:b w:val="0"/>
                <w:i w:val="0"/>
                <w:sz w:val="16"/>
              </w:rPr>
              <w:t>RIVR Tech</w:t>
            </w:r>
          </w:p>
        </w:tc>
        <w:tc>
          <w:tcPr>
            <w:tcW w:type="dxa" w:w="1440"/>
            <w:shd w:val="clear" w:color="auto" w:fill="F2F2F2"/>
            <w:vAlign w:val="center"/>
          </w:tcPr>
          <w:p>
            <w:r>
              <w:rPr>
                <w:b w:val="0"/>
                <w:i w:val="0"/>
                <w:sz w:val="16"/>
              </w:rPr>
              <w:t>Restricted per CPNI rules</w:t>
            </w:r>
          </w:p>
        </w:tc>
        <w:tc>
          <w:tcPr>
            <w:tcW w:type="dxa" w:w="1584"/>
            <w:shd w:val="clear" w:color="auto" w:fill="F2F2F2"/>
            <w:vAlign w:val="center"/>
          </w:tcPr>
          <w:p>
            <w:r>
              <w:rPr>
                <w:b w:val="0"/>
                <w:i w:val="0"/>
                <w:sz w:val="16"/>
              </w:rPr>
              <w:t>Per 47 U.S.C. § 222 and 47 CFR §§ 64.2001–64.2011 (Customer Proprietary Network Information)</w:t>
            </w:r>
          </w:p>
        </w:tc>
        <w:tc>
          <w:tcPr>
            <w:tcW w:type="dxa" w:w="1008"/>
            <w:shd w:val="clear" w:color="auto" w:fill="F2F2F2"/>
            <w:vAlign w:val="center"/>
          </w:tcPr>
          <w:p>
            <w:r>
              <w:rPr>
                <w:b w:val="0"/>
                <w:i w:val="0"/>
                <w:sz w:val="16"/>
              </w:rPr>
              <w:t>Per rule</w:t>
            </w:r>
          </w:p>
        </w:tc>
        <w:tc>
          <w:tcPr>
            <w:tcW w:type="dxa" w:w="1440"/>
            <w:shd w:val="clear" w:color="auto" w:fill="F2F2F2"/>
            <w:vAlign w:val="center"/>
          </w:tcPr>
          <w:p>
            <w:r>
              <w:rPr>
                <w:b w:val="0"/>
                <w:i w:val="0"/>
                <w:sz w:val="16"/>
              </w:rPr>
              <w:t>Per rule</w:t>
            </w:r>
          </w:p>
        </w:tc>
      </w:tr>
      <w:tr>
        <w:tc>
          <w:tcPr>
            <w:tcW w:type="dxa" w:w="1872"/>
            <w:vAlign w:val="center"/>
          </w:tcPr>
          <w:p>
            <w:r>
              <w:rPr>
                <w:b w:val="0"/>
                <w:i w:val="0"/>
                <w:sz w:val="16"/>
              </w:rPr>
              <w:t>Aggregated / de-identified service data</w:t>
            </w:r>
          </w:p>
        </w:tc>
        <w:tc>
          <w:tcPr>
            <w:tcW w:type="dxa" w:w="2016"/>
            <w:vAlign w:val="center"/>
          </w:tcPr>
          <w:p>
            <w:r>
              <w:rPr>
                <w:b w:val="0"/>
                <w:i w:val="0"/>
                <w:sz w:val="16"/>
              </w:rPr>
              <w:t>Shared per addendum</w:t>
            </w:r>
          </w:p>
        </w:tc>
        <w:tc>
          <w:tcPr>
            <w:tcW w:type="dxa" w:w="1440"/>
            <w:vAlign w:val="center"/>
          </w:tcPr>
          <w:p>
            <w:r>
              <w:rPr>
                <w:b w:val="0"/>
                <w:i w:val="0"/>
                <w:sz w:val="16"/>
              </w:rPr>
              <w:t>RIVR Tech</w:t>
            </w:r>
          </w:p>
        </w:tc>
        <w:tc>
          <w:tcPr>
            <w:tcW w:type="dxa" w:w="1440"/>
            <w:vAlign w:val="center"/>
          </w:tcPr>
          <w:p>
            <w:r>
              <w:rPr>
                <w:b w:val="0"/>
                <w:i w:val="0"/>
                <w:sz w:val="16"/>
              </w:rPr>
              <w:t>Lumbee Tribe + government project reporting</w:t>
            </w:r>
          </w:p>
        </w:tc>
        <w:tc>
          <w:tcPr>
            <w:tcW w:type="dxa" w:w="1584"/>
            <w:vAlign w:val="center"/>
          </w:tcPr>
          <w:p>
            <w:r>
              <w:rPr>
                <w:b w:val="0"/>
                <w:i w:val="0"/>
                <w:sz w:val="16"/>
              </w:rPr>
              <w:t>Reporting, planning, Award compliance</w:t>
            </w:r>
          </w:p>
        </w:tc>
        <w:tc>
          <w:tcPr>
            <w:tcW w:type="dxa" w:w="1008"/>
            <w:vAlign w:val="center"/>
          </w:tcPr>
          <w:p>
            <w:r>
              <w:rPr>
                <w:b w:val="0"/>
                <w:i w:val="0"/>
                <w:color w:val="804000"/>
                <w:sz w:val="16"/>
                <w:highlight w:val="yellow"/>
              </w:rPr>
              <w:t>[■ period]</w:t>
            </w:r>
          </w:p>
        </w:tc>
        <w:tc>
          <w:tcPr>
            <w:tcW w:type="dxa" w:w="1440"/>
            <w:vAlign w:val="center"/>
          </w:tcPr>
          <w:p>
            <w:r>
              <w:rPr>
                <w:b w:val="0"/>
                <w:i w:val="0"/>
                <w:sz w:val="16"/>
              </w:rPr>
              <w:t>As agreed</w:t>
            </w:r>
          </w:p>
        </w:tc>
      </w:tr>
      <w:tr>
        <w:tc>
          <w:tcPr>
            <w:tcW w:type="dxa" w:w="1872"/>
            <w:shd w:val="clear" w:color="auto" w:fill="F2F2F2"/>
            <w:vAlign w:val="center"/>
          </w:tcPr>
          <w:p>
            <w:r>
              <w:rPr>
                <w:b w:val="0"/>
                <w:i w:val="0"/>
                <w:sz w:val="16"/>
              </w:rPr>
              <w:t>Network / operational performance data</w:t>
            </w:r>
          </w:p>
        </w:tc>
        <w:tc>
          <w:tcPr>
            <w:tcW w:type="dxa" w:w="2016"/>
            <w:shd w:val="clear" w:color="auto" w:fill="F2F2F2"/>
            <w:vAlign w:val="center"/>
          </w:tcPr>
          <w:p>
            <w:r>
              <w:rPr>
                <w:b w:val="0"/>
                <w:i w:val="0"/>
                <w:sz w:val="16"/>
              </w:rPr>
              <w:t>Lumbee Tribe (Grant-Funded Assets) [confirm]</w:t>
            </w:r>
          </w:p>
        </w:tc>
        <w:tc>
          <w:tcPr>
            <w:tcW w:type="dxa" w:w="1440"/>
            <w:shd w:val="clear" w:color="auto" w:fill="F2F2F2"/>
            <w:vAlign w:val="center"/>
          </w:tcPr>
          <w:p>
            <w:r>
              <w:rPr>
                <w:b w:val="0"/>
                <w:i w:val="0"/>
                <w:sz w:val="16"/>
              </w:rPr>
              <w:t>RIVR Tech operator</w:t>
            </w:r>
          </w:p>
        </w:tc>
        <w:tc>
          <w:tcPr>
            <w:tcW w:type="dxa" w:w="1440"/>
            <w:shd w:val="clear" w:color="auto" w:fill="F2F2F2"/>
            <w:vAlign w:val="center"/>
          </w:tcPr>
          <w:p>
            <w:r>
              <w:rPr>
                <w:b w:val="0"/>
                <w:i w:val="0"/>
                <w:sz w:val="16"/>
              </w:rPr>
              <w:t>Lumbee Tribe + government full access</w:t>
            </w:r>
          </w:p>
        </w:tc>
        <w:tc>
          <w:tcPr>
            <w:tcW w:type="dxa" w:w="1584"/>
            <w:shd w:val="clear" w:color="auto" w:fill="F2F2F2"/>
            <w:vAlign w:val="center"/>
          </w:tcPr>
          <w:p>
            <w:r>
              <w:rPr>
                <w:b w:val="0"/>
                <w:i w:val="0"/>
                <w:sz w:val="16"/>
              </w:rPr>
              <w:t>O&amp;M, oversight, Award reporting</w:t>
            </w:r>
          </w:p>
        </w:tc>
        <w:tc>
          <w:tcPr>
            <w:tcW w:type="dxa" w:w="1008"/>
            <w:shd w:val="clear" w:color="auto" w:fill="F2F2F2"/>
            <w:vAlign w:val="center"/>
          </w:tcPr>
          <w:p>
            <w:r>
              <w:rPr>
                <w:b w:val="0"/>
                <w:i w:val="0"/>
                <w:sz w:val="16"/>
              </w:rPr>
              <w:t>3 yrs+</w:t>
            </w:r>
          </w:p>
        </w:tc>
        <w:tc>
          <w:tcPr>
            <w:tcW w:type="dxa" w:w="1440"/>
            <w:shd w:val="clear" w:color="auto" w:fill="F2F2F2"/>
            <w:vAlign w:val="center"/>
          </w:tcPr>
          <w:p>
            <w:r>
              <w:rPr>
                <w:b w:val="0"/>
                <w:i w:val="0"/>
                <w:sz w:val="16"/>
              </w:rPr>
              <w:t>Return/transition on exit</w:t>
            </w:r>
          </w:p>
        </w:tc>
      </w:tr>
      <w:tr>
        <w:tc>
          <w:tcPr>
            <w:tcW w:type="dxa" w:w="1872"/>
            <w:vAlign w:val="center"/>
          </w:tcPr>
          <w:p>
            <w:r>
              <w:rPr>
                <w:b w:val="0"/>
                <w:i w:val="0"/>
                <w:sz w:val="16"/>
              </w:rPr>
              <w:t>Award-compliance / reporting data</w:t>
            </w:r>
          </w:p>
        </w:tc>
        <w:tc>
          <w:tcPr>
            <w:tcW w:type="dxa" w:w="2016"/>
            <w:vAlign w:val="center"/>
          </w:tcPr>
          <w:p>
            <w:r>
              <w:rPr>
                <w:b w:val="0"/>
                <w:i w:val="0"/>
                <w:sz w:val="16"/>
              </w:rPr>
              <w:t>Lumbee Tribe (recipient)</w:t>
            </w:r>
          </w:p>
        </w:tc>
        <w:tc>
          <w:tcPr>
            <w:tcW w:type="dxa" w:w="1440"/>
            <w:vAlign w:val="center"/>
          </w:tcPr>
          <w:p>
            <w:r>
              <w:rPr>
                <w:b w:val="0"/>
                <w:i w:val="0"/>
                <w:sz w:val="16"/>
              </w:rPr>
              <w:t>RIVR Tech supports</w:t>
            </w:r>
          </w:p>
        </w:tc>
        <w:tc>
          <w:tcPr>
            <w:tcW w:type="dxa" w:w="1440"/>
            <w:vAlign w:val="center"/>
          </w:tcPr>
          <w:p>
            <w:r>
              <w:rPr>
                <w:b w:val="0"/>
                <w:i w:val="0"/>
                <w:sz w:val="16"/>
              </w:rPr>
              <w:t>Lumbee Tribe + NTIA/U.S. Department of Commerce full access</w:t>
            </w:r>
          </w:p>
        </w:tc>
        <w:tc>
          <w:tcPr>
            <w:tcW w:type="dxa" w:w="1584"/>
            <w:vAlign w:val="center"/>
          </w:tcPr>
          <w:p>
            <w:r>
              <w:rPr>
                <w:b w:val="0"/>
                <w:i w:val="0"/>
                <w:sz w:val="16"/>
              </w:rPr>
              <w:t>Award compliance</w:t>
            </w:r>
          </w:p>
        </w:tc>
        <w:tc>
          <w:tcPr>
            <w:tcW w:type="dxa" w:w="1008"/>
            <w:vAlign w:val="center"/>
          </w:tcPr>
          <w:p>
            <w:r>
              <w:rPr>
                <w:b w:val="0"/>
                <w:i w:val="0"/>
                <w:sz w:val="16"/>
              </w:rPr>
              <w:t>Per 2 CFR 200.334–200.337 (Record retention and access; three-year retention)</w:t>
            </w:r>
          </w:p>
        </w:tc>
        <w:tc>
          <w:tcPr>
            <w:tcW w:type="dxa" w:w="1440"/>
            <w:vAlign w:val="center"/>
          </w:tcPr>
          <w:p>
            <w:r>
              <w:rPr>
                <w:b w:val="0"/>
                <w:i w:val="0"/>
                <w:sz w:val="16"/>
              </w:rPr>
              <w:t>Retain per Award</w:t>
            </w:r>
          </w:p>
        </w:tc>
      </w:tr>
    </w:tbl>
    <w:p>
      <w:pPr>
        <w:pStyle w:val="Heading2"/>
        <w:spacing w:before="160" w:after="60"/>
      </w:pPr>
      <w:r>
        <w:rPr>
          <w:rFonts w:ascii="Calibri" w:hAnsi="Calibri"/>
          <w:b/>
          <w:color w:val="000000"/>
          <w:sz w:val="22"/>
        </w:rPr>
        <w:t>13.3  Tribe and Government Oversight Access</w:t>
      </w:r>
    </w:p>
    <w:p>
      <w:r>
        <w:rPr>
          <w:b w:val="0"/>
          <w:i w:val="0"/>
        </w:rPr>
        <w:t>The Lumbee Tribe and NTIA/U.S. Department of Commerce have project-level oversight access to data necessary for Award compliance and stewardship, subject to customer-privacy protections and the Data Privacy, Cybersecurity, Supply-Chain Risk, and Business Continuity Addendum.</w:t>
      </w:r>
    </w:p>
    <w:p>
      <w:pPr>
        <w:ind w:left="504"/>
      </w:pPr>
      <w:r>
        <w:rPr>
          <w:b/>
          <w:color w:val="0000C0"/>
        </w:rPr>
        <w:t xml:space="preserve">[ATTORNEY REVIEW REQUIRED]  </w:t>
      </w:r>
      <w:r>
        <w:rPr>
          <w:i/>
          <w:color w:val="595959"/>
        </w:rPr>
        <w:t>Controller/processor allocation, access scope, and deletion/portability by category are legal determinations; reconcile with the privacy addendum and applicable law.</w:t>
      </w:r>
    </w:p>
    <w:p>
      <w:pPr>
        <w:pStyle w:val="Heading1"/>
        <w:spacing w:before="240" w:after="120"/>
      </w:pPr>
      <w:r>
        <w:rPr>
          <w:rFonts w:ascii="Calibri" w:hAnsi="Calibri"/>
          <w:b/>
          <w:color w:val="1F3864"/>
          <w:sz w:val="26"/>
        </w:rPr>
        <w:t>ARTICLE 14.  RECORD ACCESS</w:t>
      </w:r>
    </w:p>
    <w:p>
      <w:pPr>
        <w:pStyle w:val="Heading2"/>
        <w:spacing w:before="160" w:after="60"/>
      </w:pPr>
      <w:r>
        <w:rPr>
          <w:rFonts w:ascii="Calibri" w:hAnsi="Calibri"/>
          <w:b/>
          <w:color w:val="000000"/>
          <w:sz w:val="22"/>
        </w:rPr>
        <w:t>14.1  Records and Access</w:t>
      </w:r>
    </w:p>
    <w:p>
      <w:r>
        <w:rPr>
          <w:b w:val="0"/>
          <w:i w:val="0"/>
        </w:rPr>
        <w:t>Operator maintains billing, subscriber, and compliance records and provides the Lumbee Tribe and NTIA/U.S. Department of Commerce access per 2 CFR 200.334–200.337 (Record retention and access; three-year retention), retained for 3 years, subject to customer-privacy protections.</w:t>
      </w:r>
    </w:p>
    <w:p>
      <w:pPr>
        <w:pStyle w:val="Heading1"/>
        <w:spacing w:before="240" w:after="120"/>
      </w:pPr>
      <w:r>
        <w:rPr>
          <w:rFonts w:ascii="Calibri" w:hAnsi="Calibri"/>
          <w:b/>
          <w:color w:val="1F3864"/>
          <w:sz w:val="26"/>
        </w:rPr>
        <w:t>ARTICLE 15.  TRANSITION</w:t>
      </w:r>
    </w:p>
    <w:p>
      <w:pPr>
        <w:pStyle w:val="Heading2"/>
        <w:spacing w:before="160" w:after="60"/>
      </w:pPr>
      <w:r>
        <w:rPr>
          <w:rFonts w:ascii="Calibri" w:hAnsi="Calibri"/>
          <w:b/>
          <w:color w:val="000000"/>
          <w:sz w:val="22"/>
        </w:rPr>
        <w:t>15.1  Continuity and Transition</w:t>
      </w:r>
    </w:p>
    <w:p>
      <w:r>
        <w:rPr>
          <w:b w:val="0"/>
          <w:i w:val="0"/>
        </w:rPr>
        <w:t>On expiration, termination, step-in, or change of provider, transition of customers, data, and retail functions is governed by the Continuity, Step-In, Termination Assistance, and Transition Agreement, which controls those procedures; transition assistance continues for up to 12 months.</w:t>
      </w:r>
    </w:p>
    <w:p>
      <w:pPr>
        <w:pStyle w:val="Heading1"/>
        <w:spacing w:before="240" w:after="120"/>
      </w:pPr>
      <w:r>
        <w:rPr>
          <w:rFonts w:ascii="Calibri" w:hAnsi="Calibri"/>
          <w:b/>
          <w:color w:val="1F3864"/>
          <w:sz w:val="26"/>
        </w:rPr>
        <w:t>ARTICLE 16.  PER-ACTIVE-SUBSCRIBER PAYMENT SCHEDULE</w:t>
      </w:r>
    </w:p>
    <w:p>
      <w:pPr>
        <w:pStyle w:val="Heading2"/>
        <w:spacing w:before="160" w:after="60"/>
      </w:pPr>
      <w:r>
        <w:rPr>
          <w:rFonts w:ascii="Calibri" w:hAnsi="Calibri"/>
          <w:b/>
          <w:color w:val="000000"/>
          <w:sz w:val="22"/>
        </w:rPr>
        <w:t>16.1  Primary Payment</w:t>
      </w:r>
    </w:p>
    <w:p>
      <w:r>
        <w:rPr>
          <w:b w:val="0"/>
          <w:i w:val="0"/>
        </w:rPr>
        <w:t xml:space="preserve">As the primary economic model of this package, RIVR Tech will pay the Lumbee Tribe $[X] per Active Subscriber per month for each Active Subscriber, determined monthly as set out in this Article. </w:t>
      </w:r>
      <w:r>
        <w:rPr>
          <w:b/>
          <w:i w:val="0"/>
          <w:color w:val="C00000"/>
        </w:rPr>
        <w:t>[BUSINESS DECISION REQUIRED]</w:t>
      </w:r>
      <w:r>
        <w:rPr>
          <w:b w:val="0"/>
          <w:i w:val="0"/>
        </w:rPr>
        <w:t xml:space="preserve">  The per-subscriber amount is a placeholder to be confirmed.</w:t>
      </w:r>
    </w:p>
    <w:p>
      <w:pPr>
        <w:pStyle w:val="Heading2"/>
        <w:spacing w:before="160" w:after="60"/>
      </w:pPr>
      <w:r>
        <w:rPr>
          <w:rFonts w:ascii="Calibri" w:hAnsi="Calibri"/>
          <w:b/>
          <w:color w:val="000000"/>
          <w:sz w:val="22"/>
        </w:rPr>
        <w:t>16.2  Active Subscriber — Definition</w:t>
      </w:r>
    </w:p>
    <w:p>
      <w:r>
        <w:rPr>
          <w:b w:val="0"/>
          <w:i w:val="0"/>
        </w:rPr>
        <w:t>“Active Subscriber” means a subscriber account that meets all of the following, determined monthly:</w:t>
      </w:r>
    </w:p>
    <w:p>
      <w:pPr>
        <w:pStyle w:val="ListBullet"/>
      </w:pPr>
      <w:r>
        <w:rPr>
          <w:b w:val="0"/>
          <w:i w:val="0"/>
        </w:rPr>
        <w:t>counted only for a location within the Approved Project Area receiving provisioned, billable retail broadband service</w:t>
      </w:r>
    </w:p>
    <w:p>
      <w:pPr>
        <w:pStyle w:val="ListBullet"/>
      </w:pPr>
      <w:r>
        <w:rPr>
          <w:b w:val="0"/>
          <w:i w:val="0"/>
        </w:rPr>
        <w:t>activation dated to first successful service provisioning; disconnect dated to service cease</w:t>
      </w:r>
    </w:p>
    <w:p>
      <w:pPr>
        <w:pStyle w:val="ListBullet"/>
      </w:pPr>
      <w:r>
        <w:rPr>
          <w:b w:val="0"/>
          <w:i w:val="0"/>
        </w:rPr>
        <w:t>partial months prorated on a daily basis [BUSINESS DECISION REQUIRED: prorate vs. full-month]</w:t>
      </w:r>
    </w:p>
    <w:p>
      <w:pPr>
        <w:pStyle w:val="ListBullet"/>
      </w:pPr>
      <w:r>
        <w:rPr>
          <w:b w:val="0"/>
          <w:i w:val="0"/>
        </w:rPr>
        <w:t>excludes accounts suspended for nonpayment beyond [30] days, and courtesy/free/subsidized accounts unless separately agreed and Award-permitted</w:t>
      </w:r>
    </w:p>
    <w:p>
      <w:pPr>
        <w:pStyle w:val="ListBullet"/>
      </w:pPr>
      <w:r>
        <w:rPr>
          <w:b w:val="0"/>
          <w:i w:val="0"/>
        </w:rPr>
        <w:t>one location with multiple services counts as a single Active Subscriber unless separately agreed</w:t>
      </w:r>
    </w:p>
    <w:p>
      <w:pPr>
        <w:pStyle w:val="ListBullet"/>
      </w:pPr>
      <w:r>
        <w:rPr>
          <w:b w:val="0"/>
          <w:i w:val="0"/>
        </w:rPr>
        <w:t>bulk / multi-dwelling accounts counted per billable unit per an agreed methodology</w:t>
      </w:r>
    </w:p>
    <w:p>
      <w:pPr>
        <w:pStyle w:val="ListBullet"/>
      </w:pPr>
      <w:r>
        <w:rPr>
          <w:b w:val="0"/>
          <w:i w:val="0"/>
        </w:rPr>
        <w:t>net of credits, refunds, and uncollectible amounts; exclusive of taxes and regulatory fees</w:t>
      </w:r>
    </w:p>
    <w:p>
      <w:pPr>
        <w:pStyle w:val="Heading2"/>
        <w:spacing w:before="160" w:after="60"/>
      </w:pPr>
      <w:r>
        <w:rPr>
          <w:rFonts w:ascii="Calibri" w:hAnsi="Calibri"/>
          <w:b/>
          <w:color w:val="000000"/>
          <w:sz w:val="22"/>
        </w:rPr>
        <w:t>16.3  Exclusions and Counting Rules</w:t>
      </w:r>
    </w:p>
    <w:p>
      <w:r>
        <w:rPr>
          <w:b w:val="0"/>
          <w:i w:val="0"/>
        </w:rPr>
        <w:t>The following are expressly excluded from, or governed by special rules within, the Active Subscriber count:</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864"/>
            <w:vAlign w:val="center"/>
          </w:tcPr>
          <w:p>
            <w:pPr>
              <w:jc w:val="center"/>
            </w:pPr>
            <w:r>
              <w:rPr>
                <w:b/>
                <w:color w:val="FFFFFF"/>
                <w:sz w:val="18"/>
              </w:rPr>
              <w:t>Item</w:t>
            </w:r>
          </w:p>
        </w:tc>
        <w:tc>
          <w:tcPr>
            <w:tcW w:type="dxa" w:w="5616"/>
            <w:shd w:val="clear" w:color="auto" w:fill="1F3864"/>
            <w:vAlign w:val="center"/>
          </w:tcPr>
          <w:p>
            <w:pPr>
              <w:jc w:val="center"/>
            </w:pPr>
            <w:r>
              <w:rPr>
                <w:b/>
                <w:color w:val="FFFFFF"/>
                <w:sz w:val="18"/>
              </w:rPr>
              <w:t>Treatment</w:t>
            </w:r>
          </w:p>
        </w:tc>
      </w:tr>
      <w:tr>
        <w:tc>
          <w:tcPr>
            <w:tcW w:type="dxa" w:w="3744"/>
            <w:vAlign w:val="center"/>
          </w:tcPr>
          <w:p>
            <w:r>
              <w:rPr>
                <w:b w:val="0"/>
                <w:i w:val="0"/>
                <w:sz w:val="18"/>
              </w:rPr>
              <w:t>Activations</w:t>
            </w:r>
          </w:p>
        </w:tc>
        <w:tc>
          <w:tcPr>
            <w:tcW w:type="dxa" w:w="5616"/>
            <w:vAlign w:val="center"/>
          </w:tcPr>
          <w:p>
            <w:r>
              <w:rPr>
                <w:b w:val="0"/>
                <w:i w:val="0"/>
                <w:sz w:val="18"/>
              </w:rPr>
              <w:t>Counted from first successful service provisioning</w:t>
            </w:r>
          </w:p>
        </w:tc>
      </w:tr>
      <w:tr>
        <w:tc>
          <w:tcPr>
            <w:tcW w:type="dxa" w:w="3744"/>
            <w:shd w:val="clear" w:color="auto" w:fill="F2F2F2"/>
            <w:vAlign w:val="center"/>
          </w:tcPr>
          <w:p>
            <w:r>
              <w:rPr>
                <w:b w:val="0"/>
                <w:i w:val="0"/>
                <w:sz w:val="18"/>
              </w:rPr>
              <w:t>Disconnects</w:t>
            </w:r>
          </w:p>
        </w:tc>
        <w:tc>
          <w:tcPr>
            <w:tcW w:type="dxa" w:w="5616"/>
            <w:shd w:val="clear" w:color="auto" w:fill="F2F2F2"/>
            <w:vAlign w:val="center"/>
          </w:tcPr>
          <w:p>
            <w:r>
              <w:rPr>
                <w:b w:val="0"/>
                <w:i w:val="0"/>
                <w:sz w:val="18"/>
              </w:rPr>
              <w:t>Excluded from the date service ceases</w:t>
            </w:r>
          </w:p>
        </w:tc>
      </w:tr>
      <w:tr>
        <w:tc>
          <w:tcPr>
            <w:tcW w:type="dxa" w:w="3744"/>
            <w:vAlign w:val="center"/>
          </w:tcPr>
          <w:p>
            <w:r>
              <w:rPr>
                <w:b w:val="0"/>
                <w:i w:val="0"/>
                <w:sz w:val="18"/>
              </w:rPr>
              <w:t>Suspensions (nonpayment)</w:t>
            </w:r>
          </w:p>
        </w:tc>
        <w:tc>
          <w:tcPr>
            <w:tcW w:type="dxa" w:w="5616"/>
            <w:vAlign w:val="center"/>
          </w:tcPr>
          <w:p>
            <w:r>
              <w:rPr>
                <w:b w:val="0"/>
                <w:i w:val="0"/>
                <w:color w:val="804000"/>
                <w:sz w:val="18"/>
                <w:highlight w:val="yellow"/>
              </w:rPr>
              <w:t>[■ excluded beyond [30]</w:t>
            </w:r>
            <w:r>
              <w:rPr>
                <w:b w:val="0"/>
                <w:i w:val="0"/>
                <w:sz w:val="18"/>
              </w:rPr>
              <w:t xml:space="preserve"> days of suspension]</w:t>
            </w:r>
          </w:p>
        </w:tc>
      </w:tr>
      <w:tr>
        <w:tc>
          <w:tcPr>
            <w:tcW w:type="dxa" w:w="3744"/>
            <w:shd w:val="clear" w:color="auto" w:fill="F2F2F2"/>
            <w:vAlign w:val="center"/>
          </w:tcPr>
          <w:p>
            <w:r>
              <w:rPr>
                <w:b w:val="0"/>
                <w:i w:val="0"/>
                <w:sz w:val="18"/>
              </w:rPr>
              <w:t>Seasonal / vacation accounts</w:t>
            </w:r>
          </w:p>
        </w:tc>
        <w:tc>
          <w:tcPr>
            <w:tcW w:type="dxa" w:w="5616"/>
            <w:shd w:val="clear" w:color="auto" w:fill="F2F2F2"/>
            <w:vAlign w:val="center"/>
          </w:tcPr>
          <w:p>
            <w:r>
              <w:rPr>
                <w:b w:val="0"/>
                <w:i w:val="0"/>
                <w:color w:val="804000"/>
                <w:sz w:val="18"/>
                <w:highlight w:val="yellow"/>
              </w:rPr>
              <w:t>[■ counted / excluded — confirm methodology]</w:t>
            </w:r>
          </w:p>
        </w:tc>
      </w:tr>
      <w:tr>
        <w:tc>
          <w:tcPr>
            <w:tcW w:type="dxa" w:w="3744"/>
            <w:vAlign w:val="center"/>
          </w:tcPr>
          <w:p>
            <w:r>
              <w:rPr>
                <w:b w:val="0"/>
                <w:i w:val="0"/>
                <w:sz w:val="18"/>
              </w:rPr>
              <w:t>Free / courtesy / subsidized accounts</w:t>
            </w:r>
          </w:p>
        </w:tc>
        <w:tc>
          <w:tcPr>
            <w:tcW w:type="dxa" w:w="5616"/>
            <w:vAlign w:val="center"/>
          </w:tcPr>
          <w:p>
            <w:r>
              <w:rPr>
                <w:b w:val="0"/>
                <w:i w:val="0"/>
                <w:sz w:val="18"/>
              </w:rPr>
              <w:t>Excluded unless separately agreed and Award-permitted</w:t>
            </w:r>
          </w:p>
        </w:tc>
      </w:tr>
      <w:tr>
        <w:tc>
          <w:tcPr>
            <w:tcW w:type="dxa" w:w="3744"/>
            <w:shd w:val="clear" w:color="auto" w:fill="F2F2F2"/>
            <w:vAlign w:val="center"/>
          </w:tcPr>
          <w:p>
            <w:r>
              <w:rPr>
                <w:b w:val="0"/>
                <w:i w:val="0"/>
                <w:sz w:val="18"/>
              </w:rPr>
              <w:t>Partial months</w:t>
            </w:r>
          </w:p>
        </w:tc>
        <w:tc>
          <w:tcPr>
            <w:tcW w:type="dxa" w:w="5616"/>
            <w:shd w:val="clear" w:color="auto" w:fill="F2F2F2"/>
            <w:vAlign w:val="center"/>
          </w:tcPr>
          <w:p>
            <w:r>
              <w:rPr>
                <w:b w:val="0"/>
                <w:i w:val="0"/>
                <w:color w:val="804000"/>
                <w:sz w:val="18"/>
                <w:highlight w:val="yellow"/>
              </w:rPr>
              <w:t>[■ prorated daily vs. full-month — confirm]</w:t>
            </w:r>
          </w:p>
        </w:tc>
      </w:tr>
      <w:tr>
        <w:tc>
          <w:tcPr>
            <w:tcW w:type="dxa" w:w="3744"/>
            <w:vAlign w:val="center"/>
          </w:tcPr>
          <w:p>
            <w:r>
              <w:rPr>
                <w:b w:val="0"/>
                <w:i w:val="0"/>
                <w:sz w:val="18"/>
              </w:rPr>
              <w:t>Multi-service at one location</w:t>
            </w:r>
          </w:p>
        </w:tc>
        <w:tc>
          <w:tcPr>
            <w:tcW w:type="dxa" w:w="5616"/>
            <w:vAlign w:val="center"/>
          </w:tcPr>
          <w:p>
            <w:r>
              <w:rPr>
                <w:b w:val="0"/>
                <w:i w:val="0"/>
                <w:sz w:val="18"/>
              </w:rPr>
              <w:t>One location = one Active Subscriber unless separately agreed</w:t>
            </w:r>
          </w:p>
        </w:tc>
      </w:tr>
      <w:tr>
        <w:tc>
          <w:tcPr>
            <w:tcW w:type="dxa" w:w="3744"/>
            <w:shd w:val="clear" w:color="auto" w:fill="F2F2F2"/>
            <w:vAlign w:val="center"/>
          </w:tcPr>
          <w:p>
            <w:r>
              <w:rPr>
                <w:b w:val="0"/>
                <w:i w:val="0"/>
                <w:sz w:val="18"/>
              </w:rPr>
              <w:t>Bulk / multi-dwelling accounts</w:t>
            </w:r>
          </w:p>
        </w:tc>
        <w:tc>
          <w:tcPr>
            <w:tcW w:type="dxa" w:w="5616"/>
            <w:shd w:val="clear" w:color="auto" w:fill="F2F2F2"/>
            <w:vAlign w:val="center"/>
          </w:tcPr>
          <w:p>
            <w:r>
              <w:rPr>
                <w:b w:val="0"/>
                <w:i w:val="0"/>
                <w:sz w:val="18"/>
              </w:rPr>
              <w:t>Counted per billable unit per agreed methodology</w:t>
            </w:r>
          </w:p>
        </w:tc>
      </w:tr>
      <w:tr>
        <w:tc>
          <w:tcPr>
            <w:tcW w:type="dxa" w:w="3744"/>
            <w:vAlign w:val="center"/>
          </w:tcPr>
          <w:p>
            <w:r>
              <w:rPr>
                <w:b w:val="0"/>
                <w:i w:val="0"/>
                <w:sz w:val="18"/>
              </w:rPr>
              <w:t>Credits / refunds</w:t>
            </w:r>
          </w:p>
        </w:tc>
        <w:tc>
          <w:tcPr>
            <w:tcW w:type="dxa" w:w="5616"/>
            <w:vAlign w:val="center"/>
          </w:tcPr>
          <w:p>
            <w:r>
              <w:rPr>
                <w:b w:val="0"/>
                <w:i w:val="0"/>
                <w:sz w:val="18"/>
              </w:rPr>
              <w:t>Net out of the payment base</w:t>
            </w:r>
          </w:p>
        </w:tc>
      </w:tr>
      <w:tr>
        <w:tc>
          <w:tcPr>
            <w:tcW w:type="dxa" w:w="3744"/>
            <w:shd w:val="clear" w:color="auto" w:fill="F2F2F2"/>
            <w:vAlign w:val="center"/>
          </w:tcPr>
          <w:p>
            <w:r>
              <w:rPr>
                <w:b w:val="0"/>
                <w:i w:val="0"/>
                <w:sz w:val="18"/>
              </w:rPr>
              <w:t>Taxes / regulatory fees</w:t>
            </w:r>
          </w:p>
        </w:tc>
        <w:tc>
          <w:tcPr>
            <w:tcW w:type="dxa" w:w="5616"/>
            <w:shd w:val="clear" w:color="auto" w:fill="F2F2F2"/>
            <w:vAlign w:val="center"/>
          </w:tcPr>
          <w:p>
            <w:r>
              <w:rPr>
                <w:b w:val="0"/>
                <w:i w:val="0"/>
                <w:sz w:val="18"/>
              </w:rPr>
              <w:t>Excluded from the payment base</w:t>
            </w:r>
          </w:p>
        </w:tc>
      </w:tr>
      <w:tr>
        <w:tc>
          <w:tcPr>
            <w:tcW w:type="dxa" w:w="3744"/>
            <w:vAlign w:val="center"/>
          </w:tcPr>
          <w:p>
            <w:r>
              <w:rPr>
                <w:b w:val="0"/>
                <w:i w:val="0"/>
                <w:sz w:val="18"/>
              </w:rPr>
              <w:t>Uncollectibles / bad debt</w:t>
            </w:r>
          </w:p>
        </w:tc>
        <w:tc>
          <w:tcPr>
            <w:tcW w:type="dxa" w:w="5616"/>
            <w:vAlign w:val="center"/>
          </w:tcPr>
          <w:p>
            <w:r>
              <w:rPr>
                <w:b w:val="0"/>
                <w:i w:val="0"/>
                <w:sz w:val="18"/>
              </w:rPr>
              <w:t>Excluded (net of uncollectible amounts)</w:t>
            </w:r>
          </w:p>
        </w:tc>
      </w:tr>
    </w:tbl>
    <w:p>
      <w:pPr>
        <w:pStyle w:val="Heading2"/>
        <w:spacing w:before="160" w:after="60"/>
      </w:pPr>
      <w:r>
        <w:rPr>
          <w:rFonts w:ascii="Calibri" w:hAnsi="Calibri"/>
          <w:b/>
          <w:color w:val="000000"/>
          <w:sz w:val="22"/>
        </w:rPr>
        <w:t>16.4  Monthly Subscriber Reconciliation Report</w:t>
      </w:r>
    </w:p>
    <w:p>
      <w:r>
        <w:rPr>
          <w:b w:val="0"/>
          <w:i w:val="0"/>
        </w:rPr>
        <w:t>Operator will deliver a monthly subscriber reconciliation report (cross-reference: 04 Operational Forms — Monthly Subscriber Reconciliation and Subscriber Payment, Revenue, Program Income, Taxes, Fees, Cash Controls, and Audit) reconciling opening count, activations, disconnects, suspensions, and exclusions to the closing Active Subscriber count and the payment due.</w:t>
      </w:r>
    </w:p>
    <w:p>
      <w:pPr>
        <w:pStyle w:val="Heading2"/>
        <w:spacing w:before="160" w:after="60"/>
      </w:pPr>
      <w:r>
        <w:rPr>
          <w:rFonts w:ascii="Calibri" w:hAnsi="Calibri"/>
          <w:b/>
          <w:color w:val="000000"/>
          <w:sz w:val="22"/>
        </w:rPr>
        <w:t>16.5  Invoicing, Payment Timing, Disputes, Corrections, and True-Ups</w:t>
      </w:r>
    </w:p>
    <w:p>
      <w:r>
        <w:rPr>
          <w:b w:val="0"/>
          <w:i w:val="0"/>
        </w:rPr>
        <w:t xml:space="preserve">Operator will invoice and pay within </w:t>
      </w:r>
      <w:r>
        <w:rPr>
          <w:b w:val="0"/>
          <w:i w:val="0"/>
          <w:color w:val="804000"/>
          <w:highlight w:val="yellow"/>
        </w:rPr>
        <w:t>[■ [__]</w:t>
      </w:r>
      <w:r>
        <w:rPr>
          <w:b w:val="0"/>
          <w:i w:val="0"/>
        </w:rPr>
        <w:t xml:space="preserve"> days] after month-end. Disputed amounts are paid when undisputed and resolved under a documented dispute process; late payments accrue </w:t>
      </w:r>
      <w:r>
        <w:rPr>
          <w:b w:val="0"/>
          <w:i w:val="0"/>
          <w:color w:val="804000"/>
          <w:highlight w:val="yellow"/>
        </w:rPr>
        <w:t>[■ late charge / interest]</w:t>
      </w:r>
      <w:r>
        <w:rPr>
          <w:b w:val="0"/>
          <w:i w:val="0"/>
        </w:rPr>
        <w:t xml:space="preserve">. Errors are corrected and reconciled through periodic true-ups. </w:t>
      </w:r>
      <w:r>
        <w:rPr>
          <w:b/>
          <w:i w:val="0"/>
          <w:color w:val="C00000"/>
        </w:rPr>
        <w:t>[BUSINESS DECISION REQUIRED]</w:t>
      </w:r>
    </w:p>
    <w:p>
      <w:pPr>
        <w:pStyle w:val="Heading2"/>
        <w:spacing w:before="160" w:after="60"/>
      </w:pPr>
      <w:r>
        <w:rPr>
          <w:rFonts w:ascii="Calibri" w:hAnsi="Calibri"/>
          <w:b/>
          <w:color w:val="000000"/>
          <w:sz w:val="22"/>
        </w:rPr>
        <w:t>16.6  Audit and Verification with Customer-Privacy Protection</w:t>
      </w:r>
    </w:p>
    <w:p>
      <w:r>
        <w:rPr>
          <w:b w:val="0"/>
          <w:i w:val="0"/>
        </w:rPr>
        <w:t>The Lumbee Tribe may audit and verify subscriber counts and payment calculations on 10 Business Days' notice, using privacy-protective methods (aggregated data, redaction, or independent verification) consistent with CPNI and the Data Privacy, Cybersecurity, Supply-Chain Risk, and Business Continuity Addendum.</w:t>
      </w:r>
    </w:p>
    <w:p>
      <w:pPr>
        <w:pStyle w:val="Heading2"/>
        <w:spacing w:before="160" w:after="60"/>
      </w:pPr>
      <w:r>
        <w:rPr>
          <w:rFonts w:ascii="Calibri" w:hAnsi="Calibri"/>
          <w:b/>
          <w:color w:val="000000"/>
          <w:sz w:val="22"/>
        </w:rPr>
        <w:t>16.7  Treatment During vs. After the Federal Performance Period</w:t>
      </w:r>
    </w:p>
    <w:p>
      <w:r>
        <w:rPr>
          <w:b w:val="0"/>
          <w:i w:val="0"/>
        </w:rPr>
        <w:t xml:space="preserve">During the federal performance period, payment amounts and any program-income treatment are administered per the Award and 2 CFR 200.307 (Program income). After the performance period, treatment is </w:t>
      </w:r>
      <w:r>
        <w:rPr>
          <w:b w:val="0"/>
          <w:i w:val="0"/>
          <w:color w:val="804000"/>
          <w:highlight w:val="yellow"/>
        </w:rPr>
        <w:t>[■ confirm post-performance-period treatment]</w:t>
      </w:r>
      <w:r>
        <w:rPr>
          <w:b w:val="0"/>
          <w:i w:val="0"/>
        </w:rPr>
        <w:t xml:space="preserve">. </w:t>
      </w:r>
      <w:r>
        <w:rPr>
          <w:b/>
          <w:i w:val="0"/>
          <w:color w:val="7F007F"/>
        </w:rPr>
        <w:t>[GRANT COMPLIANCE REVIEW REQUIRED]</w:t>
      </w:r>
    </w:p>
    <w:p>
      <w:pPr>
        <w:pStyle w:val="Heading2"/>
        <w:spacing w:before="160" w:after="60"/>
      </w:pPr>
      <w:r>
        <w:rPr>
          <w:rFonts w:ascii="Calibri" w:hAnsi="Calibri"/>
          <w:b/>
          <w:color w:val="000000"/>
          <w:sz w:val="22"/>
        </w:rPr>
        <w:t>16.8  Gross vs. Net; Taxes, Fees, and Processing Charges</w:t>
      </w:r>
    </w:p>
    <w:p>
      <w:r>
        <w:rPr>
          <w:b w:val="0"/>
          <w:i w:val="0"/>
        </w:rPr>
        <w:t xml:space="preserve">The payment base is measured net of credits, refunds, and uncollectibles and exclusive of taxes and regulatory fees. </w:t>
      </w:r>
      <w:r>
        <w:rPr>
          <w:b/>
          <w:i w:val="0"/>
          <w:color w:val="C00000"/>
        </w:rPr>
        <w:t>[BUSINESS DECISION REQUIRED]</w:t>
      </w:r>
      <w:r>
        <w:rPr>
          <w:b w:val="0"/>
          <w:i w:val="0"/>
        </w:rPr>
        <w:t xml:space="preserve">  Whether the base is gross or net of payment-processing charges, and the allocation of regulatory assessments, are business decisions to be confirmed.</w:t>
      </w:r>
    </w:p>
    <w:p>
      <w:pPr>
        <w:pStyle w:val="Heading2"/>
        <w:spacing w:before="160" w:after="60"/>
      </w:pPr>
      <w:r>
        <w:rPr>
          <w:rFonts w:ascii="Calibri" w:hAnsi="Calibri"/>
          <w:b/>
          <w:color w:val="000000"/>
          <w:sz w:val="22"/>
        </w:rPr>
        <w:t>16.9  Program-Income Controls and Restricted Project Account</w:t>
      </w:r>
    </w:p>
    <w:p>
      <w:r>
        <w:rPr>
          <w:b w:val="0"/>
          <w:i w:val="0"/>
        </w:rPr>
        <w:t xml:space="preserve">Amounts constituting Program Income are subject to 2 CFR 200.307 (Program income) controls, including any required restricted project account and permitted-use restrictions. </w:t>
      </w:r>
      <w:r>
        <w:rPr>
          <w:b/>
          <w:i w:val="0"/>
          <w:color w:val="7F007F"/>
        </w:rPr>
        <w:t>[GRANT COMPLIANCE REVIEW REQUIRED]</w:t>
      </w:r>
      <w:r>
        <w:rPr>
          <w:b w:val="0"/>
          <w:i w:val="0"/>
        </w:rPr>
        <w:t xml:space="preserve">  characterization is provisional; program-income treatment under 2 CFR 200.307 turns on the controlling Award and written NTIA determination, not the label.</w:t>
      </w:r>
    </w:p>
    <w:p>
      <w:pPr>
        <w:pStyle w:val="Heading2"/>
        <w:spacing w:before="160" w:after="60"/>
      </w:pPr>
      <w:r>
        <w:rPr>
          <w:rFonts w:ascii="Calibri" w:hAnsi="Calibri"/>
          <w:b/>
          <w:color w:val="000000"/>
          <w:sz w:val="22"/>
        </w:rPr>
        <w:t>16.10  Annual Review and Escalation (if approved)</w:t>
      </w:r>
    </w:p>
    <w:p>
      <w:r>
        <w:rPr>
          <w:b w:val="0"/>
          <w:i w:val="0"/>
        </w:rPr>
        <w:t xml:space="preserve">If approved under the Award, the per-subscriber amount is subject to annual review and escalation per </w:t>
      </w:r>
      <w:r>
        <w:rPr>
          <w:b w:val="0"/>
          <w:i w:val="0"/>
          <w:color w:val="804000"/>
          <w:highlight w:val="yellow"/>
        </w:rPr>
        <w:t>[■ index / methodology]</w:t>
      </w:r>
      <w:r>
        <w:rPr>
          <w:b w:val="0"/>
          <w:i w:val="0"/>
        </w:rPr>
        <w:t xml:space="preserve">. </w:t>
      </w:r>
      <w:r>
        <w:rPr>
          <w:b/>
          <w:i w:val="0"/>
          <w:color w:val="C00000"/>
        </w:rPr>
        <w:t>[BUSINESS DECISION REQUIRED]</w:t>
      </w:r>
      <w:r>
        <w:rPr>
          <w:b w:val="0"/>
          <w:i w:val="0"/>
        </w:rPr>
        <w:t xml:space="preserve">  </w:t>
      </w:r>
      <w:r>
        <w:rPr>
          <w:b/>
          <w:i w:val="0"/>
          <w:color w:val="7F007F"/>
        </w:rPr>
        <w:t>[GRANT COMPLIANCE REVIEW REQUIRED]</w:t>
      </w:r>
    </w:p>
    <w:p>
      <w:pPr>
        <w:pStyle w:val="Heading2"/>
        <w:spacing w:before="160" w:after="60"/>
      </w:pPr>
      <w:r>
        <w:rPr>
          <w:rFonts w:ascii="Calibri" w:hAnsi="Calibri"/>
          <w:b/>
          <w:color w:val="000000"/>
          <w:sz w:val="22"/>
        </w:rPr>
        <w:t>16.11  Treatment on Expiration, Termination, Step-In, or Change of Provider</w:t>
      </w:r>
    </w:p>
    <w:p>
      <w:r>
        <w:rPr>
          <w:b w:val="0"/>
          <w:i w:val="0"/>
        </w:rPr>
        <w:t>On expiration, termination, step-in, customer migration, or change of provider, payment obligations are prorated to the transition date and reconciled, with continuity governed by the Continuity, Step-In, Termination Assistance, and Transition Agreement.</w:t>
      </w:r>
    </w:p>
    <w:p>
      <w:pPr>
        <w:pStyle w:val="Heading2"/>
        <w:spacing w:before="160" w:after="60"/>
      </w:pPr>
      <w:r>
        <w:rPr>
          <w:rFonts w:ascii="Calibri" w:hAnsi="Calibri"/>
          <w:b/>
          <w:color w:val="000000"/>
          <w:sz w:val="22"/>
        </w:rPr>
        <w:t>16.12  Payment Characterization Alternatives</w:t>
      </w:r>
    </w:p>
    <w:p>
      <w:r>
        <w:rPr>
          <w:b w:val="0"/>
          <w:i w:val="0"/>
        </w:rPr>
        <w:t>The label the Parties assign to the payment does not control program-income treatment. The following characterization alternatives are presented; the recommended alternative is Option D:</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F3864"/>
            <w:vAlign w:val="center"/>
          </w:tcPr>
          <w:p>
            <w:pPr>
              <w:jc w:val="center"/>
            </w:pPr>
            <w:r>
              <w:rPr>
                <w:b/>
                <w:color w:val="FFFFFF"/>
                <w:sz w:val="18"/>
              </w:rPr>
              <w:t>Option</w:t>
            </w:r>
          </w:p>
        </w:tc>
        <w:tc>
          <w:tcPr>
            <w:tcW w:type="dxa" w:w="6768"/>
            <w:shd w:val="clear" w:color="auto" w:fill="1F3864"/>
            <w:vAlign w:val="center"/>
          </w:tcPr>
          <w:p>
            <w:pPr>
              <w:jc w:val="center"/>
            </w:pPr>
            <w:r>
              <w:rPr>
                <w:b/>
                <w:color w:val="FFFFFF"/>
                <w:sz w:val="18"/>
              </w:rPr>
              <w:t>Characterization</w:t>
            </w:r>
          </w:p>
        </w:tc>
        <w:tc>
          <w:tcPr>
            <w:tcW w:type="dxa" w:w="1440"/>
            <w:shd w:val="clear" w:color="auto" w:fill="1F3864"/>
            <w:vAlign w:val="center"/>
          </w:tcPr>
          <w:p>
            <w:pPr>
              <w:jc w:val="center"/>
            </w:pPr>
            <w:r>
              <w:rPr>
                <w:b/>
                <w:color w:val="FFFFFF"/>
                <w:sz w:val="18"/>
              </w:rPr>
              <w:t>Recommended</w:t>
            </w:r>
          </w:p>
        </w:tc>
      </w:tr>
      <w:tr>
        <w:tc>
          <w:tcPr>
            <w:tcW w:type="dxa" w:w="1152"/>
            <w:vAlign w:val="center"/>
          </w:tcPr>
          <w:p>
            <w:r>
              <w:rPr>
                <w:b w:val="0"/>
                <w:i w:val="0"/>
                <w:sz w:val="18"/>
              </w:rPr>
              <w:t>A</w:t>
            </w:r>
          </w:p>
        </w:tc>
        <w:tc>
          <w:tcPr>
            <w:tcW w:type="dxa" w:w="6768"/>
            <w:vAlign w:val="center"/>
          </w:tcPr>
          <w:p>
            <w:r>
              <w:rPr>
                <w:b w:val="0"/>
                <w:i w:val="0"/>
                <w:sz w:val="18"/>
              </w:rPr>
              <w:t>Option A — Asset-Use / License Consideration for the IRU and operating rights</w:t>
            </w:r>
          </w:p>
        </w:tc>
        <w:tc>
          <w:tcPr>
            <w:tcW w:type="dxa" w:w="1440"/>
            <w:vAlign w:val="center"/>
          </w:tcPr>
          <w:p>
            <w:pPr>
              <w:jc w:val="center"/>
            </w:pPr>
            <w:r>
              <w:rPr>
                <w:b w:val="0"/>
                <w:i w:val="0"/>
                <w:sz w:val="18"/>
              </w:rPr>
            </w:r>
          </w:p>
        </w:tc>
      </w:tr>
      <w:tr>
        <w:tc>
          <w:tcPr>
            <w:tcW w:type="dxa" w:w="1152"/>
            <w:shd w:val="clear" w:color="auto" w:fill="F2F2F2"/>
            <w:vAlign w:val="center"/>
          </w:tcPr>
          <w:p>
            <w:r>
              <w:rPr>
                <w:b w:val="0"/>
                <w:i w:val="0"/>
                <w:sz w:val="18"/>
              </w:rPr>
              <w:t>B</w:t>
            </w:r>
          </w:p>
        </w:tc>
        <w:tc>
          <w:tcPr>
            <w:tcW w:type="dxa" w:w="6768"/>
            <w:shd w:val="clear" w:color="auto" w:fill="F2F2F2"/>
            <w:vAlign w:val="center"/>
          </w:tcPr>
          <w:p>
            <w:r>
              <w:rPr>
                <w:b w:val="0"/>
                <w:i w:val="0"/>
                <w:sz w:val="18"/>
              </w:rPr>
              <w:t>Option B — IRU Consideration (prepaid or periodic) for defined capacity</w:t>
            </w:r>
          </w:p>
        </w:tc>
        <w:tc>
          <w:tcPr>
            <w:tcW w:type="dxa" w:w="1440"/>
            <w:shd w:val="clear" w:color="auto" w:fill="F2F2F2"/>
            <w:vAlign w:val="center"/>
          </w:tcPr>
          <w:p>
            <w:pPr>
              <w:jc w:val="center"/>
            </w:pPr>
            <w:r>
              <w:rPr>
                <w:b w:val="0"/>
                <w:i w:val="0"/>
                <w:sz w:val="18"/>
              </w:rPr>
            </w:r>
          </w:p>
        </w:tc>
      </w:tr>
      <w:tr>
        <w:tc>
          <w:tcPr>
            <w:tcW w:type="dxa" w:w="1152"/>
            <w:vAlign w:val="center"/>
          </w:tcPr>
          <w:p>
            <w:r>
              <w:rPr>
                <w:b w:val="0"/>
                <w:i w:val="0"/>
                <w:sz w:val="18"/>
              </w:rPr>
              <w:t>C</w:t>
            </w:r>
          </w:p>
        </w:tc>
        <w:tc>
          <w:tcPr>
            <w:tcW w:type="dxa" w:w="6768"/>
            <w:vAlign w:val="center"/>
          </w:tcPr>
          <w:p>
            <w:r>
              <w:rPr>
                <w:b w:val="0"/>
                <w:i w:val="0"/>
                <w:sz w:val="18"/>
              </w:rPr>
              <w:t>Option C — Operating Revenue Share (percentage of defined retail revenue)</w:t>
            </w:r>
          </w:p>
        </w:tc>
        <w:tc>
          <w:tcPr>
            <w:tcW w:type="dxa" w:w="1440"/>
            <w:vAlign w:val="center"/>
          </w:tcPr>
          <w:p>
            <w:pPr>
              <w:jc w:val="center"/>
            </w:pPr>
            <w:r>
              <w:rPr>
                <w:b w:val="0"/>
                <w:i w:val="0"/>
                <w:sz w:val="18"/>
              </w:rPr>
            </w:r>
          </w:p>
        </w:tc>
      </w:tr>
      <w:tr>
        <w:tc>
          <w:tcPr>
            <w:tcW w:type="dxa" w:w="1152"/>
            <w:shd w:val="clear" w:color="auto" w:fill="F2F2F2"/>
            <w:vAlign w:val="center"/>
          </w:tcPr>
          <w:p>
            <w:r>
              <w:rPr>
                <w:b w:val="0"/>
                <w:i w:val="0"/>
                <w:sz w:val="18"/>
              </w:rPr>
              <w:t>D</w:t>
            </w:r>
          </w:p>
        </w:tc>
        <w:tc>
          <w:tcPr>
            <w:tcW w:type="dxa" w:w="6768"/>
            <w:shd w:val="clear" w:color="auto" w:fill="F2F2F2"/>
            <w:vAlign w:val="center"/>
          </w:tcPr>
          <w:p>
            <w:r>
              <w:rPr>
                <w:b w:val="0"/>
                <w:i w:val="0"/>
                <w:sz w:val="18"/>
              </w:rPr>
              <w:t>Option D — Per-Active-Subscriber Operating Payment (primary model in this package)</w:t>
            </w:r>
          </w:p>
        </w:tc>
        <w:tc>
          <w:tcPr>
            <w:tcW w:type="dxa" w:w="1440"/>
            <w:shd w:val="clear" w:color="auto" w:fill="F2F2F2"/>
            <w:vAlign w:val="center"/>
          </w:tcPr>
          <w:p>
            <w:pPr>
              <w:jc w:val="center"/>
            </w:pPr>
            <w:r>
              <w:rPr>
                <w:b w:val="0"/>
                <w:i w:val="0"/>
                <w:sz w:val="18"/>
              </w:rPr>
              <w:t>✓ RECOMMENDED</w:t>
            </w:r>
          </w:p>
        </w:tc>
      </w:tr>
      <w:tr>
        <w:tc>
          <w:tcPr>
            <w:tcW w:type="dxa" w:w="1152"/>
            <w:vAlign w:val="center"/>
          </w:tcPr>
          <w:p>
            <w:r>
              <w:rPr>
                <w:b w:val="0"/>
                <w:i w:val="0"/>
                <w:sz w:val="18"/>
              </w:rPr>
              <w:t>E</w:t>
            </w:r>
          </w:p>
        </w:tc>
        <w:tc>
          <w:tcPr>
            <w:tcW w:type="dxa" w:w="6768"/>
            <w:vAlign w:val="center"/>
          </w:tcPr>
          <w:p>
            <w:r>
              <w:rPr>
                <w:b w:val="0"/>
                <w:i w:val="0"/>
                <w:sz w:val="18"/>
              </w:rPr>
              <w:t>Option E — Hybrid (base asset-use fee plus per-subscriber component)</w:t>
            </w:r>
          </w:p>
        </w:tc>
        <w:tc>
          <w:tcPr>
            <w:tcW w:type="dxa" w:w="1440"/>
            <w:vAlign w:val="center"/>
          </w:tcPr>
          <w:p>
            <w:pPr>
              <w:jc w:val="center"/>
            </w:pPr>
            <w:r>
              <w:rPr>
                <w:b w:val="0"/>
                <w:i w:val="0"/>
                <w:sz w:val="18"/>
              </w:rPr>
            </w:r>
          </w:p>
        </w:tc>
      </w:tr>
    </w:tbl>
    <w:p>
      <w:pPr>
        <w:ind w:left="504"/>
      </w:pPr>
      <w:r>
        <w:rPr>
          <w:b/>
          <w:color w:val="7F007F"/>
        </w:rPr>
        <w:t xml:space="preserve">[GRANT COMPLIANCE REVIEW REQUIRED]  </w:t>
      </w:r>
      <w:r>
        <w:rPr>
          <w:i/>
          <w:color w:val="595959"/>
        </w:rPr>
        <w:t>characterization is provisional; program-income treatment under 2 CFR 200.307 turns on the controlling Award and written NTIA determination, not the label. Program-income treatment turns on the controlling Award and a written NTIA determination, not on the characterization label.</w:t>
      </w:r>
    </w:p>
    <w:p>
      <w:pPr>
        <w:ind w:left="504"/>
      </w:pPr>
      <w:r>
        <w:rPr>
          <w:b/>
          <w:color w:val="0000C0"/>
        </w:rPr>
        <w:t xml:space="preserve">[ATTORNEY REVIEW REQUIRED]  </w:t>
      </w:r>
      <w:r>
        <w:rPr>
          <w:i/>
          <w:color w:val="595959"/>
        </w:rPr>
        <w:t>Confirm the recommended Option D characterization with grant counsel and financial advisors before finalizing.</w:t>
      </w:r>
    </w:p>
    <w:p>
      <w:pPr>
        <w:pStyle w:val="Heading1"/>
        <w:spacing w:before="240" w:after="120"/>
      </w:pPr>
      <w:r>
        <w:rPr>
          <w:rFonts w:ascii="Calibri" w:hAnsi="Calibri"/>
          <w:b/>
          <w:color w:val="1F3864"/>
          <w:sz w:val="26"/>
        </w:rPr>
        <w:t>ARTICLE 17.  GOVERNING LAW, DISPUTE RESOLUTION, AND SOVEREIGN IMMUNITY</w:t>
      </w:r>
    </w:p>
    <w:p>
      <w:pPr>
        <w:pStyle w:val="Heading2"/>
        <w:spacing w:before="160" w:after="60"/>
      </w:pPr>
      <w:r>
        <w:rPr>
          <w:rFonts w:ascii="Calibri" w:hAnsi="Calibri"/>
          <w:b/>
          <w:color w:val="000000"/>
          <w:sz w:val="22"/>
        </w:rPr>
        <w:t>17.1  Governing Law — ALTERNATIVES</w:t>
      </w:r>
    </w:p>
    <w:p>
      <w:r>
        <w:rPr>
          <w:b w:val="0"/>
          <w:i w:val="0"/>
        </w:rPr>
        <w:t>The Parties must select one governing-law framework. The following are presented as bracketed alternatives for counsel to resolve:</w:t>
      </w:r>
    </w:p>
    <w:p>
      <w:pPr>
        <w:ind w:left="504"/>
      </w:pPr>
      <w:r>
        <w:rPr>
          <w:b/>
        </w:rPr>
        <w:t xml:space="preserve">(Alt. 1)  </w:t>
      </w:r>
      <w:r>
        <w:rPr>
          <w:b w:val="0"/>
          <w:i w:val="0"/>
        </w:rPr>
        <w:t>[The laws of the State of North Carolina, without regard to its conflict-of-laws rules], to the extent not preempted by federal law or Tribal law.</w:t>
      </w:r>
    </w:p>
    <w:p>
      <w:pPr>
        <w:ind w:left="504"/>
      </w:pPr>
      <w:r>
        <w:rPr>
          <w:b/>
        </w:rPr>
        <w:t xml:space="preserve">(Alt. 2)  </w:t>
      </w:r>
      <w:r>
        <w:rPr>
          <w:b w:val="0"/>
          <w:i w:val="0"/>
        </w:rPr>
        <w:t>[The laws of the Lumbee Tribe, with federal law governing all Award-related matters], and Tribal forum as the primary venue.</w:t>
      </w:r>
    </w:p>
    <w:p>
      <w:pPr>
        <w:ind w:left="504"/>
      </w:pPr>
      <w:r>
        <w:rPr>
          <w:b/>
        </w:rPr>
        <w:t xml:space="preserve">(Alt. 3)  </w:t>
      </w:r>
      <w:r>
        <w:rPr>
          <w:b w:val="0"/>
          <w:i w:val="0"/>
        </w:rPr>
        <w:t>[A hybrid: federal law and the Award govern grant-compliance matters; North Carolina law governs ordinary commercial matters not preempted].</w:t>
      </w:r>
    </w:p>
    <w:p>
      <w:pPr>
        <w:ind w:left="504"/>
      </w:pPr>
      <w:r>
        <w:rPr>
          <w:b/>
          <w:color w:val="0000C0"/>
        </w:rPr>
        <w:t xml:space="preserve">[ATTORNEY REVIEW REQUIRED]  </w:t>
      </w:r>
      <w:r>
        <w:rPr>
          <w:i/>
          <w:color w:val="595959"/>
        </w:rPr>
        <w:t>Governing law, venue, and choice-of-forum are bracketed alternatives requiring counsel selection; do not finalize without Tribal and outside counsel review.</w:t>
      </w:r>
    </w:p>
    <w:p>
      <w:pPr>
        <w:pStyle w:val="Heading2"/>
        <w:spacing w:before="160" w:after="60"/>
      </w:pPr>
      <w:r>
        <w:rPr>
          <w:rFonts w:ascii="Calibri" w:hAnsi="Calibri"/>
          <w:b/>
          <w:color w:val="000000"/>
          <w:sz w:val="22"/>
        </w:rPr>
        <w:t>17.2  Sovereign Immunity — ALTERNATIVES</w:t>
      </w:r>
    </w:p>
    <w:p>
      <w:r>
        <w:rPr>
          <w:b w:val="0"/>
          <w:i w:val="0"/>
        </w:rPr>
        <w:t>The Lumbee Tribe is a sovereign and retains its sovereign immunity except to the extent, if any, of an express, written, and limited waiver duly authorized by the governing Tribal body. Any waiver must be clear and unequivocal. The following are bracketed alternatives:</w:t>
      </w:r>
    </w:p>
    <w:p>
      <w:pPr>
        <w:ind w:left="504"/>
      </w:pPr>
      <w:r>
        <w:rPr>
          <w:b/>
        </w:rPr>
        <w:t xml:space="preserve">(Alt. A)  </w:t>
      </w:r>
      <w:r>
        <w:rPr>
          <w:b w:val="0"/>
          <w:i w:val="0"/>
        </w:rPr>
        <w:t>[No waiver of sovereign immunity; disputes resolved solely through non-binding processes and Award remedies].</w:t>
      </w:r>
    </w:p>
    <w:p>
      <w:pPr>
        <w:ind w:left="504"/>
      </w:pPr>
      <w:r>
        <w:rPr>
          <w:b/>
        </w:rPr>
        <w:t xml:space="preserve">(Alt. B)  </w:t>
      </w:r>
      <w:r>
        <w:rPr>
          <w:b w:val="0"/>
          <w:i w:val="0"/>
        </w:rPr>
        <w:t>[Limited, express waiver solely for the purpose of enforcing this Agreement, capped in amount and scope, and limited to a designated forum].</w:t>
      </w:r>
    </w:p>
    <w:p>
      <w:pPr>
        <w:ind w:left="504"/>
      </w:pPr>
      <w:r>
        <w:rPr>
          <w:b/>
        </w:rPr>
        <w:t xml:space="preserve">(Alt. C)  </w:t>
      </w:r>
      <w:r>
        <w:rPr>
          <w:b w:val="0"/>
          <w:i w:val="0"/>
        </w:rPr>
        <w:t>[Limited waiver limited to specified equitable remedies (e.g., step-in and transition) and excluding money damages].</w:t>
      </w:r>
    </w:p>
    <w:p>
      <w:pPr>
        <w:ind w:left="504"/>
      </w:pPr>
      <w:r>
        <w:rPr>
          <w:b/>
          <w:color w:val="0000C0"/>
        </w:rPr>
        <w:t xml:space="preserve">[ATTORNEY REVIEW REQUIRED]  </w:t>
      </w:r>
      <w:r>
        <w:rPr>
          <w:i/>
          <w:color w:val="595959"/>
        </w:rPr>
        <w:t>A clear express waiver is required for any enforceable relief against the Tribe per Santa Clara Pueblo v. Martinez, 436 U.S. 49 (1978); C&amp;L Enterprises v. Citizen Band Potawatomi, 532 U.S. 411 (2001); Michigan v. Bay Mills, 572 U.S. 782 (2014) (tribal sovereign immunity; clear express waiver required). Scope, cap, forum, and authorizing resolution are attorney-review items and must not be assumed.</w:t>
      </w:r>
    </w:p>
    <w:p>
      <w:pPr>
        <w:pStyle w:val="Heading2"/>
        <w:spacing w:before="160" w:after="60"/>
      </w:pPr>
      <w:r>
        <w:rPr>
          <w:rFonts w:ascii="Calibri" w:hAnsi="Calibri"/>
          <w:b/>
          <w:color w:val="000000"/>
          <w:sz w:val="22"/>
        </w:rPr>
        <w:t>17.3  Dispute Escalation</w:t>
      </w:r>
    </w:p>
    <w:p>
      <w:r>
        <w:rPr>
          <w:b w:val="0"/>
          <w:i w:val="0"/>
        </w:rPr>
        <w:t>The Parties will attempt good-faith resolution through designated senior representatives before pursuing any authorized remedy, without waiving Award remedies or the emergency step-in rights cross-referenced to the Continuity, Step-In, Termination Assistance, and Transition Agreement.</w:t>
      </w:r>
    </w:p>
    <w:p/>
    <w:p>
      <w:r>
        <w:rPr>
          <w:b/>
          <w:color w:val="C00000"/>
        </w:rPr>
        <w:t xml:space="preserve">DISCLAIMER.  </w:t>
      </w:r>
      <w:r>
        <w:rPr>
          <w:i/>
        </w:rPr>
        <w:t>PRELIMINARY DRAFT – NO CONTROLLING TBCP AWARD OR SOURCE DOCUMENTS SUPPLIED – PROVISIONAL BASELINE: MARCH 2024 AMENDED ROUND 2 NOFO – SUBJECT TO LEGAL, GRANT AND FINANCIAL REVIEW  This is a working draft prepared for discussion and negotiation only. It is not executed, is not legal, tax, accounting, or grant-compliance advice, and does not create any binding obligation. All bracketed placeholders, alternatives, prices, routes, approvals, and characterizations are provisional and must be confirmed against the executed Award and reviewed by qualified counsel and grant, financial, and technical advisors before any reliance. [ATTORNEY REVIEW REQUIRED]  [GRANT COMPLIANCE REVIEW REQUIRED]</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Retail-provider-of-record designation and payment characterization are subject to Award approval; confirm signatory authority and authorizing resolution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06 — Retail, Billing, and Subscriber-Revenue Agreement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