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2"/>
          <w:highlight w:val="yellow"/>
        </w:rPr>
        <w:t>PRELIMINARY DRAFT – NO CONTROLLING TBCP AWARD OR SOURCE DOCUMENTS SUPPLIED – PROVISIONAL BASELINE: MARCH 2024 AMENDED ROUND 2 NOFO – SUBJECT TO LEGAL, GRANT AND FINANCIAL REVIEW</w:t>
      </w:r>
    </w:p>
    <w:p/>
    <w:p/>
    <w:p/>
    <w:p>
      <w:pPr>
        <w:jc w:val="center"/>
      </w:pPr>
      <w:r>
        <w:rPr>
          <w:b/>
          <w:color w:val="595959"/>
          <w:sz w:val="24"/>
        </w:rPr>
        <w:t>07 — Grant Finance, Reimbursement, Program Income, and Audit Agreement</w:t>
      </w:r>
    </w:p>
    <w:p>
      <w:pPr>
        <w:jc w:val="center"/>
      </w:pPr>
      <w:r>
        <w:rPr>
          <w:b/>
          <w:color w:val="1F3864"/>
          <w:sz w:val="48"/>
        </w:rPr>
        <w:t>Grant Finance, Reimbursement, Program Income, and Audit Agreement</w:t>
      </w:r>
    </w:p>
    <w:p>
      <w:pPr>
        <w:jc w:val="center"/>
      </w:pPr>
      <w:r>
        <w:rPr>
          <w:color w:val="595959"/>
          <w:sz w:val="28"/>
        </w:rPr>
        <w:t>Cost accounting, reimbursement, program income, Federal Interest, and audit</w:t>
      </w:r>
    </w:p>
    <w:p/>
    <w:p/>
    <w:p>
      <w:pPr>
        <w:jc w:val="center"/>
      </w:pPr>
      <w:r>
        <w:rPr>
          <w:i/>
          <w:sz w:val="22"/>
        </w:rPr>
        <w:t>by and between</w:t>
      </w:r>
    </w:p>
    <w:p>
      <w:pPr>
        <w:jc w:val="center"/>
      </w:pPr>
      <w:r>
        <w:rPr>
          <w:b/>
          <w:i w:val="0"/>
          <w:color w:val="1F3864"/>
          <w:sz w:val="28"/>
        </w:rPr>
        <w:t>Lumbee Tribe of North Carolina</w:t>
      </w:r>
    </w:p>
    <w:p>
      <w:pPr>
        <w:jc w:val="center"/>
      </w:pPr>
      <w:r>
        <w:rPr>
          <w:b w:val="0"/>
          <w:i/>
          <w:sz w:val="22"/>
        </w:rPr>
        <w:t>and</w:t>
      </w:r>
    </w:p>
    <w:p>
      <w:pPr>
        <w:jc w:val="center"/>
      </w:pPr>
      <w:r>
        <w:rPr>
          <w:b/>
          <w:i w:val="0"/>
          <w:color w:val="1F3864"/>
          <w:sz w:val="28"/>
        </w:rPr>
        <w:t>LREMC Technologies, LLC d/b/a RIVR Tech</w:t>
      </w:r>
    </w:p>
    <w:p/>
    <w:p/>
    <w:p/>
    <w:p/>
    <w:p>
      <w:pPr>
        <w:jc w:val="center"/>
      </w:pPr>
      <w:r>
        <w:rPr>
          <w:b/>
          <w:sz w:val="20"/>
        </w:rPr>
        <w:t xml:space="preserve">Version:  </w:t>
      </w:r>
      <w:r>
        <w:rPr>
          <w:sz w:val="20"/>
        </w:rPr>
        <w:t>Preliminary Draft v0.1</w:t>
      </w:r>
    </w:p>
    <w:p>
      <w:pPr>
        <w:jc w:val="center"/>
      </w:pPr>
      <w:r>
        <w:rPr>
          <w:b/>
          <w:sz w:val="20"/>
        </w:rPr>
        <w:t xml:space="preserve">Version Date:  </w:t>
      </w:r>
      <w:r>
        <w:rPr>
          <w:sz w:val="20"/>
        </w:rPr>
        <w:t>September 26, 2026</w:t>
      </w:r>
    </w:p>
    <w:p>
      <w:pPr>
        <w:jc w:val="center"/>
      </w:pPr>
      <w:r>
        <w:rPr>
          <w:b/>
          <w:sz w:val="20"/>
        </w:rPr>
        <w:t xml:space="preserve">Document Status:  </w:t>
      </w:r>
      <w:r>
        <w:rPr>
          <w:sz w:val="20"/>
        </w:rPr>
        <w:t>Working draft — not executed; not final legal advice</w:t>
      </w:r>
    </w:p>
    <w:p>
      <w:pPr>
        <w:jc w:val="center"/>
      </w:pPr>
      <w:r>
        <w:rPr>
          <w:b/>
          <w:sz w:val="20"/>
        </w:rPr>
        <w:t xml:space="preserve">Program:  </w:t>
      </w:r>
      <w:r>
        <w:rPr>
          <w:sz w:val="20"/>
        </w:rPr>
        <w:t>Tribal Broadband Connectivity Program (TBCP), National Telecommunications and Information Administration (NTIA)</w:t>
      </w:r>
    </w:p>
    <w:p/>
    <w:p/>
    <w:p>
      <w:pPr>
        <w:jc w:val="center"/>
      </w:pPr>
      <w:r>
        <w:rPr>
          <w:i/>
          <w:color w:val="595959"/>
          <w:sz w:val="18"/>
        </w:rPr>
        <w:t>CONFIDENTIAL – ATTORNEY WORK PRODUCT / SUBJECT TO COMMON-INTEREST PRIVILEGE</w:t>
      </w:r>
    </w:p>
    <w:p>
      <w:r>
        <w:br w:type="page"/>
      </w:r>
    </w:p>
    <w:p>
      <w:r>
        <w:rPr>
          <w:b/>
          <w:color w:val="1F3864"/>
          <w:sz w:val="28"/>
        </w:rPr>
        <w:t>TABLE OF CONTENTS</w:t>
      </w:r>
    </w:p>
    <w:p>
      <w:r>
        <w:rPr>
          <w:i/>
          <w:color w:val="595959"/>
          <w:sz w:val="18"/>
        </w:rPr>
        <w:t>(Right-click and choose “Update Field” in Microsoft Word to populate page numbers.)</w:t>
      </w:r>
    </w:p>
    <w:p>
      <w:r>
        <w:fldChar w:fldCharType="begin"/>
        <w:instrText xml:space="preserve">TOC \o "1-3" \h \z \u</w:instrText>
        <w:fldChar w:fldCharType="separate"/>
        <w:fldChar w:fldCharType="end"/>
      </w:r>
    </w:p>
    <w:p>
      <w:r>
        <w:br w:type="page"/>
      </w:r>
    </w:p>
    <w:p>
      <w:pPr>
        <w:jc w:val="center"/>
      </w:pPr>
      <w:r>
        <w:rPr>
          <w:b/>
          <w:color w:val="C00000"/>
          <w:highlight w:val="yellow"/>
        </w:rPr>
        <w:t>PRELIMINARY DRAFT – NO CONTROLLING TBCP AWARD OR SOURCE DOCUMENTS SUPPLIED – PROVISIONAL BASELINE: MARCH 2024 AMENDED ROUND 2 NOFO – SUBJECT TO LEGAL, GRANT AND FINANCIAL REVIEW</w:t>
      </w:r>
    </w:p>
    <w:p/>
    <w:p>
      <w:r>
        <w:rPr>
          <w:b w:val="0"/>
          <w:i w:val="0"/>
        </w:rPr>
        <w:t xml:space="preserve">This Grant Finance, Reimbursement, Program Income, and Audit Agreement (this “Agreement”) is entered into as of </w:t>
      </w:r>
      <w:r>
        <w:rPr>
          <w:b w:val="0"/>
          <w:i w:val="0"/>
          <w:color w:val="804000"/>
          <w:highlight w:val="yellow"/>
        </w:rPr>
        <w:t>[■ Effective Date]</w:t>
      </w:r>
      <w:r>
        <w:rPr>
          <w:b w:val="0"/>
          <w:i w:val="0"/>
        </w:rPr>
        <w:t xml:space="preserve"> (the “Effective Date”), by and between Lumbee Tribe of North Carolina (the “Lumbee Tribe”), as the TBCP award recipient and steward and owner of the Grant-Funded Assets, and LREMC Technologies, LLC d/b/a RIVR Tech (“RIVR Tech”), as design-engineer-procure-construct (DEPC) contractor, network operator, and retail service provider. The Lumbee Tribe and RIVR Tech are each a “Party” and together the “Parties.”</w:t>
      </w:r>
    </w:p>
    <w:p>
      <w:pPr>
        <w:ind w:left="504"/>
      </w:pPr>
      <w:r>
        <w:rPr>
          <w:b/>
          <w:color w:val="0000C0"/>
        </w:rPr>
        <w:t xml:space="preserve">[ATTORNEY REVIEW REQUIRED]  </w:t>
      </w:r>
      <w:r>
        <w:rPr>
          <w:i/>
          <w:color w:val="595959"/>
        </w:rPr>
        <w:t>Lumbee River Electric Membership Corporation d/b/a Lumbee River EMC (“LREMC”) is a separate legal entity and is the owner of the LREMC Facilities (poles, conduit, fiber, easements, huts, power, and land). LREMC is not RIVR Tech; the LREMC Facilities are not owned by RIVR Tech and are not Grant-Funded Assets. Nothing in this Agreement transfers, encumbers, guarantees, or creates any debt or financing obligation of LREMC, and any use of the LREMC Facilities requires LREMC's separate consent, joinder, and signature under the LREMC Consent and Joinder (03 — Governance and Authorizations).</w:t>
      </w:r>
    </w:p>
    <w:p>
      <w:pPr>
        <w:ind w:left="504"/>
      </w:pPr>
      <w:r>
        <w:rPr>
          <w:b/>
          <w:color w:val="7F007F"/>
        </w:rPr>
        <w:t xml:space="preserve">[GRANT COMPLIANCE REVIEW REQUIRED]  </w:t>
      </w:r>
      <w:r>
        <w:rPr>
          <w:i/>
          <w:color w:val="595959"/>
        </w:rPr>
        <w:t>The financial mechanics in this Agreement are provisional and are subject to the controlling Award and any written NTIA/DOC determination; see NTIA Standard Terms and Conditions, DOC Financial Assistance Standard Terms and Conditions, and the award's Specific Award Conditions (NOT supplied).</w:t>
      </w:r>
    </w:p>
    <w:p>
      <w:pPr>
        <w:pStyle w:val="Heading1"/>
        <w:spacing w:before="240" w:after="120"/>
      </w:pPr>
      <w:r>
        <w:rPr>
          <w:rFonts w:ascii="Calibri" w:hAnsi="Calibri"/>
          <w:b/>
          <w:color w:val="1F3864"/>
          <w:sz w:val="26"/>
        </w:rPr>
        <w:t>ARTICLE 1.  PURPOSE, SCOPE, AND GRANT FRAMEWORK</w:t>
      </w:r>
    </w:p>
    <w:p>
      <w:pPr>
        <w:pStyle w:val="Heading2"/>
        <w:spacing w:before="160" w:after="60"/>
      </w:pPr>
      <w:r>
        <w:rPr>
          <w:rFonts w:ascii="Calibri" w:hAnsi="Calibri"/>
          <w:b/>
          <w:color w:val="000000"/>
          <w:sz w:val="22"/>
        </w:rPr>
        <w:t>1.1  Purpose</w:t>
      </w:r>
    </w:p>
    <w:p>
      <w:r>
        <w:rPr>
          <w:b w:val="0"/>
          <w:i w:val="0"/>
        </w:rPr>
        <w:t>This Agreement governs cost accounting, actual-cost support, reimbursement, cash management, program income, Federal Interest, records, reporting, certifications, audit, disallowed-cost responsibility, and closeout for the Tribal Broadband Connectivity Program (TBCP) project undertaken by the Lumbee Tribe and operated by RIVR Tech.</w:t>
      </w:r>
    </w:p>
    <w:p>
      <w:pPr>
        <w:pStyle w:val="Heading2"/>
        <w:spacing w:before="160" w:after="60"/>
      </w:pPr>
      <w:r>
        <w:rPr>
          <w:rFonts w:ascii="Calibri" w:hAnsi="Calibri"/>
          <w:b/>
          <w:color w:val="000000"/>
          <w:sz w:val="22"/>
        </w:rPr>
        <w:t>1.2  Uniform Guidance Governs</w:t>
      </w:r>
    </w:p>
    <w:p>
      <w:r>
        <w:rPr>
          <w:b w:val="0"/>
          <w:i w:val="0"/>
        </w:rPr>
        <w:t>All financial administration under this Agreement conforms to 2 CFR Part 200 (Uniform Administrative Requirements, Cost Principles, and Audit Requirements for Federal Awards), as revised (2 CFR Part 200, as revised effective October 1, 2024 (equipment/supplies and disposition threshold $10,000; single-audit threshold $1,000,000)), the NTIA/DOC award terms, and the controlling Award.</w:t>
      </w:r>
    </w:p>
    <w:p>
      <w:pPr>
        <w:ind w:left="504"/>
      </w:pPr>
      <w:r>
        <w:rPr>
          <w:b/>
          <w:color w:val="7F007F"/>
        </w:rPr>
        <w:t xml:space="preserve">[GRANT COMPLIANCE REVIEW REQUIRED]  </w:t>
      </w:r>
      <w:r>
        <w:rPr>
          <w:i/>
          <w:color w:val="595959"/>
        </w:rPr>
        <w:t>Confirm the executed Award, the controlling NOFO round (Round 3 is live; the provisional baseline is Round 2 as amended March 2024), and the Specific Award Conditions before finalizing any figure or method herein.</w:t>
      </w:r>
    </w:p>
    <w:p>
      <w:pPr>
        <w:pStyle w:val="Heading1"/>
        <w:spacing w:before="240" w:after="120"/>
      </w:pPr>
      <w:r>
        <w:rPr>
          <w:rFonts w:ascii="Calibri" w:hAnsi="Calibri"/>
          <w:b/>
          <w:color w:val="1F3864"/>
          <w:sz w:val="26"/>
        </w:rPr>
        <w:t>ARTICLE 2.  DEFINED TERMS; SHARED DEFINITIONS</w:t>
      </w:r>
    </w:p>
    <w:p>
      <w:pPr>
        <w:pStyle w:val="Heading2"/>
        <w:spacing w:before="160" w:after="60"/>
      </w:pPr>
      <w:r>
        <w:rPr>
          <w:rFonts w:ascii="Calibri" w:hAnsi="Calibri"/>
          <w:b/>
          <w:color w:val="000000"/>
          <w:sz w:val="22"/>
        </w:rPr>
        <w:t>2.1  Single Shared Definitions Source</w:t>
      </w:r>
    </w:p>
    <w:p>
      <w:r>
        <w:rPr>
          <w:b w:val="0"/>
          <w:i w:val="0"/>
        </w:rPr>
        <w:t>Capitalized terms used and not otherwise defined in a document have the meanings given in Article 2 (Definitions) of the Master TBCP Partnership and Implementation Agreement, which is the single shared definitions source for the package.</w:t>
      </w:r>
    </w:p>
    <w:p>
      <w:r>
        <w:rPr>
          <w:b w:val="0"/>
          <w:i w:val="0"/>
        </w:rPr>
        <w:t>Without limitation, the terms "Lumbee Tribe", "RIVR Tech", "LREMC", “Tribal Network”, “Grant-Funded Assets”, “LREMC Facilities”, “Federal Interest”, “Program Income”, “Approved Project Area”, and “Active Subscriber” have the meanings given in Article 2 of the Master TBCP Partnership and Implementation Agreement.</w:t>
      </w:r>
    </w:p>
    <w:p>
      <w:pPr>
        <w:pStyle w:val="Heading1"/>
        <w:spacing w:before="240" w:after="120"/>
      </w:pPr>
      <w:r>
        <w:rPr>
          <w:rFonts w:ascii="Calibri" w:hAnsi="Calibri"/>
          <w:b/>
          <w:color w:val="1F3864"/>
          <w:sz w:val="26"/>
        </w:rPr>
        <w:t>ARTICLE 3.  ORDER OF PRECEDENCE</w:t>
      </w:r>
    </w:p>
    <w:p>
      <w:pPr>
        <w:pStyle w:val="Heading2"/>
        <w:spacing w:before="160" w:after="60"/>
      </w:pPr>
      <w:r>
        <w:rPr>
          <w:rFonts w:ascii="Calibri" w:hAnsi="Calibri"/>
          <w:b/>
          <w:color w:val="000000"/>
          <w:sz w:val="22"/>
        </w:rPr>
        <w:t>3.1  Ranking of Instruments</w:t>
      </w:r>
    </w:p>
    <w:p>
      <w:r>
        <w:rPr>
          <w:b w:val="0"/>
          <w:i w:val="0"/>
        </w:rPr>
        <w:t>In the event of any conflict, ambiguity, or inconsistency among the instruments comprising this transaction, the following order of precedence controls, from highest to lowest:</w:t>
      </w:r>
    </w:p>
    <w:p>
      <w:pPr>
        <w:pStyle w:val="ListNumber"/>
      </w:pPr>
      <w:r>
        <w:rPr>
          <w:b w:val="0"/>
          <w:i w:val="0"/>
        </w:rPr>
        <w:t>the executed federal Award and all requirements incorporated into it (including the controlling NOFO, the Specific Award Conditions, the approved application, budget, routes, and service commitments, and any later written NTIA/DOC determination)</w:t>
      </w:r>
    </w:p>
    <w:p>
      <w:pPr>
        <w:pStyle w:val="ListNumber"/>
      </w:pPr>
      <w:r>
        <w:rPr>
          <w:b w:val="0"/>
          <w:i w:val="0"/>
        </w:rPr>
        <w:t>applicable federal statutes and regulations, including 2 CFR Part 200 and NTIA/DOC award terms</w:t>
      </w:r>
    </w:p>
    <w:p>
      <w:pPr>
        <w:pStyle w:val="ListNumber"/>
      </w:pPr>
      <w:r>
        <w:rPr>
          <w:b w:val="0"/>
          <w:i w:val="0"/>
        </w:rPr>
        <w:t>the approved project documents</w:t>
      </w:r>
    </w:p>
    <w:p>
      <w:pPr>
        <w:pStyle w:val="ListNumber"/>
      </w:pPr>
      <w:r>
        <w:rPr>
          <w:b w:val="0"/>
          <w:i w:val="0"/>
        </w:rPr>
        <w:t>the Master TBCP Partnership and Implementation Agreement</w:t>
      </w:r>
    </w:p>
    <w:p>
      <w:pPr>
        <w:pStyle w:val="ListNumber"/>
      </w:pPr>
      <w:r>
        <w:rPr>
          <w:b w:val="0"/>
          <w:i w:val="0"/>
        </w:rPr>
        <w:t>the other Definitive Agreements</w:t>
      </w:r>
    </w:p>
    <w:p>
      <w:pPr>
        <w:pStyle w:val="ListNumber"/>
      </w:pPr>
      <w:r>
        <w:rPr>
          <w:b w:val="0"/>
          <w:i w:val="0"/>
        </w:rPr>
        <w:t>the Schedules, Exhibits, Certificates, and Operational Forms</w:t>
      </w:r>
    </w:p>
    <w:p>
      <w:pPr>
        <w:pStyle w:val="Heading2"/>
        <w:spacing w:before="160" w:after="60"/>
      </w:pPr>
      <w:r>
        <w:rPr>
          <w:rFonts w:ascii="Calibri" w:hAnsi="Calibri"/>
          <w:b/>
          <w:color w:val="000000"/>
          <w:sz w:val="22"/>
        </w:rPr>
        <w:t>3.2  Conflict Rule</w:t>
      </w:r>
    </w:p>
    <w:p>
      <w:r>
        <w:rPr>
          <w:b w:val="0"/>
          <w:i w:val="0"/>
        </w:rPr>
        <w:t>No commercial agreement, schedule, or form authorizes any act prohibited by, or inconsistent with, the Award or applicable federal law; in any conflict the higher-ranked instrument controls, and a lawful construction and service provision is not invalidated by a rejected IRU, exclusivity, payment, or commercial-use term (severability and reformation apply).</w:t>
      </w:r>
    </w:p>
    <w:p>
      <w:pPr>
        <w:ind w:left="504"/>
      </w:pPr>
      <w:r>
        <w:rPr>
          <w:b/>
          <w:color w:val="0000C0"/>
        </w:rPr>
        <w:t xml:space="preserve">[ATTORNEY REVIEW REQUIRED]  </w:t>
      </w:r>
      <w:r>
        <w:rPr>
          <w:i/>
          <w:color w:val="595959"/>
        </w:rPr>
        <w:t>Counsel to confirm that the precedence ranking above is reproduced verbatim in each Definitive Agreement so no instrument silently reorders it.</w:t>
      </w:r>
    </w:p>
    <w:p>
      <w:pPr>
        <w:pStyle w:val="Heading1"/>
        <w:spacing w:before="240" w:after="120"/>
      </w:pPr>
      <w:r>
        <w:rPr>
          <w:rFonts w:ascii="Calibri" w:hAnsi="Calibri"/>
          <w:b/>
          <w:color w:val="1F3864"/>
          <w:sz w:val="26"/>
        </w:rPr>
        <w:t>ARTICLE 4.  CHART OF ACCOUNTS AND COST CODES</w:t>
      </w:r>
    </w:p>
    <w:p>
      <w:pPr>
        <w:pStyle w:val="Heading2"/>
        <w:spacing w:before="160" w:after="60"/>
      </w:pPr>
      <w:r>
        <w:rPr>
          <w:rFonts w:ascii="Calibri" w:hAnsi="Calibri"/>
          <w:b/>
          <w:color w:val="000000"/>
          <w:sz w:val="22"/>
        </w:rPr>
        <w:t>4.1  Uniform Cost Coding</w:t>
      </w:r>
    </w:p>
    <w:p>
      <w:r>
        <w:rPr>
          <w:b w:val="0"/>
          <w:i w:val="0"/>
        </w:rPr>
        <w:t>The Parties shall maintain a uniform chart of accounts and cost-code structure that ties every cost to a budget line in the approved budget, a cost category, and the responsible Party, sufficient to trace each dollar from source document to reimbursement request to financial report.</w:t>
      </w:r>
    </w:p>
    <w:p>
      <w:pPr>
        <w:pStyle w:val="Heading2"/>
        <w:spacing w:before="160" w:after="60"/>
      </w:pPr>
      <w:r>
        <w:rPr>
          <w:rFonts w:ascii="Calibri" w:hAnsi="Calibri"/>
          <w:b/>
          <w:color w:val="000000"/>
          <w:sz w:val="22"/>
        </w:rPr>
        <w:t>4.2  Cost Code Register</w:t>
      </w:r>
    </w:p>
    <w:p>
      <w:r>
        <w:rPr>
          <w:b w:val="0"/>
          <w:i w:val="0"/>
        </w:rPr>
        <w:t xml:space="preserve">The cost-code register is maintained at </w:t>
      </w:r>
      <w:r>
        <w:rPr>
          <w:b w:val="0"/>
          <w:i w:val="0"/>
          <w:color w:val="804000"/>
          <w:highlight w:val="yellow"/>
        </w:rPr>
        <w:t>[■ cost-code register location / system]</w:t>
      </w:r>
      <w:r>
        <w:rPr>
          <w:b w:val="0"/>
          <w:i w:val="0"/>
        </w:rPr>
        <w:t xml:space="preserve"> and reconciled to Schedule S8 (Subscriber Payment, Revenue, Program Income, Taxes, Fees, Cash Controls, and Audit) and to the approved budget.</w:t>
      </w:r>
    </w:p>
    <w:p>
      <w:r>
        <w:rPr>
          <w:b/>
          <w:i w:val="0"/>
        </w:rPr>
        <w:t>Table 4-A — Cost Category / Required Evidence Matrix:</w:t>
      </w:r>
    </w:p>
    <w:tbl>
      <w:tblPr>
        <w:tblStyle w:val="TableGrid"/>
        <w:tblW w:type="auto" w:w="0"/>
        <w:jc w:val="center"/>
        <w:tblLook w:firstColumn="1" w:firstRow="1" w:lastColumn="0" w:lastRow="0" w:noHBand="0" w:noVBand="1" w:val="04A0"/>
      </w:tblPr>
      <w:tblGrid>
        <w:gridCol w:w="3120"/>
        <w:gridCol w:w="3120"/>
        <w:gridCol w:w="3120"/>
      </w:tblGrid>
      <w:tr>
        <w:tc>
          <w:tcPr>
            <w:tcW w:type="dxa" w:w="2304"/>
            <w:shd w:val="clear" w:color="auto" w:fill="1F3864"/>
            <w:vAlign w:val="center"/>
          </w:tcPr>
          <w:p>
            <w:pPr>
              <w:jc w:val="center"/>
            </w:pPr>
            <w:r>
              <w:rPr>
                <w:b/>
                <w:color w:val="FFFFFF"/>
                <w:sz w:val="18"/>
              </w:rPr>
              <w:t>Cost Category</w:t>
            </w:r>
          </w:p>
        </w:tc>
        <w:tc>
          <w:tcPr>
            <w:tcW w:type="dxa" w:w="4896"/>
            <w:shd w:val="clear" w:color="auto" w:fill="1F3864"/>
            <w:vAlign w:val="center"/>
          </w:tcPr>
          <w:p>
            <w:pPr>
              <w:jc w:val="center"/>
            </w:pPr>
            <w:r>
              <w:rPr>
                <w:b/>
                <w:color w:val="FFFFFF"/>
                <w:sz w:val="18"/>
              </w:rPr>
              <w:t>Required Actual-Cost Evidence</w:t>
            </w:r>
          </w:p>
        </w:tc>
        <w:tc>
          <w:tcPr>
            <w:tcW w:type="dxa" w:w="2880"/>
            <w:shd w:val="clear" w:color="auto" w:fill="1F3864"/>
            <w:vAlign w:val="center"/>
          </w:tcPr>
          <w:p>
            <w:pPr>
              <w:jc w:val="center"/>
            </w:pPr>
            <w:r>
              <w:rPr>
                <w:b/>
                <w:color w:val="FFFFFF"/>
                <w:sz w:val="18"/>
              </w:rPr>
              <w:t>Governing Authority</w:t>
            </w:r>
          </w:p>
        </w:tc>
      </w:tr>
      <w:tr>
        <w:tc>
          <w:tcPr>
            <w:tcW w:type="dxa" w:w="2304"/>
            <w:vAlign w:val="center"/>
          </w:tcPr>
          <w:p>
            <w:r>
              <w:rPr>
                <w:b w:val="0"/>
                <w:i w:val="0"/>
                <w:sz w:val="18"/>
              </w:rPr>
              <w:t>Labor (direct)</w:t>
            </w:r>
          </w:p>
        </w:tc>
        <w:tc>
          <w:tcPr>
            <w:tcW w:type="dxa" w:w="4896"/>
            <w:vAlign w:val="center"/>
          </w:tcPr>
          <w:p>
            <w:r>
              <w:rPr>
                <w:b w:val="0"/>
                <w:i w:val="0"/>
                <w:sz w:val="18"/>
              </w:rPr>
              <w:t>Timesheets certified by employee/supervisor; payroll registers; labor-rate buildup</w:t>
            </w:r>
          </w:p>
        </w:tc>
        <w:tc>
          <w:tcPr>
            <w:tcW w:type="dxa" w:w="2880"/>
            <w:vAlign w:val="center"/>
          </w:tcPr>
          <w:p>
            <w:r>
              <w:rPr>
                <w:b w:val="0"/>
                <w:i w:val="0"/>
                <w:sz w:val="18"/>
              </w:rPr>
              <w:t>2 CFR Part 200, Subpart E (Cost Principles — allowability, allocability, reasonableness)</w:t>
            </w:r>
          </w:p>
        </w:tc>
      </w:tr>
      <w:tr>
        <w:tc>
          <w:tcPr>
            <w:tcW w:type="dxa" w:w="2304"/>
            <w:shd w:val="clear" w:color="auto" w:fill="F2F2F2"/>
            <w:vAlign w:val="center"/>
          </w:tcPr>
          <w:p>
            <w:r>
              <w:rPr>
                <w:b w:val="0"/>
                <w:i w:val="0"/>
                <w:sz w:val="18"/>
              </w:rPr>
              <w:t>Loaded / indirect labor</w:t>
            </w:r>
          </w:p>
        </w:tc>
        <w:tc>
          <w:tcPr>
            <w:tcW w:type="dxa" w:w="4896"/>
            <w:shd w:val="clear" w:color="auto" w:fill="F2F2F2"/>
            <w:vAlign w:val="center"/>
          </w:tcPr>
          <w:p>
            <w:r>
              <w:rPr>
                <w:b w:val="0"/>
                <w:i w:val="0"/>
                <w:sz w:val="18"/>
              </w:rPr>
              <w:t>NICRA or de minimis rate documentation; fringe support; allocation base</w:t>
            </w:r>
          </w:p>
        </w:tc>
        <w:tc>
          <w:tcPr>
            <w:tcW w:type="dxa" w:w="2880"/>
            <w:shd w:val="clear" w:color="auto" w:fill="F2F2F2"/>
            <w:vAlign w:val="center"/>
          </w:tcPr>
          <w:p>
            <w:r>
              <w:rPr>
                <w:b w:val="0"/>
                <w:i w:val="0"/>
                <w:sz w:val="18"/>
              </w:rPr>
              <w:t>2 CFR Part 200 (Uniform Administrative Requirements, Cost Principles, and Audit Requirements for Federal Awards)</w:t>
            </w:r>
          </w:p>
        </w:tc>
      </w:tr>
      <w:tr>
        <w:tc>
          <w:tcPr>
            <w:tcW w:type="dxa" w:w="2304"/>
            <w:vAlign w:val="center"/>
          </w:tcPr>
          <w:p>
            <w:r>
              <w:rPr>
                <w:b w:val="0"/>
                <w:i w:val="0"/>
                <w:sz w:val="18"/>
              </w:rPr>
              <w:t>Equipment</w:t>
            </w:r>
          </w:p>
        </w:tc>
        <w:tc>
          <w:tcPr>
            <w:tcW w:type="dxa" w:w="4896"/>
            <w:vAlign w:val="center"/>
          </w:tcPr>
          <w:p>
            <w:r>
              <w:rPr>
                <w:b w:val="0"/>
                <w:i w:val="0"/>
                <w:sz w:val="18"/>
              </w:rPr>
              <w:t>PO; invoice; proof of payment; property record; §889 compliance evidence</w:t>
            </w:r>
          </w:p>
        </w:tc>
        <w:tc>
          <w:tcPr>
            <w:tcW w:type="dxa" w:w="2880"/>
            <w:vAlign w:val="center"/>
          </w:tcPr>
          <w:p>
            <w:r>
              <w:rPr>
                <w:b w:val="0"/>
                <w:i w:val="0"/>
                <w:sz w:val="18"/>
              </w:rPr>
              <w:t>2 CFR 200.313 (Equipment — use, management, and disposition); 2 CFR 200.216 (Prohibition on certain telecommunications and video surveillance — §889 covered equipment)</w:t>
            </w:r>
          </w:p>
        </w:tc>
      </w:tr>
      <w:tr>
        <w:tc>
          <w:tcPr>
            <w:tcW w:type="dxa" w:w="2304"/>
            <w:shd w:val="clear" w:color="auto" w:fill="F2F2F2"/>
            <w:vAlign w:val="center"/>
          </w:tcPr>
          <w:p>
            <w:r>
              <w:rPr>
                <w:b w:val="0"/>
                <w:i w:val="0"/>
                <w:sz w:val="18"/>
              </w:rPr>
              <w:t>Materials / supplies</w:t>
            </w:r>
          </w:p>
        </w:tc>
        <w:tc>
          <w:tcPr>
            <w:tcW w:type="dxa" w:w="4896"/>
            <w:shd w:val="clear" w:color="auto" w:fill="F2F2F2"/>
            <w:vAlign w:val="center"/>
          </w:tcPr>
          <w:p>
            <w:r>
              <w:rPr>
                <w:b w:val="0"/>
                <w:i w:val="0"/>
                <w:sz w:val="18"/>
              </w:rPr>
              <w:t>PO; invoice; receiving record; material reconciliation to installed plant</w:t>
            </w:r>
          </w:p>
        </w:tc>
        <w:tc>
          <w:tcPr>
            <w:tcW w:type="dxa" w:w="2880"/>
            <w:shd w:val="clear" w:color="auto" w:fill="F2F2F2"/>
            <w:vAlign w:val="center"/>
          </w:tcPr>
          <w:p>
            <w:r>
              <w:rPr>
                <w:b w:val="0"/>
                <w:i w:val="0"/>
                <w:sz w:val="18"/>
              </w:rPr>
              <w:t>2 CFR 200.314 (Supplies)</w:t>
            </w:r>
          </w:p>
        </w:tc>
      </w:tr>
      <w:tr>
        <w:tc>
          <w:tcPr>
            <w:tcW w:type="dxa" w:w="2304"/>
            <w:vAlign w:val="center"/>
          </w:tcPr>
          <w:p>
            <w:r>
              <w:rPr>
                <w:b w:val="0"/>
                <w:i w:val="0"/>
                <w:sz w:val="18"/>
              </w:rPr>
              <w:t>Subcontracts / procurement</w:t>
            </w:r>
          </w:p>
        </w:tc>
        <w:tc>
          <w:tcPr>
            <w:tcW w:type="dxa" w:w="4896"/>
            <w:vAlign w:val="center"/>
          </w:tcPr>
          <w:p>
            <w:r>
              <w:rPr>
                <w:b w:val="0"/>
                <w:i w:val="0"/>
                <w:sz w:val="18"/>
              </w:rPr>
              <w:t>Solicitation; selection basis; contract; invoice; payment; BABA/domestic-preference support</w:t>
            </w:r>
          </w:p>
        </w:tc>
        <w:tc>
          <w:tcPr>
            <w:tcW w:type="dxa" w:w="2880"/>
            <w:vAlign w:val="center"/>
          </w:tcPr>
          <w:p>
            <w:r>
              <w:rPr>
                <w:b w:val="0"/>
                <w:i w:val="0"/>
                <w:sz w:val="18"/>
              </w:rPr>
              <w:t>2 CFR 200.317–200.327 (Procurement standards); Build America, Buy America Act, IIJA §§ 70911–70917 (Pub. L. 117-58); 2 CFR Part 184; and NTIA BABA award terms</w:t>
            </w:r>
          </w:p>
        </w:tc>
      </w:tr>
      <w:tr>
        <w:tc>
          <w:tcPr>
            <w:tcW w:type="dxa" w:w="2304"/>
            <w:shd w:val="clear" w:color="auto" w:fill="F2F2F2"/>
            <w:vAlign w:val="center"/>
          </w:tcPr>
          <w:p>
            <w:r>
              <w:rPr>
                <w:b w:val="0"/>
                <w:i w:val="0"/>
                <w:sz w:val="18"/>
              </w:rPr>
              <w:t>Program income receipts</w:t>
            </w:r>
          </w:p>
        </w:tc>
        <w:tc>
          <w:tcPr>
            <w:tcW w:type="dxa" w:w="4896"/>
            <w:shd w:val="clear" w:color="auto" w:fill="F2F2F2"/>
            <w:vAlign w:val="center"/>
          </w:tcPr>
          <w:p>
            <w:r>
              <w:rPr>
                <w:b w:val="0"/>
                <w:i w:val="0"/>
                <w:sz w:val="18"/>
              </w:rPr>
              <w:t>Subscriber/wholesale receipt detail; restricted-account deposit records; reconciliation</w:t>
            </w:r>
          </w:p>
        </w:tc>
        <w:tc>
          <w:tcPr>
            <w:tcW w:type="dxa" w:w="2880"/>
            <w:shd w:val="clear" w:color="auto" w:fill="F2F2F2"/>
            <w:vAlign w:val="center"/>
          </w:tcPr>
          <w:p>
            <w:r>
              <w:rPr>
                <w:b w:val="0"/>
                <w:i w:val="0"/>
                <w:sz w:val="18"/>
              </w:rPr>
              <w:t>2 CFR 200.307 (Program income)</w:t>
            </w:r>
          </w:p>
        </w:tc>
      </w:tr>
      <w:tr>
        <w:tc>
          <w:tcPr>
            <w:tcW w:type="dxa" w:w="2304"/>
            <w:vAlign w:val="center"/>
          </w:tcPr>
          <w:p>
            <w:r>
              <w:rPr>
                <w:b w:val="0"/>
                <w:i w:val="0"/>
                <w:sz w:val="18"/>
              </w:rPr>
              <w:t>Real property</w:t>
            </w:r>
          </w:p>
        </w:tc>
        <w:tc>
          <w:tcPr>
            <w:tcW w:type="dxa" w:w="4896"/>
            <w:vAlign w:val="center"/>
          </w:tcPr>
          <w:p>
            <w:r>
              <w:rPr>
                <w:b w:val="0"/>
                <w:i w:val="0"/>
                <w:sz w:val="18"/>
              </w:rPr>
              <w:t>Acquisition/closing documents; Federal-Interest notation; appraisal where required</w:t>
            </w:r>
          </w:p>
        </w:tc>
        <w:tc>
          <w:tcPr>
            <w:tcW w:type="dxa" w:w="2880"/>
            <w:vAlign w:val="center"/>
          </w:tcPr>
          <w:p>
            <w:r>
              <w:rPr>
                <w:b w:val="0"/>
                <w:i w:val="0"/>
                <w:sz w:val="18"/>
              </w:rPr>
              <w:t>2 CFR 200.311 (Real property — use, encumbrance, and disposition); 2 CFR 200.316 (Property trust relationship)</w:t>
            </w:r>
          </w:p>
        </w:tc>
      </w:tr>
    </w:tbl>
    <w:p>
      <w:pPr>
        <w:pStyle w:val="Heading1"/>
        <w:spacing w:before="240" w:after="120"/>
      </w:pPr>
      <w:r>
        <w:rPr>
          <w:rFonts w:ascii="Calibri" w:hAnsi="Calibri"/>
          <w:b/>
          <w:color w:val="1F3864"/>
          <w:sz w:val="26"/>
        </w:rPr>
        <w:t>ARTICLE 5.  ALLOWABILITY, ALLOCABILITY, AND REASONABLENESS</w:t>
      </w:r>
    </w:p>
    <w:p>
      <w:pPr>
        <w:pStyle w:val="Heading2"/>
        <w:spacing w:before="160" w:after="60"/>
      </w:pPr>
      <w:r>
        <w:rPr>
          <w:rFonts w:ascii="Calibri" w:hAnsi="Calibri"/>
          <w:b/>
          <w:color w:val="000000"/>
          <w:sz w:val="22"/>
        </w:rPr>
        <w:t>5.1  Cost Principles</w:t>
      </w:r>
    </w:p>
    <w:p>
      <w:r>
        <w:rPr>
          <w:b w:val="0"/>
          <w:i w:val="0"/>
        </w:rPr>
        <w:t>Every cost charged to the Award, claimed for reimbursement, or offset against program income must be allowable, allocable, and reasonable under 2 CFR Part 200, Subpart E (Cost Principles — allowability, allocability, reasonableness) and consistent with the approved budget and the controlling Award.</w:t>
      </w:r>
    </w:p>
    <w:p>
      <w:pPr>
        <w:pStyle w:val="Heading2"/>
        <w:spacing w:before="160" w:after="60"/>
      </w:pPr>
      <w:r>
        <w:rPr>
          <w:rFonts w:ascii="Calibri" w:hAnsi="Calibri"/>
          <w:b/>
          <w:color w:val="000000"/>
          <w:sz w:val="22"/>
        </w:rPr>
        <w:t>5.2  Prohibited and Restricted Costs</w:t>
      </w:r>
    </w:p>
    <w:p>
      <w:r>
        <w:rPr>
          <w:b w:val="0"/>
          <w:i w:val="0"/>
        </w:rPr>
        <w:t>No cost prohibited by the Award or applicable law (including 2 CFR 200.216 (Prohibition on certain telecommunications and video surveillance — §889 covered equipment) and non-compliant procurement under 2 CFR 200.317–200.327 (Procurement standards)) may be charged. Costs requiring prior approval shall not be incurred without it.</w:t>
      </w:r>
    </w:p>
    <w:p>
      <w:pPr>
        <w:pStyle w:val="Heading2"/>
        <w:spacing w:before="160" w:after="60"/>
      </w:pPr>
      <w:r>
        <w:rPr>
          <w:rFonts w:ascii="Calibri" w:hAnsi="Calibri"/>
          <w:b/>
          <w:color w:val="000000"/>
          <w:sz w:val="22"/>
        </w:rPr>
        <w:t>5.3  Burden of Support</w:t>
      </w:r>
    </w:p>
    <w:p>
      <w:r>
        <w:rPr>
          <w:b w:val="0"/>
          <w:i w:val="0"/>
        </w:rPr>
        <w:t>The Party incurring a cost bears the burden of demonstrating allowability, allocability, and reasonableness with contemporaneous documentation.</w:t>
      </w:r>
    </w:p>
    <w:p>
      <w:pPr>
        <w:pStyle w:val="Heading1"/>
        <w:spacing w:before="240" w:after="120"/>
      </w:pPr>
      <w:r>
        <w:rPr>
          <w:rFonts w:ascii="Calibri" w:hAnsi="Calibri"/>
          <w:b/>
          <w:color w:val="1F3864"/>
          <w:sz w:val="26"/>
        </w:rPr>
        <w:t>ARTICLE 6.  ACTUAL-COST SUPPORT</w:t>
      </w:r>
    </w:p>
    <w:p>
      <w:pPr>
        <w:pStyle w:val="Heading2"/>
        <w:spacing w:before="160" w:after="60"/>
      </w:pPr>
      <w:r>
        <w:rPr>
          <w:rFonts w:ascii="Calibri" w:hAnsi="Calibri"/>
          <w:b/>
          <w:color w:val="000000"/>
          <w:sz w:val="22"/>
        </w:rPr>
        <w:t>6.1  Actual Cost Basis</w:t>
      </w:r>
    </w:p>
    <w:p>
      <w:r>
        <w:rPr>
          <w:b w:val="0"/>
          <w:i w:val="0"/>
        </w:rPr>
        <w:t>Reimbursement and program-income offsets are based on actual, incurred, and paid costs, not estimates, standard costs, or list prices, except where a compliant indirect-cost rate applies under Article 7.</w:t>
      </w:r>
    </w:p>
    <w:p>
      <w:pPr>
        <w:pStyle w:val="Heading2"/>
        <w:spacing w:before="160" w:after="60"/>
      </w:pPr>
      <w:r>
        <w:rPr>
          <w:rFonts w:ascii="Calibri" w:hAnsi="Calibri"/>
          <w:b/>
          <w:color w:val="000000"/>
          <w:sz w:val="22"/>
        </w:rPr>
        <w:t>6.2  Source Documentation</w:t>
      </w:r>
    </w:p>
    <w:p>
      <w:r>
        <w:rPr>
          <w:b w:val="0"/>
          <w:i w:val="0"/>
        </w:rPr>
        <w:t>Each cost must be supported by source documentation adequate to establish the amount, date, vendor, purpose, allocability to the project, and payment.</w:t>
      </w:r>
    </w:p>
    <w:p>
      <w:pPr>
        <w:ind w:left="504"/>
      </w:pPr>
      <w:r>
        <w:rPr>
          <w:b/>
          <w:color w:val="7F007F"/>
        </w:rPr>
        <w:t xml:space="preserve">[GRANT COMPLIANCE REVIEW REQUIRED]  </w:t>
      </w:r>
      <w:r>
        <w:rPr>
          <w:i/>
          <w:color w:val="595959"/>
        </w:rPr>
        <w:t>Support standards must match the Award's reimbursement basis (actual cost vs. milestone) once the Award is supplied.</w:t>
      </w:r>
    </w:p>
    <w:p>
      <w:pPr>
        <w:pStyle w:val="Heading1"/>
        <w:spacing w:before="240" w:after="120"/>
      </w:pPr>
      <w:r>
        <w:rPr>
          <w:rFonts w:ascii="Calibri" w:hAnsi="Calibri"/>
          <w:b/>
          <w:color w:val="1F3864"/>
          <w:sz w:val="26"/>
        </w:rPr>
        <w:t>ARTICLE 7.  INDIRECT COSTS, LOADED LABOR, AND TIMEKEEPING</w:t>
      </w:r>
    </w:p>
    <w:p>
      <w:pPr>
        <w:pStyle w:val="Heading2"/>
        <w:spacing w:before="160" w:after="60"/>
      </w:pPr>
      <w:r>
        <w:rPr>
          <w:rFonts w:ascii="Calibri" w:hAnsi="Calibri"/>
          <w:b/>
          <w:color w:val="000000"/>
          <w:sz w:val="22"/>
        </w:rPr>
        <w:t>7.1  Indirect Cost Rate</w:t>
      </w:r>
    </w:p>
    <w:p>
      <w:r>
        <w:rPr>
          <w:b w:val="0"/>
          <w:i w:val="0"/>
        </w:rPr>
        <w:t xml:space="preserve">Indirect costs are charged only under a negotiated indirect cost rate agreement (NICRA) or the de minimis rate permitted by 2 CFR Part 200 (Uniform Administrative Requirements, Cost Principles, and Audit Requirements for Federal Awards), as applicable and as the Award permits: </w:t>
      </w:r>
      <w:r>
        <w:rPr>
          <w:b w:val="0"/>
          <w:i w:val="0"/>
          <w:color w:val="804000"/>
          <w:highlight w:val="yellow"/>
        </w:rPr>
        <w:t>[■ indirect cost rate basis — NICRA / de minimis / none]</w:t>
      </w:r>
      <w:r>
        <w:rPr>
          <w:b w:val="0"/>
          <w:i w:val="0"/>
        </w:rPr>
        <w:t>.</w:t>
      </w:r>
    </w:p>
    <w:p>
      <w:pPr>
        <w:pStyle w:val="Heading2"/>
        <w:spacing w:before="160" w:after="60"/>
      </w:pPr>
      <w:r>
        <w:rPr>
          <w:rFonts w:ascii="Calibri" w:hAnsi="Calibri"/>
          <w:b/>
          <w:color w:val="000000"/>
          <w:sz w:val="22"/>
        </w:rPr>
        <w:t>7.2  Loaded Labor</w:t>
      </w:r>
    </w:p>
    <w:p>
      <w:r>
        <w:rPr>
          <w:b w:val="0"/>
          <w:i w:val="0"/>
        </w:rPr>
        <w:t>Loaded labor rates must be built from actual base pay plus documented, allowable fringe and, where applicable, an approved indirect rate—never marked-up or composite rates that embed unallowable costs or profit on federal cost.</w:t>
      </w:r>
    </w:p>
    <w:p>
      <w:pPr>
        <w:pStyle w:val="Heading2"/>
        <w:spacing w:before="160" w:after="60"/>
      </w:pPr>
      <w:r>
        <w:rPr>
          <w:rFonts w:ascii="Calibri" w:hAnsi="Calibri"/>
          <w:b/>
          <w:color w:val="000000"/>
          <w:sz w:val="22"/>
        </w:rPr>
        <w:t>7.3  Timekeeping</w:t>
      </w:r>
    </w:p>
    <w:p>
      <w:r>
        <w:rPr>
          <w:b w:val="0"/>
          <w:i w:val="0"/>
        </w:rPr>
        <w:t>Personnel costs charged to the project must be supported by after-the-fact records reflecting actual time worked, certified by the employee or a responsible supervisory official, and reconciled to payroll.</w:t>
      </w:r>
    </w:p>
    <w:p>
      <w:pPr>
        <w:pStyle w:val="Heading1"/>
        <w:spacing w:before="240" w:after="120"/>
      </w:pPr>
      <w:r>
        <w:rPr>
          <w:rFonts w:ascii="Calibri" w:hAnsi="Calibri"/>
          <w:b/>
          <w:color w:val="1F3864"/>
          <w:sz w:val="26"/>
        </w:rPr>
        <w:t>ARTICLE 8.  EQUIPMENT AND PROPERTY RECORDS</w:t>
      </w:r>
    </w:p>
    <w:p>
      <w:pPr>
        <w:pStyle w:val="Heading2"/>
        <w:spacing w:before="160" w:after="60"/>
      </w:pPr>
      <w:r>
        <w:rPr>
          <w:rFonts w:ascii="Calibri" w:hAnsi="Calibri"/>
          <w:b/>
          <w:color w:val="000000"/>
          <w:sz w:val="22"/>
        </w:rPr>
        <w:t>8.1  Equipment Records</w:t>
      </w:r>
    </w:p>
    <w:p>
      <w:r>
        <w:rPr>
          <w:b w:val="0"/>
          <w:i w:val="0"/>
        </w:rPr>
        <w:t>Equipment acquired with Award funds is managed and recorded in accordance with 2 CFR 200.313 (Equipment — use, management, and disposition), including a property record with description, source, title holder, acquisition cost and date, federal share, location, use, condition, and ultimate disposition.</w:t>
      </w:r>
    </w:p>
    <w:p>
      <w:pPr>
        <w:pStyle w:val="Heading2"/>
        <w:spacing w:before="160" w:after="60"/>
      </w:pPr>
      <w:r>
        <w:rPr>
          <w:rFonts w:ascii="Calibri" w:hAnsi="Calibri"/>
          <w:b/>
          <w:color w:val="000000"/>
          <w:sz w:val="22"/>
        </w:rPr>
        <w:t>8.2  Physical Inventory and Control</w:t>
      </w:r>
    </w:p>
    <w:p>
      <w:r>
        <w:rPr>
          <w:b w:val="0"/>
          <w:i w:val="0"/>
        </w:rPr>
        <w:t>A physical inventory is reconciled to the property records at least once every two years, with a control system to prevent loss, damage, or theft, per 2 CFR 200.313 (Equipment — use, management, and disposition).</w:t>
      </w:r>
    </w:p>
    <w:p>
      <w:pPr>
        <w:pStyle w:val="Heading2"/>
        <w:spacing w:before="160" w:after="60"/>
      </w:pPr>
      <w:r>
        <w:rPr>
          <w:rFonts w:ascii="Calibri" w:hAnsi="Calibri"/>
          <w:b/>
          <w:color w:val="000000"/>
          <w:sz w:val="22"/>
        </w:rPr>
        <w:t>8.3  Supplies and Intangibles</w:t>
      </w:r>
    </w:p>
    <w:p>
      <w:r>
        <w:rPr>
          <w:b w:val="0"/>
          <w:i w:val="0"/>
        </w:rPr>
        <w:t>Supplies and intangible property are handled under 2 CFR 200.314 (Supplies) and 2 CFR 200.315 (Intangible property) respectively.</w:t>
      </w:r>
    </w:p>
    <w:p>
      <w:pPr>
        <w:pStyle w:val="Heading1"/>
        <w:spacing w:before="240" w:after="120"/>
      </w:pPr>
      <w:r>
        <w:rPr>
          <w:rFonts w:ascii="Calibri" w:hAnsi="Calibri"/>
          <w:b/>
          <w:color w:val="1F3864"/>
          <w:sz w:val="26"/>
        </w:rPr>
        <w:t>ARTICLE 9.  MATERIAL RECONCILIATION</w:t>
      </w:r>
    </w:p>
    <w:p>
      <w:pPr>
        <w:pStyle w:val="Heading2"/>
        <w:spacing w:before="160" w:after="60"/>
      </w:pPr>
      <w:r>
        <w:rPr>
          <w:rFonts w:ascii="Calibri" w:hAnsi="Calibri"/>
          <w:b/>
          <w:color w:val="000000"/>
          <w:sz w:val="22"/>
        </w:rPr>
        <w:t>9.1  Materials to Installed Plant</w:t>
      </w:r>
    </w:p>
    <w:p>
      <w:r>
        <w:rPr>
          <w:b w:val="0"/>
          <w:i w:val="0"/>
        </w:rPr>
        <w:t>Materials and equipment procured for the project shall be reconciled from purchase to receipt to installed or inventoried plant, so that quantities charged match quantities deployed or on hand, with variances explained.</w:t>
      </w:r>
    </w:p>
    <w:p>
      <w:pPr>
        <w:pStyle w:val="Heading2"/>
        <w:spacing w:before="160" w:after="60"/>
      </w:pPr>
      <w:r>
        <w:rPr>
          <w:rFonts w:ascii="Calibri" w:hAnsi="Calibri"/>
          <w:b/>
          <w:color w:val="000000"/>
          <w:sz w:val="22"/>
        </w:rPr>
        <w:t>9.2  Salvage and Excess</w:t>
      </w:r>
    </w:p>
    <w:p>
      <w:r>
        <w:rPr>
          <w:b w:val="0"/>
          <w:i w:val="0"/>
        </w:rPr>
        <w:t>Salvage, excess, and returned materials are tracked and credited to the project to prevent overcharge.</w:t>
      </w:r>
    </w:p>
    <w:p>
      <w:pPr>
        <w:pStyle w:val="Heading1"/>
        <w:spacing w:before="240" w:after="120"/>
      </w:pPr>
      <w:r>
        <w:rPr>
          <w:rFonts w:ascii="Calibri" w:hAnsi="Calibri"/>
          <w:b/>
          <w:color w:val="1F3864"/>
          <w:sz w:val="26"/>
        </w:rPr>
        <w:t>ARTICLE 10.  PURCHASE ORDERS, INVOICES, AND PAYMENT EVIDENCE</w:t>
      </w:r>
    </w:p>
    <w:p>
      <w:pPr>
        <w:pStyle w:val="Heading2"/>
        <w:spacing w:before="160" w:after="60"/>
      </w:pPr>
      <w:r>
        <w:rPr>
          <w:rFonts w:ascii="Calibri" w:hAnsi="Calibri"/>
          <w:b/>
          <w:color w:val="000000"/>
          <w:sz w:val="22"/>
        </w:rPr>
        <w:t>10.1  Procurement Trail</w:t>
      </w:r>
    </w:p>
    <w:p>
      <w:r>
        <w:rPr>
          <w:b w:val="0"/>
          <w:i w:val="0"/>
        </w:rPr>
        <w:t>Each procurement shall be supported by a procurement file consistent with 2 CFR 200.317–200.327 (Procurement standards) and 2 CFR 200.319 (Competition), including solicitation, selection basis, purchase order, invoice, and proof of payment.</w:t>
      </w:r>
    </w:p>
    <w:p>
      <w:pPr>
        <w:pStyle w:val="Heading2"/>
        <w:spacing w:before="160" w:after="60"/>
      </w:pPr>
      <w:r>
        <w:rPr>
          <w:rFonts w:ascii="Calibri" w:hAnsi="Calibri"/>
          <w:b/>
          <w:color w:val="000000"/>
          <w:sz w:val="22"/>
        </w:rPr>
        <w:t>10.2  Three-Way Match</w:t>
      </w:r>
    </w:p>
    <w:p>
      <w:r>
        <w:rPr>
          <w:b w:val="0"/>
          <w:i w:val="0"/>
        </w:rPr>
        <w:t>Payment evidence must permit a three-way match of purchase order, receiving record, and invoice before a cost is claimed.</w:t>
      </w:r>
    </w:p>
    <w:p>
      <w:pPr>
        <w:ind w:left="504"/>
      </w:pPr>
      <w:r>
        <w:rPr>
          <w:b/>
          <w:color w:val="7F007F"/>
        </w:rPr>
        <w:t xml:space="preserve">[GRANT COMPLIANCE REVIEW REQUIRED]  </w:t>
      </w:r>
      <w:r>
        <w:rPr>
          <w:i/>
          <w:color w:val="595959"/>
        </w:rPr>
        <w:t>Domestic-preference and Build America, Buy America requirements (Build America, Buy America Act, IIJA §§ 70911–70917 (Pub. L. 117-58); 2 CFR Part 184; and NTIA BABA award terms and 2 CFR 200.322 (Domestic preferences for procurements)) must be evidenced in the procurement file where applicable.</w:t>
      </w:r>
    </w:p>
    <w:p>
      <w:pPr>
        <w:pStyle w:val="Heading1"/>
        <w:spacing w:before="240" w:after="120"/>
      </w:pPr>
      <w:r>
        <w:rPr>
          <w:rFonts w:ascii="Calibri" w:hAnsi="Calibri"/>
          <w:b/>
          <w:color w:val="1F3864"/>
          <w:sz w:val="26"/>
        </w:rPr>
        <w:t>ARTICLE 11.  BUDGET CONTROL AND CHANGE APPROVAL</w:t>
      </w:r>
    </w:p>
    <w:p>
      <w:pPr>
        <w:pStyle w:val="Heading2"/>
        <w:spacing w:before="160" w:after="60"/>
      </w:pPr>
      <w:r>
        <w:rPr>
          <w:rFonts w:ascii="Calibri" w:hAnsi="Calibri"/>
          <w:b/>
          <w:color w:val="000000"/>
          <w:sz w:val="22"/>
        </w:rPr>
        <w:t>11.1  Budget Control</w:t>
      </w:r>
    </w:p>
    <w:p>
      <w:r>
        <w:rPr>
          <w:b w:val="0"/>
          <w:i w:val="0"/>
        </w:rPr>
        <w:t>Costs are controlled against the approved budget by line and category; overruns are not reimbursable absent approved budget revision.</w:t>
      </w:r>
    </w:p>
    <w:p>
      <w:pPr>
        <w:pStyle w:val="Heading2"/>
        <w:spacing w:before="160" w:after="60"/>
      </w:pPr>
      <w:r>
        <w:rPr>
          <w:rFonts w:ascii="Calibri" w:hAnsi="Calibri"/>
          <w:b/>
          <w:color w:val="000000"/>
          <w:sz w:val="22"/>
        </w:rPr>
        <w:t>11.2  Change Approval</w:t>
      </w:r>
    </w:p>
    <w:p>
      <w:r>
        <w:rPr>
          <w:b w:val="0"/>
          <w:i w:val="0"/>
        </w:rPr>
        <w:t xml:space="preserve">Budget revisions and reprogramming that require prior written NTIA/DOC approval under 2 CFR Part 200 (Uniform Administrative Requirements, Cost Principles, and Audit Requirements for Federal Awards) and the Award shall not be implemented until approved. Internal change control: </w:t>
      </w:r>
      <w:r>
        <w:rPr>
          <w:b w:val="0"/>
          <w:i w:val="0"/>
          <w:color w:val="804000"/>
          <w:highlight w:val="yellow"/>
        </w:rPr>
        <w:t>[■ internal budget-change approval workflow]</w:t>
      </w:r>
      <w:r>
        <w:rPr>
          <w:b w:val="0"/>
          <w:i w:val="0"/>
        </w:rPr>
        <w:t>.</w:t>
      </w:r>
    </w:p>
    <w:p>
      <w:pPr>
        <w:pStyle w:val="Heading1"/>
        <w:spacing w:before="240" w:after="120"/>
      </w:pPr>
      <w:r>
        <w:rPr>
          <w:rFonts w:ascii="Calibri" w:hAnsi="Calibri"/>
          <w:b/>
          <w:color w:val="1F3864"/>
          <w:sz w:val="26"/>
        </w:rPr>
        <w:t>ARTICLE 12.  MATCHING, NONFEDERAL SOURCES, AND PREVENTION OF DUPLICATE FUNDING</w:t>
      </w:r>
    </w:p>
    <w:p>
      <w:pPr>
        <w:pStyle w:val="Heading2"/>
        <w:spacing w:before="160" w:after="60"/>
      </w:pPr>
      <w:r>
        <w:rPr>
          <w:rFonts w:ascii="Calibri" w:hAnsi="Calibri"/>
          <w:b/>
          <w:color w:val="000000"/>
          <w:sz w:val="22"/>
        </w:rPr>
        <w:t>12.1  Matching / Cost Share</w:t>
      </w:r>
    </w:p>
    <w:p>
      <w:r>
        <w:rPr>
          <w:b w:val="0"/>
          <w:i w:val="0"/>
        </w:rPr>
        <w:t xml:space="preserve">Matching or cost-share, if any, </w:t>
      </w:r>
      <w:r>
        <w:rPr>
          <w:b w:val="0"/>
          <w:i w:val="0"/>
          <w:color w:val="804000"/>
          <w:highlight w:val="yellow"/>
        </w:rPr>
        <w:t>[■ match / cost-share requirement — confirm from Award]</w:t>
      </w:r>
      <w:r>
        <w:rPr>
          <w:b w:val="0"/>
          <w:i w:val="0"/>
        </w:rPr>
        <w:t xml:space="preserve"> shall be documented, allowable, and verifiable and shall not be drawn from another federal source except as expressly authorized.</w:t>
      </w:r>
    </w:p>
    <w:p>
      <w:pPr>
        <w:pStyle w:val="Heading2"/>
        <w:spacing w:before="160" w:after="60"/>
      </w:pPr>
      <w:r>
        <w:rPr>
          <w:rFonts w:ascii="Calibri" w:hAnsi="Calibri"/>
          <w:b/>
          <w:color w:val="000000"/>
          <w:sz w:val="22"/>
        </w:rPr>
        <w:t>12.2  No Duplicate Funding</w:t>
      </w:r>
    </w:p>
    <w:p>
      <w:r>
        <w:rPr>
          <w:b w:val="0"/>
          <w:i w:val="0"/>
        </w:rPr>
        <w:t>No cost shall be charged to, or reimbursed by, more than one funding source. Costs, locations, and routes funded by other programs (including other broadband programs) shall be segregated to prevent duplicate funding of the same location or facility. Overlap analysis is maintained in Schedule S3 (Asset Ownership, Funding Source, Federal Interest, and IRU/Network-Rights Register).</w:t>
      </w:r>
    </w:p>
    <w:p>
      <w:pPr>
        <w:ind w:left="504"/>
      </w:pPr>
      <w:r>
        <w:rPr>
          <w:b/>
          <w:color w:val="7F007F"/>
        </w:rPr>
        <w:t xml:space="preserve">[GRANT COMPLIANCE REVIEW REQUIRED]  </w:t>
      </w:r>
      <w:r>
        <w:rPr>
          <w:i/>
          <w:color w:val="595959"/>
        </w:rPr>
        <w:t>Confirm no location/route overlap with any other federal or state broadband award before charging costs; duplicate funding is a disallowance and potential enforcement risk.</w:t>
      </w:r>
    </w:p>
    <w:p>
      <w:pPr>
        <w:pStyle w:val="Heading1"/>
        <w:spacing w:before="240" w:after="120"/>
      </w:pPr>
      <w:r>
        <w:rPr>
          <w:rFonts w:ascii="Calibri" w:hAnsi="Calibri"/>
          <w:b/>
          <w:color w:val="1F3864"/>
          <w:sz w:val="26"/>
        </w:rPr>
        <w:t>ARTICLE 13.  REIMBURSEMENT PACKAGES</w:t>
      </w:r>
    </w:p>
    <w:p>
      <w:pPr>
        <w:pStyle w:val="Heading2"/>
        <w:spacing w:before="160" w:after="60"/>
      </w:pPr>
      <w:r>
        <w:rPr>
          <w:rFonts w:ascii="Calibri" w:hAnsi="Calibri"/>
          <w:b/>
          <w:color w:val="000000"/>
          <w:sz w:val="22"/>
        </w:rPr>
        <w:t>13.1  Package Contents</w:t>
      </w:r>
    </w:p>
    <w:p>
      <w:r>
        <w:rPr>
          <w:b w:val="0"/>
          <w:i w:val="0"/>
        </w:rPr>
        <w:t>Each reimbursement request shall assemble the supporting cost documentation (Article 6), procurement trail (Article 10), timekeeping (Article 7), and cost-code mapping (Article 4) into a reviewable package tied to the approved budget.</w:t>
      </w:r>
    </w:p>
    <w:p>
      <w:pPr>
        <w:pStyle w:val="Heading2"/>
        <w:spacing w:before="160" w:after="60"/>
      </w:pPr>
      <w:r>
        <w:rPr>
          <w:rFonts w:ascii="Calibri" w:hAnsi="Calibri"/>
          <w:b/>
          <w:color w:val="000000"/>
          <w:sz w:val="22"/>
        </w:rPr>
        <w:t>13.2  Review and Certification</w:t>
      </w:r>
    </w:p>
    <w:p>
      <w:r>
        <w:rPr>
          <w:b w:val="0"/>
          <w:i w:val="0"/>
        </w:rPr>
        <w:t xml:space="preserve">The Lumbee Tribe, as recipient, reviews and certifies each package before submission; RIVR Tech provides the underlying support and cooperates in review. Submission cadence: </w:t>
      </w:r>
      <w:r>
        <w:rPr>
          <w:b w:val="0"/>
          <w:i w:val="0"/>
          <w:color w:val="804000"/>
          <w:highlight w:val="yellow"/>
        </w:rPr>
        <w:t>[■ reimbursement submission frequency]</w:t>
      </w:r>
      <w:r>
        <w:rPr>
          <w:b w:val="0"/>
          <w:i w:val="0"/>
        </w:rPr>
        <w:t>.</w:t>
      </w:r>
    </w:p>
    <w:p>
      <w:pPr>
        <w:pStyle w:val="Heading1"/>
        <w:spacing w:before="240" w:after="120"/>
      </w:pPr>
      <w:r>
        <w:rPr>
          <w:rFonts w:ascii="Calibri" w:hAnsi="Calibri"/>
          <w:b/>
          <w:color w:val="1F3864"/>
          <w:sz w:val="26"/>
        </w:rPr>
        <w:t>ARTICLE 14.  CASH MANAGEMENT</w:t>
      </w:r>
    </w:p>
    <w:p>
      <w:pPr>
        <w:pStyle w:val="Heading2"/>
        <w:spacing w:before="160" w:after="60"/>
      </w:pPr>
      <w:r>
        <w:rPr>
          <w:rFonts w:ascii="Calibri" w:hAnsi="Calibri"/>
          <w:b/>
          <w:color w:val="000000"/>
          <w:sz w:val="22"/>
        </w:rPr>
        <w:t>14.1  Minimization of Time</w:t>
      </w:r>
    </w:p>
    <w:p>
      <w:r>
        <w:rPr>
          <w:b w:val="0"/>
          <w:i w:val="0"/>
        </w:rPr>
        <w:t>Cash management follows 2 CFR Part 200 (Uniform Administrative Requirements, Cost Principles, and Audit Requirements for Federal Awards): the time between draw and disbursement is minimized; advance payments, if any, are held and accounted for consistent with the Award.</w:t>
      </w:r>
    </w:p>
    <w:p>
      <w:pPr>
        <w:pStyle w:val="Heading2"/>
        <w:spacing w:before="160" w:after="60"/>
      </w:pPr>
      <w:r>
        <w:rPr>
          <w:rFonts w:ascii="Calibri" w:hAnsi="Calibri"/>
          <w:b/>
          <w:color w:val="000000"/>
          <w:sz w:val="22"/>
        </w:rPr>
        <w:t>14.2  Interest on Advances</w:t>
      </w:r>
    </w:p>
    <w:p>
      <w:r>
        <w:rPr>
          <w:b w:val="0"/>
          <w:i w:val="0"/>
        </w:rPr>
        <w:t>Interest earned on any advanced federal funds is accounted for and remitted or retained only as the Uniform Guidance and the Award permit.</w:t>
      </w:r>
    </w:p>
    <w:p>
      <w:pPr>
        <w:pStyle w:val="Heading1"/>
        <w:spacing w:before="240" w:after="120"/>
      </w:pPr>
      <w:r>
        <w:rPr>
          <w:rFonts w:ascii="Calibri" w:hAnsi="Calibri"/>
          <w:b/>
          <w:color w:val="1F3864"/>
          <w:sz w:val="26"/>
        </w:rPr>
        <w:t>ARTICLE 15.  SEPARATE LEDGERS AND ACCOUNTING SEGREGATION</w:t>
      </w:r>
    </w:p>
    <w:p>
      <w:pPr>
        <w:pStyle w:val="Heading2"/>
        <w:spacing w:before="160" w:after="60"/>
      </w:pPr>
      <w:r>
        <w:rPr>
          <w:rFonts w:ascii="Calibri" w:hAnsi="Calibri"/>
          <w:b/>
          <w:color w:val="000000"/>
          <w:sz w:val="22"/>
        </w:rPr>
        <w:t>15.1  Separate Ledgers</w:t>
      </w:r>
    </w:p>
    <w:p>
      <w:r>
        <w:rPr>
          <w:b w:val="0"/>
          <w:i w:val="0"/>
        </w:rPr>
        <w:t>The project is accounted for in SEPARATE LEDGERS that segregate Award-funded activity, the Grant-Funded Assets, program income, and non-project activity from RIVR Tech's and the Lumbee Tribe's other operations, so that project costs and receipts are identifiable without allocation from commingled accounts.</w:t>
      </w:r>
    </w:p>
    <w:p>
      <w:pPr>
        <w:pStyle w:val="Heading2"/>
        <w:spacing w:before="160" w:after="60"/>
      </w:pPr>
      <w:r>
        <w:rPr>
          <w:rFonts w:ascii="Calibri" w:hAnsi="Calibri"/>
          <w:b/>
          <w:color w:val="000000"/>
          <w:sz w:val="22"/>
        </w:rPr>
        <w:t>15.2  No Commingling</w:t>
      </w:r>
    </w:p>
    <w:p>
      <w:r>
        <w:rPr>
          <w:b w:val="0"/>
          <w:i w:val="0"/>
        </w:rPr>
        <w:t>Award funds and program income shall not be commingled with unrelated funds except as a compliant restricted-account structure permits (Article 18).</w:t>
      </w:r>
    </w:p>
    <w:p>
      <w:pPr>
        <w:pStyle w:val="Heading1"/>
        <w:spacing w:before="240" w:after="120"/>
      </w:pPr>
      <w:r>
        <w:rPr>
          <w:rFonts w:ascii="Calibri" w:hAnsi="Calibri"/>
          <w:b/>
          <w:color w:val="1F3864"/>
          <w:sz w:val="26"/>
        </w:rPr>
        <w:t>ARTICLE 16.  CUSTOMER AND WHOLESALE RECEIPTS</w:t>
      </w:r>
    </w:p>
    <w:p>
      <w:pPr>
        <w:pStyle w:val="Heading2"/>
        <w:spacing w:before="160" w:after="60"/>
      </w:pPr>
      <w:r>
        <w:rPr>
          <w:rFonts w:ascii="Calibri" w:hAnsi="Calibri"/>
          <w:b/>
          <w:color w:val="000000"/>
          <w:sz w:val="22"/>
        </w:rPr>
        <w:t>16.1  Receipt Capture</w:t>
      </w:r>
    </w:p>
    <w:p>
      <w:r>
        <w:rPr>
          <w:b w:val="0"/>
          <w:i w:val="0"/>
        </w:rPr>
        <w:t>All retail customer receipts and any wholesale, transport, or commercial-use receipts arising from the Grant-Funded Assets or the Tribal Network are captured, recorded, and reconciled, and are evaluated for program-income treatment under Article 17. Retail billing detail is maintained under Retail Customer Service, Billing, Collections, and Subscriber Revenue Agreement and Schedule S8 (Subscriber Payment, Revenue, Program Income, Taxes, Fees, Cash Controls, and Audit); commercial/non-project use under Schedule S10 (Approved Commercial Capacity, Non-Project Use, Non-Tribal Customers, Valuation, and Cost Allocation).</w:t>
      </w:r>
    </w:p>
    <w:p>
      <w:pPr>
        <w:pStyle w:val="Heading2"/>
        <w:spacing w:before="160" w:after="60"/>
      </w:pPr>
      <w:r>
        <w:rPr>
          <w:rFonts w:ascii="Calibri" w:hAnsi="Calibri"/>
          <w:b/>
          <w:color w:val="000000"/>
          <w:sz w:val="22"/>
        </w:rPr>
        <w:t>16.2  Per-Active-Subscriber Payment</w:t>
      </w:r>
    </w:p>
    <w:p>
      <w:r>
        <w:rPr>
          <w:b w:val="0"/>
          <w:i w:val="0"/>
        </w:rPr>
        <w:t>The operating payment from RIVR Tech to the Lumbee Tribe is $[X] per Active Subscriber per month, determined by the Active Subscriber methodology in Schedule S8 (Subscriber Payment, Revenue, Program Income, Taxes, Fees, Cash Controls, and Audit); its characterization for program-income purposes is governed by Article 17.</w:t>
      </w:r>
    </w:p>
    <w:p>
      <w:pPr>
        <w:pStyle w:val="Heading1"/>
        <w:spacing w:before="240" w:after="120"/>
      </w:pPr>
      <w:r>
        <w:rPr>
          <w:rFonts w:ascii="Calibri" w:hAnsi="Calibri"/>
          <w:b/>
          <w:color w:val="1F3864"/>
          <w:sz w:val="26"/>
        </w:rPr>
        <w:t>ARTICLE 17.  PROGRAM INCOME</w:t>
      </w:r>
    </w:p>
    <w:p>
      <w:pPr>
        <w:pStyle w:val="Heading2"/>
        <w:spacing w:before="160" w:after="60"/>
      </w:pPr>
      <w:r>
        <w:rPr>
          <w:rFonts w:ascii="Calibri" w:hAnsi="Calibri"/>
          <w:b/>
          <w:color w:val="000000"/>
          <w:sz w:val="22"/>
        </w:rPr>
        <w:t>17.1  Program Income Method</w:t>
      </w:r>
    </w:p>
    <w:p>
      <w:r>
        <w:rPr>
          <w:b w:val="0"/>
          <w:i w:val="0"/>
        </w:rPr>
        <w:t>Program income is identified, recorded, and applied under 2 CFR 200.307 (Program income). characterization is provisional; program-income treatment under 2 CFR 200.307 turns on the controlling Award and written NTIA determination, not the label.</w:t>
      </w:r>
    </w:p>
    <w:p>
      <w:pPr>
        <w:pStyle w:val="Heading2"/>
        <w:spacing w:before="160" w:after="60"/>
      </w:pPr>
      <w:r>
        <w:rPr>
          <w:rFonts w:ascii="Calibri" w:hAnsi="Calibri"/>
          <w:b/>
          <w:color w:val="000000"/>
          <w:sz w:val="22"/>
        </w:rPr>
        <w:t>17.2  Restricted Project Account</w:t>
      </w:r>
    </w:p>
    <w:p>
      <w:r>
        <w:rPr>
          <w:b w:val="0"/>
          <w:i w:val="0"/>
        </w:rPr>
        <w:t>Program income is deposited to, and disbursed from, a restricted project account maintained for the project, and is applied by the method the Award specifies (deduction, addition, or cost-sharing/matching) per 2 CFR 200.307 (Program income).</w:t>
      </w:r>
    </w:p>
    <w:p>
      <w:pPr>
        <w:ind w:left="504"/>
      </w:pPr>
      <w:r>
        <w:rPr>
          <w:b/>
          <w:color w:val="7F007F"/>
        </w:rPr>
        <w:t xml:space="preserve">[GRANT COMPLIANCE REVIEW REQUIRED]  </w:t>
      </w:r>
      <w:r>
        <w:rPr>
          <w:i/>
          <w:color w:val="595959"/>
        </w:rPr>
        <w:t>The program-income METHOD (deduction / addition / cost-sharing) and the treatment of the per-subscriber payment turn on the controlling Award and a written NTIA determination, NOT on the payment's label. Confirm before finalizing.</w:t>
      </w:r>
    </w:p>
    <w:p>
      <w:r>
        <w:rPr>
          <w:b/>
          <w:i w:val="0"/>
        </w:rPr>
        <w:t>Table 17-A — Program-Income Treatment Decision Matrix (provisional):</w:t>
      </w:r>
    </w:p>
    <w:p>
      <w:pPr>
        <w:ind w:left="504"/>
      </w:pPr>
      <w:r>
        <w:rPr>
          <w:b/>
          <w:color w:val="7F007F"/>
        </w:rPr>
        <w:t xml:space="preserve">[GRANT COMPLIANCE REVIEW REQUIRED]  </w:t>
      </w:r>
      <w:r>
        <w:rPr>
          <w:i/>
          <w:color w:val="595959"/>
        </w:rPr>
        <w:t>This matrix is a decision aid only; the controlling method is fixed by the Award and a written NTIA determination under 2 CFR 200.307 (Program income).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736"/>
            <w:shd w:val="clear" w:color="auto" w:fill="1F3864"/>
            <w:vAlign w:val="center"/>
          </w:tcPr>
          <w:p>
            <w:pPr>
              <w:jc w:val="center"/>
            </w:pPr>
            <w:r>
              <w:rPr>
                <w:b/>
                <w:color w:val="FFFFFF"/>
                <w:sz w:val="18"/>
              </w:rPr>
              <w:t>Receipt Type</w:t>
            </w:r>
          </w:p>
        </w:tc>
        <w:tc>
          <w:tcPr>
            <w:tcW w:type="dxa" w:w="3168"/>
            <w:shd w:val="clear" w:color="auto" w:fill="1F3864"/>
            <w:vAlign w:val="center"/>
          </w:tcPr>
          <w:p>
            <w:pPr>
              <w:jc w:val="center"/>
            </w:pPr>
            <w:r>
              <w:rPr>
                <w:b/>
                <w:color w:val="FFFFFF"/>
                <w:sz w:val="18"/>
              </w:rPr>
              <w:t>Likely Characterization</w:t>
            </w:r>
          </w:p>
        </w:tc>
        <w:tc>
          <w:tcPr>
            <w:tcW w:type="dxa" w:w="2448"/>
            <w:shd w:val="clear" w:color="auto" w:fill="1F3864"/>
            <w:vAlign w:val="center"/>
          </w:tcPr>
          <w:p>
            <w:pPr>
              <w:jc w:val="center"/>
            </w:pPr>
            <w:r>
              <w:rPr>
                <w:b/>
                <w:color w:val="FFFFFF"/>
                <w:sz w:val="18"/>
              </w:rPr>
              <w:t>Method Options (Award-controlled)</w:t>
            </w:r>
          </w:p>
        </w:tc>
        <w:tc>
          <w:tcPr>
            <w:tcW w:type="dxa" w:w="1728"/>
            <w:shd w:val="clear" w:color="auto" w:fill="1F3864"/>
            <w:vAlign w:val="center"/>
          </w:tcPr>
          <w:p>
            <w:pPr>
              <w:jc w:val="center"/>
            </w:pPr>
            <w:r>
              <w:rPr>
                <w:b/>
                <w:color w:val="FFFFFF"/>
                <w:sz w:val="18"/>
              </w:rPr>
              <w:t>Restricted Account?</w:t>
            </w:r>
          </w:p>
        </w:tc>
      </w:tr>
      <w:tr>
        <w:tc>
          <w:tcPr>
            <w:tcW w:type="dxa" w:w="2736"/>
            <w:vAlign w:val="center"/>
          </w:tcPr>
          <w:p>
            <w:r>
              <w:rPr>
                <w:b w:val="0"/>
                <w:i w:val="0"/>
                <w:sz w:val="18"/>
              </w:rPr>
              <w:t>Per-Active-Subscriber operating payment ($[X] per Active Subscriber per month)</w:t>
            </w:r>
          </w:p>
        </w:tc>
        <w:tc>
          <w:tcPr>
            <w:tcW w:type="dxa" w:w="3168"/>
            <w:vAlign w:val="center"/>
          </w:tcPr>
          <w:p>
            <w:r>
              <w:rPr>
                <w:b w:val="0"/>
                <w:i w:val="0"/>
                <w:color w:val="804000"/>
                <w:sz w:val="18"/>
                <w:highlight w:val="yellow"/>
              </w:rPr>
              <w:t>[■ program income vs. asset-use consideration — Award-dependent]</w:t>
            </w:r>
          </w:p>
        </w:tc>
        <w:tc>
          <w:tcPr>
            <w:tcW w:type="dxa" w:w="2448"/>
            <w:vAlign w:val="center"/>
          </w:tcPr>
          <w:p>
            <w:r>
              <w:rPr>
                <w:b w:val="0"/>
                <w:i w:val="0"/>
                <w:sz w:val="18"/>
              </w:rPr>
              <w:t>Deduction / Addition / Cost-share</w:t>
            </w:r>
          </w:p>
        </w:tc>
        <w:tc>
          <w:tcPr>
            <w:tcW w:type="dxa" w:w="1728"/>
            <w:vAlign w:val="center"/>
          </w:tcPr>
          <w:p>
            <w:r>
              <w:rPr>
                <w:b w:val="0"/>
                <w:i w:val="0"/>
                <w:sz w:val="18"/>
              </w:rPr>
              <w:t>Yes, pending determination</w:t>
            </w:r>
          </w:p>
        </w:tc>
      </w:tr>
      <w:tr>
        <w:tc>
          <w:tcPr>
            <w:tcW w:type="dxa" w:w="2736"/>
            <w:shd w:val="clear" w:color="auto" w:fill="F2F2F2"/>
            <w:vAlign w:val="center"/>
          </w:tcPr>
          <w:p>
            <w:r>
              <w:rPr>
                <w:b w:val="0"/>
                <w:i w:val="0"/>
                <w:sz w:val="18"/>
              </w:rPr>
              <w:t>Retail broadband subscriber revenue</w:t>
            </w:r>
          </w:p>
        </w:tc>
        <w:tc>
          <w:tcPr>
            <w:tcW w:type="dxa" w:w="3168"/>
            <w:shd w:val="clear" w:color="auto" w:fill="F2F2F2"/>
            <w:vAlign w:val="center"/>
          </w:tcPr>
          <w:p>
            <w:r>
              <w:rPr>
                <w:b w:val="0"/>
                <w:i w:val="0"/>
                <w:color w:val="804000"/>
                <w:sz w:val="18"/>
                <w:highlight w:val="yellow"/>
              </w:rPr>
              <w:t>[■ program income if earned from Grant-Funded Assets — confirm]</w:t>
            </w:r>
          </w:p>
        </w:tc>
        <w:tc>
          <w:tcPr>
            <w:tcW w:type="dxa" w:w="2448"/>
            <w:shd w:val="clear" w:color="auto" w:fill="F2F2F2"/>
            <w:vAlign w:val="center"/>
          </w:tcPr>
          <w:p>
            <w:r>
              <w:rPr>
                <w:b w:val="0"/>
                <w:i w:val="0"/>
                <w:sz w:val="18"/>
              </w:rPr>
              <w:t>Deduction / Addition / Cost-share</w:t>
            </w:r>
          </w:p>
        </w:tc>
        <w:tc>
          <w:tcPr>
            <w:tcW w:type="dxa" w:w="1728"/>
            <w:shd w:val="clear" w:color="auto" w:fill="F2F2F2"/>
            <w:vAlign w:val="center"/>
          </w:tcPr>
          <w:p>
            <w:r>
              <w:rPr>
                <w:b w:val="0"/>
                <w:i w:val="0"/>
                <w:sz w:val="18"/>
              </w:rPr>
              <w:t>Yes, pending determination</w:t>
            </w:r>
          </w:p>
        </w:tc>
      </w:tr>
      <w:tr>
        <w:tc>
          <w:tcPr>
            <w:tcW w:type="dxa" w:w="2736"/>
            <w:vAlign w:val="center"/>
          </w:tcPr>
          <w:p>
            <w:r>
              <w:rPr>
                <w:b w:val="0"/>
                <w:i w:val="0"/>
                <w:sz w:val="18"/>
              </w:rPr>
              <w:t>Wholesale / transport / commercial-use receipts</w:t>
            </w:r>
          </w:p>
        </w:tc>
        <w:tc>
          <w:tcPr>
            <w:tcW w:type="dxa" w:w="3168"/>
            <w:vAlign w:val="center"/>
          </w:tcPr>
          <w:p>
            <w:r>
              <w:rPr>
                <w:b w:val="0"/>
                <w:i w:val="0"/>
                <w:color w:val="804000"/>
                <w:sz w:val="18"/>
                <w:highlight w:val="yellow"/>
              </w:rPr>
              <w:t>[■ program income — confirm scope vs. Schedule S10]</w:t>
            </w:r>
          </w:p>
        </w:tc>
        <w:tc>
          <w:tcPr>
            <w:tcW w:type="dxa" w:w="2448"/>
            <w:vAlign w:val="center"/>
          </w:tcPr>
          <w:p>
            <w:r>
              <w:rPr>
                <w:b w:val="0"/>
                <w:i w:val="0"/>
                <w:sz w:val="18"/>
              </w:rPr>
              <w:t>Deduction / Addition / Cost-share</w:t>
            </w:r>
          </w:p>
        </w:tc>
        <w:tc>
          <w:tcPr>
            <w:tcW w:type="dxa" w:w="1728"/>
            <w:vAlign w:val="center"/>
          </w:tcPr>
          <w:p>
            <w:r>
              <w:rPr>
                <w:b w:val="0"/>
                <w:i w:val="0"/>
                <w:sz w:val="18"/>
              </w:rPr>
              <w:t>Yes, pending determination</w:t>
            </w:r>
          </w:p>
        </w:tc>
      </w:tr>
      <w:tr>
        <w:tc>
          <w:tcPr>
            <w:tcW w:type="dxa" w:w="2736"/>
            <w:shd w:val="clear" w:color="auto" w:fill="F2F2F2"/>
            <w:vAlign w:val="center"/>
          </w:tcPr>
          <w:p>
            <w:r>
              <w:rPr>
                <w:b w:val="0"/>
                <w:i w:val="0"/>
                <w:sz w:val="18"/>
              </w:rPr>
              <w:t>Interest on advanced federal funds</w:t>
            </w:r>
          </w:p>
        </w:tc>
        <w:tc>
          <w:tcPr>
            <w:tcW w:type="dxa" w:w="3168"/>
            <w:shd w:val="clear" w:color="auto" w:fill="F2F2F2"/>
            <w:vAlign w:val="center"/>
          </w:tcPr>
          <w:p>
            <w:r>
              <w:rPr>
                <w:b w:val="0"/>
                <w:i w:val="0"/>
                <w:sz w:val="18"/>
              </w:rPr>
              <w:t>Not program income; remit/retain per Uniform Guidance</w:t>
            </w:r>
          </w:p>
        </w:tc>
        <w:tc>
          <w:tcPr>
            <w:tcW w:type="dxa" w:w="2448"/>
            <w:shd w:val="clear" w:color="auto" w:fill="F2F2F2"/>
            <w:vAlign w:val="center"/>
          </w:tcPr>
          <w:p>
            <w:r>
              <w:rPr>
                <w:b w:val="0"/>
                <w:i w:val="0"/>
                <w:sz w:val="18"/>
              </w:rPr>
              <w:t>Remit or retain per rule</w:t>
            </w:r>
          </w:p>
        </w:tc>
        <w:tc>
          <w:tcPr>
            <w:tcW w:type="dxa" w:w="1728"/>
            <w:shd w:val="clear" w:color="auto" w:fill="F2F2F2"/>
            <w:vAlign w:val="center"/>
          </w:tcPr>
          <w:p>
            <w:r>
              <w:rPr>
                <w:b w:val="0"/>
                <w:i w:val="0"/>
                <w:sz w:val="18"/>
              </w:rPr>
              <w:t>Segregate and account</w:t>
            </w:r>
          </w:p>
        </w:tc>
      </w:tr>
      <w:tr>
        <w:tc>
          <w:tcPr>
            <w:tcW w:type="dxa" w:w="2736"/>
            <w:vAlign w:val="center"/>
          </w:tcPr>
          <w:p>
            <w:r>
              <w:rPr>
                <w:b w:val="0"/>
                <w:i w:val="0"/>
                <w:sz w:val="18"/>
              </w:rPr>
              <w:t>Proceeds of disposition of Federal-Interest property</w:t>
            </w:r>
          </w:p>
        </w:tc>
        <w:tc>
          <w:tcPr>
            <w:tcW w:type="dxa" w:w="3168"/>
            <w:vAlign w:val="center"/>
          </w:tcPr>
          <w:p>
            <w:r>
              <w:rPr>
                <w:b w:val="0"/>
                <w:i w:val="0"/>
                <w:sz w:val="18"/>
              </w:rPr>
              <w:t>Subject to disposition rules, not ordinary program income</w:t>
            </w:r>
          </w:p>
        </w:tc>
        <w:tc>
          <w:tcPr>
            <w:tcW w:type="dxa" w:w="2448"/>
            <w:vAlign w:val="center"/>
          </w:tcPr>
          <w:p>
            <w:r>
              <w:rPr>
                <w:b w:val="0"/>
                <w:i w:val="0"/>
                <w:sz w:val="18"/>
              </w:rPr>
              <w:t>Per 2 CFR 200.344 (Closeout) and 2 CFR 200.345 (Post-closeout adjustments and continuing responsibilities)</w:t>
            </w:r>
          </w:p>
        </w:tc>
        <w:tc>
          <w:tcPr>
            <w:tcW w:type="dxa" w:w="1728"/>
            <w:vAlign w:val="center"/>
          </w:tcPr>
          <w:p>
            <w:r>
              <w:rPr>
                <w:b w:val="0"/>
                <w:i w:val="0"/>
                <w:sz w:val="18"/>
              </w:rPr>
              <w:t>Yes; NTIA/DOC approval</w:t>
            </w:r>
          </w:p>
        </w:tc>
      </w:tr>
    </w:tbl>
    <w:p>
      <w:pPr>
        <w:pStyle w:val="Heading1"/>
        <w:spacing w:before="240" w:after="120"/>
      </w:pPr>
      <w:r>
        <w:rPr>
          <w:rFonts w:ascii="Calibri" w:hAnsi="Calibri"/>
          <w:b/>
          <w:color w:val="1F3864"/>
          <w:sz w:val="26"/>
        </w:rPr>
        <w:t>ARTICLE 18.  RESERVES</w:t>
      </w:r>
    </w:p>
    <w:p>
      <w:pPr>
        <w:pStyle w:val="Heading2"/>
        <w:spacing w:before="160" w:after="60"/>
      </w:pPr>
      <w:r>
        <w:rPr>
          <w:rFonts w:ascii="Calibri" w:hAnsi="Calibri"/>
          <w:b/>
          <w:color w:val="000000"/>
          <w:sz w:val="22"/>
        </w:rPr>
        <w:t>18.1  Lifecycle and Compliance Reserves</w:t>
      </w:r>
    </w:p>
    <w:p>
      <w:r>
        <w:rPr>
          <w:b w:val="0"/>
          <w:i w:val="0"/>
        </w:rPr>
        <w:t xml:space="preserve">Reserves for lifecycle refresh, spares, and continuity are funded and accounted for as </w:t>
      </w:r>
      <w:r>
        <w:rPr>
          <w:b w:val="0"/>
          <w:i w:val="0"/>
          <w:color w:val="804000"/>
          <w:highlight w:val="yellow"/>
        </w:rPr>
        <w:t>[■ reserve funding source and amount]</w:t>
      </w:r>
      <w:r>
        <w:rPr>
          <w:b w:val="0"/>
          <w:i w:val="0"/>
        </w:rPr>
        <w:t>; a reserve funded from program income remains subject to 2 CFR 200.307 (Program income) and the Award.</w:t>
      </w:r>
    </w:p>
    <w:p>
      <w:pPr>
        <w:ind w:left="504"/>
      </w:pPr>
      <w:r>
        <w:rPr>
          <w:b/>
          <w:color w:val="7F007F"/>
        </w:rPr>
        <w:t xml:space="preserve">[GRANT COMPLIANCE REVIEW REQUIRED]  </w:t>
      </w:r>
      <w:r>
        <w:rPr>
          <w:i/>
          <w:color w:val="595959"/>
        </w:rPr>
        <w:t>Whether a reserve may be funded from program income or the Award, and how it is treated at closeout, requires Award confirmation.</w:t>
      </w:r>
    </w:p>
    <w:p>
      <w:pPr>
        <w:pStyle w:val="Heading1"/>
        <w:spacing w:before="240" w:after="120"/>
      </w:pPr>
      <w:r>
        <w:rPr>
          <w:rFonts w:ascii="Calibri" w:hAnsi="Calibri"/>
          <w:b/>
          <w:color w:val="1F3864"/>
          <w:sz w:val="26"/>
        </w:rPr>
        <w:t>ARTICLE 19.  FEDERAL INTEREST</w:t>
      </w:r>
    </w:p>
    <w:p>
      <w:pPr>
        <w:pStyle w:val="Heading2"/>
        <w:spacing w:before="160" w:after="60"/>
      </w:pPr>
      <w:r>
        <w:rPr>
          <w:rFonts w:ascii="Calibri" w:hAnsi="Calibri"/>
          <w:b/>
          <w:color w:val="000000"/>
          <w:sz w:val="22"/>
        </w:rPr>
        <w:t>19.1  Federal Interest Attaches</w:t>
      </w:r>
    </w:p>
    <w:p>
      <w:r>
        <w:rPr>
          <w:b w:val="0"/>
          <w:i w:val="0"/>
        </w:rPr>
        <w:t>A Federal Interest attaches to real property and equipment acquired or improved with Award funds under 2 CFR 200.311 (Real property — use, encumbrance, and disposition) and 2 CFR 200.313 (Equipment — use, management, and disposition), and continues for the period the Award and Uniform Guidance require.</w:t>
      </w:r>
    </w:p>
    <w:p>
      <w:pPr>
        <w:pStyle w:val="Heading2"/>
        <w:spacing w:before="160" w:after="60"/>
      </w:pPr>
      <w:r>
        <w:rPr>
          <w:rFonts w:ascii="Calibri" w:hAnsi="Calibri"/>
          <w:b/>
          <w:color w:val="000000"/>
          <w:sz w:val="22"/>
        </w:rPr>
        <w:t>19.2  Property Trust Relationship</w:t>
      </w:r>
    </w:p>
    <w:p>
      <w:r>
        <w:rPr>
          <w:b w:val="0"/>
          <w:i w:val="0"/>
        </w:rPr>
        <w:t>The Lumbee Tribe holds Award-funded real property and equipment in trust for the beneficiaries of the Award under 2 CFR 200.316 (Property trust relationship); use, encumbrance, and disposition are restricted under 2 CFR 200.311 (Real property — use, encumbrance, and disposition).</w:t>
      </w:r>
    </w:p>
    <w:p>
      <w:pPr>
        <w:pStyle w:val="Heading2"/>
        <w:spacing w:before="160" w:after="60"/>
      </w:pPr>
      <w:r>
        <w:rPr>
          <w:rFonts w:ascii="Calibri" w:hAnsi="Calibri"/>
          <w:b/>
          <w:color w:val="000000"/>
          <w:sz w:val="22"/>
        </w:rPr>
        <w:t>19.3  No Liens Against Federal-Interest or Trust/Restricted Property</w:t>
      </w:r>
    </w:p>
    <w:p>
      <w:r>
        <w:rPr>
          <w:b w:val="0"/>
          <w:i w:val="0"/>
        </w:rPr>
        <w:t>No lien, security interest, mortgage, foreclosure, attachment, levy, or execution shall be created against, or enforced upon, property subject to the Federal Interest, or against trust or restricted property, except as the Award, the Uniform Guidance, and applicable federal law expressly permit. Any purported encumbrance in violation of this Section is void.</w:t>
      </w:r>
    </w:p>
    <w:p>
      <w:pPr>
        <w:ind w:left="504"/>
      </w:pPr>
      <w:r>
        <w:rPr>
          <w:b/>
          <w:color w:val="7F007F"/>
        </w:rPr>
        <w:t xml:space="preserve">[GRANT COMPLIANCE REVIEW REQUIRED]  </w:t>
      </w:r>
      <w:r>
        <w:rPr>
          <w:i/>
          <w:color w:val="595959"/>
        </w:rPr>
        <w:t>Disposition, sale, or encumbrance of Federal-Interest property requires prior NTIA/DOC approval; see 2 CFR 200.311 (Real property — use, encumbrance, and disposition) and 2 CFR 200.344 (Closeout) and 2 CFR 200.345 (Post-closeout adjustments and continuing responsibilities).</w:t>
      </w:r>
    </w:p>
    <w:p>
      <w:pPr>
        <w:pStyle w:val="Heading1"/>
        <w:spacing w:before="240" w:after="120"/>
      </w:pPr>
      <w:r>
        <w:rPr>
          <w:rFonts w:ascii="Calibri" w:hAnsi="Calibri"/>
          <w:b/>
          <w:color w:val="1F3864"/>
          <w:sz w:val="26"/>
        </w:rPr>
        <w:t>ARTICLE 20.  RECORDS RETENTION</w:t>
      </w:r>
    </w:p>
    <w:p>
      <w:pPr>
        <w:pStyle w:val="Heading2"/>
        <w:spacing w:before="160" w:after="60"/>
      </w:pPr>
      <w:r>
        <w:rPr>
          <w:rFonts w:ascii="Calibri" w:hAnsi="Calibri"/>
          <w:b/>
          <w:color w:val="000000"/>
          <w:sz w:val="22"/>
        </w:rPr>
        <w:t>20.1  Three-Year Retention</w:t>
      </w:r>
    </w:p>
    <w:p>
      <w:r>
        <w:rPr>
          <w:b w:val="0"/>
          <w:i w:val="0"/>
        </w:rPr>
        <w:t>Financial and programmatic records are retained for 3 years measured as 2 CFR 200.334–200.337 (Record retention and access; three-year retention) requires (generally from submission of the final expenditure report), and longer if litigation, claim, or audit is pending.</w:t>
      </w:r>
    </w:p>
    <w:p>
      <w:pPr>
        <w:pStyle w:val="Heading2"/>
        <w:spacing w:before="160" w:after="60"/>
      </w:pPr>
      <w:r>
        <w:rPr>
          <w:rFonts w:ascii="Calibri" w:hAnsi="Calibri"/>
          <w:b/>
          <w:color w:val="000000"/>
          <w:sz w:val="22"/>
        </w:rPr>
        <w:t>20.2  Form and Integrity</w:t>
      </w:r>
    </w:p>
    <w:p>
      <w:r>
        <w:rPr>
          <w:b w:val="0"/>
          <w:i w:val="0"/>
        </w:rPr>
        <w:t>Records are maintained in a form that preserves integrity, auditability, and retrievability for the full retention period.</w:t>
      </w:r>
    </w:p>
    <w:p>
      <w:pPr>
        <w:pStyle w:val="Heading1"/>
        <w:spacing w:before="240" w:after="120"/>
      </w:pPr>
      <w:r>
        <w:rPr>
          <w:rFonts w:ascii="Calibri" w:hAnsi="Calibri"/>
          <w:b/>
          <w:color w:val="1F3864"/>
          <w:sz w:val="26"/>
        </w:rPr>
        <w:t>ARTICLE 21.  SITE AND RECORD ACCESS</w:t>
      </w:r>
    </w:p>
    <w:p>
      <w:pPr>
        <w:pStyle w:val="Heading2"/>
        <w:spacing w:before="160" w:after="60"/>
      </w:pPr>
      <w:r>
        <w:rPr>
          <w:rFonts w:ascii="Calibri" w:hAnsi="Calibri"/>
          <w:b/>
          <w:color w:val="000000"/>
          <w:sz w:val="22"/>
        </w:rPr>
        <w:t>21.1  Access Rights</w:t>
      </w:r>
    </w:p>
    <w:p>
      <w:r>
        <w:rPr>
          <w:b w:val="0"/>
          <w:i w:val="0"/>
        </w:rPr>
        <w:t>The Lumbee Tribe, NTIA, DOC, the Inspector General, the Comptroller General, and their authorized representatives shall have timely access to project sites, records, and personnel for examination, audit, and copying under 2 CFR 200.334–200.337 (Record retention and access; three-year retention).</w:t>
      </w:r>
    </w:p>
    <w:p>
      <w:pPr>
        <w:pStyle w:val="Heading2"/>
        <w:spacing w:before="160" w:after="60"/>
      </w:pPr>
      <w:r>
        <w:rPr>
          <w:rFonts w:ascii="Calibri" w:hAnsi="Calibri"/>
          <w:b/>
          <w:color w:val="000000"/>
          <w:sz w:val="22"/>
        </w:rPr>
        <w:t>21.2  Notice</w:t>
      </w:r>
    </w:p>
    <w:p>
      <w:r>
        <w:rPr>
          <w:b w:val="0"/>
          <w:i w:val="0"/>
        </w:rPr>
        <w:t>Routine access is on 10 business days' notice; federal-oversight access is on the notice the Uniform Guidance and the Award require, and emergency or fraud-related access is immediate.</w:t>
      </w:r>
    </w:p>
    <w:p>
      <w:pPr>
        <w:pStyle w:val="Heading1"/>
        <w:spacing w:before="240" w:after="120"/>
      </w:pPr>
      <w:r>
        <w:rPr>
          <w:rFonts w:ascii="Calibri" w:hAnsi="Calibri"/>
          <w:b/>
          <w:color w:val="1F3864"/>
          <w:sz w:val="26"/>
        </w:rPr>
        <w:t>ARTICLE 22.  SINGLE AUDIT</w:t>
      </w:r>
    </w:p>
    <w:p>
      <w:pPr>
        <w:pStyle w:val="Heading2"/>
        <w:spacing w:before="160" w:after="60"/>
      </w:pPr>
      <w:r>
        <w:rPr>
          <w:rFonts w:ascii="Calibri" w:hAnsi="Calibri"/>
          <w:b/>
          <w:color w:val="000000"/>
          <w:sz w:val="22"/>
        </w:rPr>
        <w:t>22.1  Subpart F Audit</w:t>
      </w:r>
    </w:p>
    <w:p>
      <w:r>
        <w:rPr>
          <w:b w:val="0"/>
          <w:i w:val="0"/>
        </w:rPr>
        <w:t>If the Lumbee Tribe expends $1,000,000 or more in federal awards in a fiscal year, a single or program-specific audit is obtained under 2 CFR Part 200, Subpart F (Audit Requirements; single-audit threshold $1,000,000).</w:t>
      </w:r>
    </w:p>
    <w:p>
      <w:pPr>
        <w:pStyle w:val="Heading2"/>
        <w:spacing w:before="160" w:after="60"/>
      </w:pPr>
      <w:r>
        <w:rPr>
          <w:rFonts w:ascii="Calibri" w:hAnsi="Calibri"/>
          <w:b/>
          <w:color w:val="000000"/>
          <w:sz w:val="22"/>
        </w:rPr>
        <w:t>22.2  Cooperation and Findings</w:t>
      </w:r>
    </w:p>
    <w:p>
      <w:r>
        <w:rPr>
          <w:b w:val="0"/>
          <w:i w:val="0"/>
        </w:rPr>
        <w:t>RIVR Tech cooperates with the audit and supplies underlying records; audit findings, corrective action plans, and the summary schedule of prior audit findings are tracked to resolution.</w:t>
      </w:r>
    </w:p>
    <w:p>
      <w:pPr>
        <w:ind w:left="504"/>
      </w:pPr>
      <w:r>
        <w:rPr>
          <w:b/>
          <w:color w:val="7F007F"/>
        </w:rPr>
        <w:t xml:space="preserve">[GRANT COMPLIANCE REVIEW REQUIRED]  </w:t>
      </w:r>
      <w:r>
        <w:rPr>
          <w:i/>
          <w:color w:val="595959"/>
        </w:rPr>
        <w:t>Confirm the single-audit threshold and applicability once total federal expenditures are known; see 2 CFR Part 200, Subpart F (Audit Requirements; single-audit threshold $1,000,000).</w:t>
      </w:r>
    </w:p>
    <w:p>
      <w:pPr>
        <w:pStyle w:val="Heading1"/>
        <w:spacing w:before="240" w:after="120"/>
      </w:pPr>
      <w:r>
        <w:rPr>
          <w:rFonts w:ascii="Calibri" w:hAnsi="Calibri"/>
          <w:b/>
          <w:color w:val="1F3864"/>
          <w:sz w:val="26"/>
        </w:rPr>
        <w:t>ARTICLE 23.  FINANCIAL AND PERFORMANCE REPORTING</w:t>
      </w:r>
    </w:p>
    <w:p>
      <w:pPr>
        <w:pStyle w:val="Heading2"/>
        <w:spacing w:before="160" w:after="60"/>
      </w:pPr>
      <w:r>
        <w:rPr>
          <w:rFonts w:ascii="Calibri" w:hAnsi="Calibri"/>
          <w:b/>
          <w:color w:val="000000"/>
          <w:sz w:val="22"/>
        </w:rPr>
        <w:t>23.1  Reports</w:t>
      </w:r>
    </w:p>
    <w:p>
      <w:r>
        <w:rPr>
          <w:b w:val="0"/>
          <w:i w:val="0"/>
        </w:rPr>
        <w:t xml:space="preserve">Financial and performance reports are prepared and submitted on the cadence and forms the Award and NTIA/DOC require: </w:t>
      </w:r>
      <w:r>
        <w:rPr>
          <w:b w:val="0"/>
          <w:i w:val="0"/>
          <w:color w:val="804000"/>
          <w:highlight w:val="yellow"/>
        </w:rPr>
        <w:t>[■ reporting cadence and forms — per Award]</w:t>
      </w:r>
      <w:r>
        <w:rPr>
          <w:b w:val="0"/>
          <w:i w:val="0"/>
        </w:rPr>
        <w:t>.</w:t>
      </w:r>
    </w:p>
    <w:p>
      <w:pPr>
        <w:pStyle w:val="Heading2"/>
        <w:spacing w:before="160" w:after="60"/>
      </w:pPr>
      <w:r>
        <w:rPr>
          <w:rFonts w:ascii="Calibri" w:hAnsi="Calibri"/>
          <w:b/>
          <w:color w:val="000000"/>
          <w:sz w:val="22"/>
        </w:rPr>
        <w:t>23.2  Supporting Data</w:t>
      </w:r>
    </w:p>
    <w:p>
      <w:r>
        <w:rPr>
          <w:b w:val="0"/>
          <w:i w:val="0"/>
        </w:rPr>
        <w:t>RIVR Tech timely provides subscriber counts, receipts, cost data, and deployment metrics needed for reporting, reconciled to the separate ledgers.</w:t>
      </w:r>
    </w:p>
    <w:p>
      <w:pPr>
        <w:pStyle w:val="Heading1"/>
        <w:spacing w:before="240" w:after="120"/>
      </w:pPr>
      <w:r>
        <w:rPr>
          <w:rFonts w:ascii="Calibri" w:hAnsi="Calibri"/>
          <w:b/>
          <w:color w:val="1F3864"/>
          <w:sz w:val="26"/>
        </w:rPr>
        <w:t>ARTICLE 24.  CERTIFICATIONS</w:t>
      </w:r>
    </w:p>
    <w:p>
      <w:pPr>
        <w:pStyle w:val="Heading2"/>
        <w:spacing w:before="160" w:after="60"/>
      </w:pPr>
      <w:r>
        <w:rPr>
          <w:rFonts w:ascii="Calibri" w:hAnsi="Calibri"/>
          <w:b/>
          <w:color w:val="000000"/>
          <w:sz w:val="22"/>
        </w:rPr>
        <w:t>24.1  Cost Certifications</w:t>
      </w:r>
    </w:p>
    <w:p>
      <w:r>
        <w:rPr>
          <w:b w:val="0"/>
          <w:i w:val="0"/>
        </w:rPr>
        <w:t>Each reimbursement request and financial report is certified by a responsible official as to accuracy, allowability, and compliance, subject to the civil and criminal penalties for false claims.</w:t>
      </w:r>
    </w:p>
    <w:p>
      <w:pPr>
        <w:pStyle w:val="Heading2"/>
        <w:spacing w:before="160" w:after="60"/>
      </w:pPr>
      <w:r>
        <w:rPr>
          <w:rFonts w:ascii="Calibri" w:hAnsi="Calibri"/>
          <w:b/>
          <w:color w:val="000000"/>
          <w:sz w:val="22"/>
        </w:rPr>
        <w:t>24.2  Mandatory Disclosures and Debarment</w:t>
      </w:r>
    </w:p>
    <w:p>
      <w:r>
        <w:rPr>
          <w:b w:val="0"/>
          <w:i w:val="0"/>
        </w:rPr>
        <w:t>The Parties comply with mandatory-disclosure obligations (2 CFR 200.113 (Mandatory disclosures)) and debarment/suspension requirements (2 CFR Part 180 and 2 CFR Part 1327 (Governmentwide debarment and suspension — DOC/NTIA adoption)), and certify no excluded party is used.</w:t>
      </w:r>
    </w:p>
    <w:p>
      <w:pPr>
        <w:pStyle w:val="Heading1"/>
        <w:spacing w:before="240" w:after="120"/>
      </w:pPr>
      <w:r>
        <w:rPr>
          <w:rFonts w:ascii="Calibri" w:hAnsi="Calibri"/>
          <w:b/>
          <w:color w:val="1F3864"/>
          <w:sz w:val="26"/>
        </w:rPr>
        <w:t>ARTICLE 25.  DISALLOWED COSTS AND REPAYMENT RESPONSIBILITY</w:t>
      </w:r>
    </w:p>
    <w:p>
      <w:pPr>
        <w:pStyle w:val="Heading2"/>
        <w:spacing w:before="160" w:after="60"/>
      </w:pPr>
      <w:r>
        <w:rPr>
          <w:rFonts w:ascii="Calibri" w:hAnsi="Calibri"/>
          <w:b/>
          <w:color w:val="000000"/>
          <w:sz w:val="22"/>
        </w:rPr>
        <w:t>25.1  Repayment Follows Cause</w:t>
      </w:r>
    </w:p>
    <w:p>
      <w:r>
        <w:rPr>
          <w:b w:val="0"/>
          <w:i w:val="0"/>
        </w:rPr>
        <w:t>Responsibility for a disallowed cost, questioned cost, or required repayment follows the CAUSE of the disallowance: the Party (or its contractor or subcontractor) whose act, omission, misrepresentation, or noncompliance caused the disallowance bears the resulting cost, as between the Parties.</w:t>
      </w:r>
    </w:p>
    <w:p>
      <w:pPr>
        <w:pStyle w:val="Heading2"/>
        <w:spacing w:before="160" w:after="60"/>
      </w:pPr>
      <w:r>
        <w:rPr>
          <w:rFonts w:ascii="Calibri" w:hAnsi="Calibri"/>
          <w:b/>
          <w:color w:val="000000"/>
          <w:sz w:val="22"/>
        </w:rPr>
        <w:t>25.2  Notice and Response Before Allocation</w:t>
      </w:r>
    </w:p>
    <w:p>
      <w:r>
        <w:rPr>
          <w:b w:val="0"/>
          <w:i w:val="0"/>
        </w:rPr>
        <w:t>Before any repayment responsibility is allocated between the Parties, the Party to be charged receives written notice describing the disallowance and its asserted cause and a reasonable opportunity (not less than 60 days) to respond, cure, or contest, and to participate in any response to NTIA/DOC.</w:t>
      </w:r>
    </w:p>
    <w:p>
      <w:pPr>
        <w:pStyle w:val="Heading2"/>
        <w:spacing w:before="160" w:after="60"/>
      </w:pPr>
      <w:r>
        <w:rPr>
          <w:rFonts w:ascii="Calibri" w:hAnsi="Calibri"/>
          <w:b/>
          <w:color w:val="000000"/>
          <w:sz w:val="22"/>
        </w:rPr>
        <w:t>25.3  Recipient Obligation to the Government</w:t>
      </w:r>
    </w:p>
    <w:p>
      <w:r>
        <w:rPr>
          <w:b w:val="0"/>
          <w:i w:val="0"/>
        </w:rPr>
        <w:t>As between the Parties and the government, the Lumbee Tribe remains the recipient responsible to NTIA/DOC; this Article allocates the economic burden between the Parties and does not limit the government's remedies under 2 CFR 200.339–200.343 (Remedies for noncompliance; termination).</w:t>
      </w:r>
    </w:p>
    <w:p>
      <w:pPr>
        <w:ind w:left="504"/>
      </w:pPr>
      <w:r>
        <w:rPr>
          <w:b/>
          <w:color w:val="0000C0"/>
        </w:rPr>
        <w:t xml:space="preserve">[ATTORNEY REVIEW REQUIRED]  </w:t>
      </w:r>
      <w:r>
        <w:rPr>
          <w:i/>
          <w:color w:val="595959"/>
        </w:rPr>
        <w:t>Cause-based allocation, caps, and interplay with indemnity and limitation of liability require counsel review and coordination with Schedule S12.</w:t>
      </w:r>
    </w:p>
    <w:p>
      <w:pPr>
        <w:pStyle w:val="Heading1"/>
        <w:spacing w:before="240" w:after="120"/>
      </w:pPr>
      <w:r>
        <w:rPr>
          <w:rFonts w:ascii="Calibri" w:hAnsi="Calibri"/>
          <w:b/>
          <w:color w:val="1F3864"/>
          <w:sz w:val="26"/>
        </w:rPr>
        <w:t>ARTICLE 26.  CLOSEOUT</w:t>
      </w:r>
    </w:p>
    <w:p>
      <w:pPr>
        <w:pStyle w:val="Heading2"/>
        <w:spacing w:before="160" w:after="60"/>
      </w:pPr>
      <w:r>
        <w:rPr>
          <w:rFonts w:ascii="Calibri" w:hAnsi="Calibri"/>
          <w:b/>
          <w:color w:val="000000"/>
          <w:sz w:val="22"/>
        </w:rPr>
        <w:t>26.1  Closeout Actions</w:t>
      </w:r>
    </w:p>
    <w:p>
      <w:r>
        <w:rPr>
          <w:b w:val="0"/>
          <w:i w:val="0"/>
        </w:rPr>
        <w:t>At project end, the Parties complete closeout under 2 CFR 200.344 (Closeout) and 2 CFR 200.345 (Post-closeout adjustments and continuing responsibilities), including final reports, liquidation of obligations, refund of unobligated balances, and final program-income accounting.</w:t>
      </w:r>
    </w:p>
    <w:p>
      <w:pPr>
        <w:pStyle w:val="Heading2"/>
        <w:spacing w:before="160" w:after="60"/>
      </w:pPr>
      <w:r>
        <w:rPr>
          <w:rFonts w:ascii="Calibri" w:hAnsi="Calibri"/>
          <w:b/>
          <w:color w:val="000000"/>
          <w:sz w:val="22"/>
        </w:rPr>
        <w:t>26.2  Property Disposition</w:t>
      </w:r>
    </w:p>
    <w:p>
      <w:r>
        <w:rPr>
          <w:b w:val="0"/>
          <w:i w:val="0"/>
        </w:rPr>
        <w:t>Disposition of Federal-Interest equipment and real property at closeout follows 2 CFR 200.313 (Equipment — use, management, and disposition) and 2 CFR 200.311 (Real property — use, encumbrance, and disposition) and requires any NTIA/DOC approval the Award specifies.</w:t>
      </w:r>
    </w:p>
    <w:p>
      <w:pPr>
        <w:pStyle w:val="Heading1"/>
        <w:spacing w:before="240" w:after="120"/>
      </w:pPr>
      <w:r>
        <w:rPr>
          <w:rFonts w:ascii="Calibri" w:hAnsi="Calibri"/>
          <w:b/>
          <w:color w:val="1F3864"/>
          <w:sz w:val="26"/>
        </w:rPr>
        <w:t>ARTICLE 27.  POST-CLOSEOUT OBLIGATIONS</w:t>
      </w:r>
    </w:p>
    <w:p>
      <w:pPr>
        <w:pStyle w:val="Heading2"/>
        <w:spacing w:before="160" w:after="60"/>
      </w:pPr>
      <w:r>
        <w:rPr>
          <w:rFonts w:ascii="Calibri" w:hAnsi="Calibri"/>
          <w:b/>
          <w:color w:val="000000"/>
          <w:sz w:val="22"/>
        </w:rPr>
        <w:t>27.1  Continuing Responsibilities</w:t>
      </w:r>
    </w:p>
    <w:p>
      <w:r>
        <w:rPr>
          <w:b w:val="0"/>
          <w:i w:val="0"/>
        </w:rPr>
        <w:t>After closeout, the Parties remain subject to post-closeout adjustments, continuing property and Federal-Interest restrictions, records retention, audit, and repayment obligations under 2 CFR 200.344 (Closeout) and 2 CFR 200.345 (Post-closeout adjustments and continuing responsibilities) for so long as the Uniform Guidance and the Award require.</w:t>
      </w:r>
    </w:p>
    <w:p>
      <w:pPr>
        <w:pStyle w:val="Heading1"/>
        <w:spacing w:before="240" w:after="120"/>
      </w:pPr>
      <w:r>
        <w:rPr>
          <w:rFonts w:ascii="Calibri" w:hAnsi="Calibri"/>
          <w:b/>
          <w:color w:val="1F3864"/>
          <w:sz w:val="26"/>
        </w:rPr>
        <w:t>ARTICLE 28.  CONTRACTOR-VS-SUBRECIPIENT TREATMENT</w:t>
      </w:r>
    </w:p>
    <w:p>
      <w:pPr>
        <w:pStyle w:val="Heading2"/>
        <w:spacing w:before="160" w:after="60"/>
      </w:pPr>
      <w:r>
        <w:rPr>
          <w:rFonts w:ascii="Calibri" w:hAnsi="Calibri"/>
          <w:b/>
          <w:color w:val="000000"/>
          <w:sz w:val="22"/>
        </w:rPr>
        <w:t>28.1  Determination Cross-Reference</w:t>
      </w:r>
    </w:p>
    <w:p>
      <w:r>
        <w:rPr>
          <w:b w:val="0"/>
          <w:i w:val="0"/>
        </w:rPr>
        <w:t>Whether RIVR Tech's role is that of a contractor or a subrecipient is determined under 2 CFR 200.331 (Subrecipient and contractor determinations) and documented in the Phase 1 Diligence subrecipient-vs-contractor determination (01 — Phase 1 Diligence). This Agreement's financial mechanics apply consistent with that determination.</w:t>
      </w:r>
    </w:p>
    <w:p>
      <w:pPr>
        <w:pStyle w:val="Heading2"/>
        <w:spacing w:before="160" w:after="60"/>
      </w:pPr>
      <w:r>
        <w:rPr>
          <w:rFonts w:ascii="Calibri" w:hAnsi="Calibri"/>
          <w:b/>
          <w:color w:val="000000"/>
          <w:sz w:val="22"/>
        </w:rPr>
        <w:t>28.2  Pass-Through Requirements If Subrecipient</w:t>
      </w:r>
    </w:p>
    <w:p>
      <w:r>
        <w:rPr>
          <w:b w:val="0"/>
          <w:i w:val="0"/>
        </w:rPr>
        <w:t>If, and to the extent, RIVR Tech is a subrecipient, the Lumbee Tribe as pass-through entity imposes and monitors the requirements of 2 CFR 200.332 (Requirements for pass-through entities), including a subaward agreement, risk assessment, and subrecipient monitoring.</w:t>
      </w:r>
    </w:p>
    <w:p>
      <w:pPr>
        <w:ind w:left="504"/>
      </w:pPr>
      <w:r>
        <w:rPr>
          <w:b/>
          <w:color w:val="7F007F"/>
        </w:rPr>
        <w:t xml:space="preserve">[GRANT COMPLIANCE REVIEW REQUIRED]  </w:t>
      </w:r>
      <w:r>
        <w:rPr>
          <w:i/>
          <w:color w:val="595959"/>
        </w:rPr>
        <w:t>The contractor-vs-subrecipient determination materially changes flow-down, monitoring, and audit obligations; confirm the Phase 1 determination before finalizing.</w:t>
      </w:r>
    </w:p>
    <w:p>
      <w:pPr>
        <w:pStyle w:val="Heading1"/>
        <w:spacing w:before="240" w:after="120"/>
      </w:pPr>
      <w:r>
        <w:rPr>
          <w:rFonts w:ascii="Calibri" w:hAnsi="Calibri"/>
          <w:b/>
          <w:color w:val="1F3864"/>
          <w:sz w:val="26"/>
        </w:rPr>
        <w:t>ARTICLE 29.  EXECUTION</w:t>
      </w:r>
    </w:p>
    <w:p>
      <w:r>
        <w:rPr>
          <w:b w:val="0"/>
          <w:i w:val="0"/>
        </w:rPr>
        <w:t>This Agreement is between the Lumbee Tribe and RIVR Tech. LREMC is not a party; its separate consent and joinder, where relevant to the LREMC Facilities, are given under the LREMC Consent and Joinder (03 — Governance and Authorizations).</w:t>
      </w:r>
    </w:p>
    <w:p/>
    <w:p>
      <w:r>
        <w:rPr>
          <w:i/>
        </w:rPr>
        <w:t>IN WITNESS WHEREOF, the Parties have caused this instrument to be executed by their duly authorized representatives as of the Effective Date.</w:t>
      </w:r>
    </w:p>
    <w:p/>
    <w:p>
      <w:r>
        <w:rPr>
          <w:b/>
          <w:color w:val="1F3864"/>
        </w:rPr>
        <w:t>Lumbee Tribe of North Carolina</w:t>
      </w:r>
    </w:p>
    <w:p>
      <w:pPr>
        <w:ind w:left="360"/>
      </w:pPr>
      <w:r>
        <w:rPr>
          <w:b/>
        </w:rPr>
        <w:t xml:space="preserve">By:  </w:t>
      </w:r>
      <w:r>
        <w:rPr>
          <w:b w:val="0"/>
          <w:i w:val="0"/>
        </w:rPr>
        <w:t>____________________________________</w:t>
      </w:r>
    </w:p>
    <w:p>
      <w:pPr>
        <w:ind w:left="360"/>
      </w:pPr>
      <w:r>
        <w:rPr>
          <w:b/>
        </w:rPr>
        <w:t xml:space="preserve">Name:  </w:t>
      </w:r>
      <w:r>
        <w:rPr>
          <w:b w:val="0"/>
          <w:i w:val="0"/>
          <w:color w:val="804000"/>
          <w:highlight w:val="yellow"/>
        </w:rPr>
        <w:t>[■ authorized Tribal signatory]</w:t>
      </w:r>
    </w:p>
    <w:p>
      <w:pPr>
        <w:ind w:left="360"/>
      </w:pPr>
      <w:r>
        <w:rPr>
          <w:b/>
        </w:rPr>
        <w:t xml:space="preserve">Title:  </w:t>
      </w:r>
      <w:r>
        <w:rPr>
          <w:b w:val="0"/>
          <w:i w:val="0"/>
          <w:color w:val="804000"/>
          <w:highlight w:val="yellow"/>
        </w:rPr>
        <w:t>[■ e.g., Chairman, Lumbee Tribal Council / Tribal Administrator]</w:t>
      </w:r>
    </w:p>
    <w:p>
      <w:pPr>
        <w:ind w:left="360"/>
      </w:pPr>
      <w:r>
        <w:rPr>
          <w:b/>
        </w:rPr>
        <w:t xml:space="preserve">Date:  </w:t>
      </w:r>
      <w:r>
        <w:rPr>
          <w:b w:val="0"/>
          <w:i w:val="0"/>
        </w:rPr>
        <w:t>____________________________________</w:t>
      </w:r>
    </w:p>
    <w:p/>
    <w:p>
      <w:r>
        <w:rPr>
          <w:b/>
          <w:color w:val="1F3864"/>
        </w:rPr>
        <w:t>LREMC Technologies, LLC d/b/a RIVR Tech</w:t>
      </w:r>
    </w:p>
    <w:p>
      <w:pPr>
        <w:ind w:left="360"/>
      </w:pPr>
      <w:r>
        <w:rPr>
          <w:b/>
        </w:rPr>
        <w:t xml:space="preserve">By:  </w:t>
      </w:r>
      <w:r>
        <w:rPr>
          <w:b w:val="0"/>
          <w:i w:val="0"/>
        </w:rPr>
        <w:t>____________________________________</w:t>
      </w:r>
    </w:p>
    <w:p>
      <w:pPr>
        <w:ind w:left="360"/>
      </w:pPr>
      <w:r>
        <w:rPr>
          <w:b/>
        </w:rPr>
        <w:t xml:space="preserve">Name:  </w:t>
      </w:r>
      <w:r>
        <w:rPr>
          <w:b w:val="0"/>
          <w:i w:val="0"/>
          <w:color w:val="804000"/>
          <w:highlight w:val="yellow"/>
        </w:rPr>
        <w:t>[■ authorized RIVR Tech signatory]</w:t>
      </w:r>
    </w:p>
    <w:p>
      <w:pPr>
        <w:ind w:left="360"/>
      </w:pPr>
      <w:r>
        <w:rPr>
          <w:b/>
        </w:rPr>
        <w:t xml:space="preserve">Title:  </w:t>
      </w:r>
      <w:r>
        <w:rPr>
          <w:b w:val="0"/>
          <w:i w:val="0"/>
          <w:color w:val="804000"/>
          <w:highlight w:val="yellow"/>
        </w:rPr>
        <w:t>[■ e.g., Chief Executive Officer / Manager]</w:t>
      </w:r>
    </w:p>
    <w:p>
      <w:pPr>
        <w:ind w:left="360"/>
      </w:pPr>
      <w:r>
        <w:rPr>
          <w:b/>
        </w:rPr>
        <w:t xml:space="preserve">Date:  </w:t>
      </w:r>
      <w:r>
        <w:rPr>
          <w:b w:val="0"/>
          <w:i w:val="0"/>
        </w:rPr>
        <w:t>____________________________________</w:t>
      </w:r>
    </w:p>
    <w:p/>
    <w:p>
      <w:pPr>
        <w:ind w:left="504"/>
      </w:pPr>
      <w:r>
        <w:rPr>
          <w:b/>
          <w:color w:val="0000C0"/>
        </w:rPr>
        <w:t xml:space="preserve">[ATTORNEY REVIEW REQUIRED]  </w:t>
      </w:r>
      <w:r>
        <w:rPr>
          <w:i/>
          <w:color w:val="595959"/>
        </w:rPr>
        <w:t>Confirm signatory authority via tribal resolution (Schedule S1) and RIVR Tech corporate authorization before execution.</w:t>
      </w:r>
    </w:p>
    <w:p/>
    <w:p>
      <w:pPr>
        <w:pStyle w:val="Heading1"/>
        <w:spacing w:before="240" w:after="120"/>
      </w:pPr>
      <w:r>
        <w:rPr>
          <w:rFonts w:ascii="Calibri" w:hAnsi="Calibri"/>
          <w:b/>
          <w:color w:val="1F3864"/>
          <w:sz w:val="26"/>
        </w:rPr>
        <w:t>ARTICLE —.  DISCLAIMER AND RESERVATION</w:t>
      </w:r>
    </w:p>
    <w:p>
      <w:pPr>
        <w:jc w:val="center"/>
      </w:pPr>
      <w:r>
        <w:rPr>
          <w:b/>
          <w:color w:val="C00000"/>
          <w:highlight w:val="yellow"/>
        </w:rPr>
        <w:t>PRELIMINARY DRAFT – NO CONTROLLING TBCP AWARD OR SOURCE DOCUMENTS SUPPLIED – PROVISIONAL BASELINE: MARCH 2024 AMENDED ROUND 2 NOFO – SUBJECT TO LEGAL, GRANT AND FINANCIAL REVIEW</w:t>
      </w:r>
    </w:p>
    <w:p>
      <w:r>
        <w:rPr>
          <w:b w:val="0"/>
          <w:i w:val="0"/>
        </w:rPr>
        <w:t>This document is a PRELIMINARY WORKING DRAFT prepared for discussion and negotiation only. No controlling TBCP award, Notice of Funding Opportunity, Specific Award Conditions, approved application, or other source document has been supplied. The provisional baseline used for structuring is the TBCP Round 2 Notice of Funding Opportunity, as amended March 2024 (PROVISIONAL BASELINE). Round 3 is the live TBCP round as of the version date; the controlling round and executed award must be confirmed before any definitive clause is finalized.</w:t>
      </w:r>
    </w:p>
    <w:p>
      <w:r>
        <w:rPr>
          <w:b w:val="0"/>
          <w:i w:val="0"/>
        </w:rPr>
        <w:t>This draft does not constitute legal, financial, tax, engineering, or grant-compliance advice, does not create any binding obligation, and is not an offer capable of acceptance. Award numbers, routes, prices, useful-life figures, approvals, land rights, and third-party consents shown as bracketed placeholders have NOT been supplied and must not be assumed, invented, or relied upon. Every bracketed flag and highlighted placeholder must be resolved, and the controlling Award confirmed, before any provision is finalized or executed.</w:t>
      </w:r>
    </w:p>
    <w:p>
      <w:pPr>
        <w:ind w:left="504"/>
      </w:pPr>
      <w:r>
        <w:rPr>
          <w:b/>
          <w:color w:val="0000C0"/>
        </w:rPr>
        <w:t xml:space="preserve">[ATTORNEY REVIEW REQUIRED]  </w:t>
      </w:r>
      <w:r>
        <w:rPr>
          <w:i/>
          <w:color w:val="595959"/>
        </w:rPr>
        <w:t>Sovereign-immunity, waiver, dispute-resolution, and governing-law provisions are presented elsewhere in the package as bracketed ALTERNATIVES and require tribal-counsel and outside-counsel review. No provision waives the sovereign immunity of the Lumbee Tribe except by an express, written, and duly authorized waiver; see Santa Clara Pueblo v. Martinez, 436 U.S. 49 (1978); C&amp;L Enterprises v. Citizen Band Potawatomi, 532 U.S. 411 (2001); Michigan v. Bay Mills, 572 U.S. 782 (2014) (tribal sovereign immunity; clear express waiver required).</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enter"/>
        <w:tab w:pos="9360" w:val="right"/>
      </w:tabs>
    </w:pPr>
    <w:r>
      <w:rPr>
        <w:color w:val="595959"/>
        <w:sz w:val="16"/>
      </w:rPr>
    </w:r>
    <w:r>
      <w:rPr>
        <w:color w:val="595959"/>
        <w:sz w:val="16"/>
      </w:rPr>
      <w:t>Preliminary Draft v0.1 | September 26, 2026</w:t>
    </w:r>
    <w:r>
      <w:rPr>
        <w:color w:val="595959"/>
        <w:sz w:val="16"/>
      </w:rPr>
      <w:tab/>
    </w:r>
    <w:r>
      <w:rPr>
        <w:color w:val="595959"/>
        <w:sz w:val="16"/>
      </w:rPr>
      <w:fldChar w:fldCharType="begin"/>
      <w:instrText xml:space="preserve">PAGE</w:instrText>
      <w:fldChar w:fldCharType="separate"/>
      <w:fldChar w:fldCharType="end"/>
    </w:r>
    <w:r>
      <w:rPr>
        <w:color w:val="595959"/>
        <w:sz w:val="16"/>
      </w:rPr>
      <w:t xml:space="preserve"> of </w:t>
    </w:r>
    <w:r>
      <w:rPr>
        <w:color w:val="595959"/>
        <w:sz w:val="16"/>
      </w:rPr>
      <w:fldChar w:fldCharType="begin"/>
      <w:instrText xml:space="preserve">NUMPAGES</w:instrText>
      <w:fldChar w:fldCharType="separate"/>
      <w:fldChar w:fldCharType="end"/>
    </w:r>
    <w:r>
      <w:tab/>
    </w:r>
    <w:r>
      <w:rPr>
        <w:color w:val="595959"/>
        <w:sz w:val="16"/>
      </w:rPr>
      <w:t>Confidential —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i/>
        <w:color w:val="595959"/>
        <w:sz w:val="16"/>
      </w:rPr>
      <w:t>07 Grant Finance / Program Income / Audit  —  PRELIMINARY DRAFT – SUBJECT TO LEGAL, GRANT AND FINANCIAL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