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08 — Land, Easement, Right-of-Way, Pole, Site, Power, and Facility Instruments</w:t>
      </w:r>
    </w:p>
    <w:p>
      <w:pPr>
        <w:jc w:val="center"/>
      </w:pPr>
      <w:r>
        <w:rPr>
          <w:b/>
          <w:color w:val="1F3864"/>
          <w:sz w:val="48"/>
        </w:rPr>
        <w:t>Land, Easement, Right-of-Way, Pole, Site, Power, and Facility Instruments</w:t>
      </w:r>
    </w:p>
    <w:p>
      <w:pPr>
        <w:jc w:val="center"/>
      </w:pPr>
      <w:r>
        <w:rPr>
          <w:color w:val="595959"/>
          <w:sz w:val="28"/>
        </w:rPr>
        <w:t>Form instruments and parcel/facility register for network land and access rights</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val="0"/>
        </w:rPr>
        <w:t>This document assembles the FORM land, easement, right-of-way, pole, site, power, and facility instruments required to site and access the Tribal Network and the Grant-Funded Assets, together with a parcel/facility register cross-referenced to Schedule S9 (Land, Poles, Sites, Power, Permits, Shared Facilities, and Owner Consents). Each form is a template to be completed for a specific parcel or facility; none is effective until completed, approved as required, and executed by the correct owner.</w:t>
      </w:r>
    </w:p>
    <w:p>
      <w:pPr>
        <w:ind w:left="504"/>
      </w:pPr>
      <w:r>
        <w:rPr>
          <w:b/>
          <w:color w:val="0000C0"/>
        </w:rPr>
        <w:t xml:space="preserve">[ATTORNEY REVIEW REQUIRED]  </w:t>
      </w:r>
      <w:r>
        <w:rPr>
          <w:i/>
          <w:color w:val="595959"/>
        </w:rPr>
        <w:t>Lumbee River Electric Membership Corporation d/b/a Lumbee River EMC (“LREMC”) is a separate legal entity and is the owner of the LREMC Facilities (poles, conduit, fiber, easements, huts, power, and land). LREMC is not RIVR Tech; the LREMC Facilities are not owned by RIVR Tech and are not Grant-Funded Assets. Nothing in this Agreement transfers, encumbers, guarantees, or creates any debt or financing obligation of LREMC, and any use of the LREMC Facilities requires LREMC's separate consent, joinder, and signature under the LREMC Consent and Joinder (03 — Governance and Authorizations).</w:t>
      </w:r>
    </w:p>
    <w:p>
      <w:pPr>
        <w:pStyle w:val="Heading1"/>
        <w:spacing w:before="240" w:after="120"/>
      </w:pPr>
      <w:r>
        <w:rPr>
          <w:rFonts w:ascii="Calibri" w:hAnsi="Calibri"/>
          <w:b/>
          <w:color w:val="1F3864"/>
          <w:sz w:val="26"/>
        </w:rPr>
        <w:t>ARTICLE 1.  GENERAL PROVISIONS APPLICABLE TO ALL INSTRUMENTS</w:t>
      </w:r>
    </w:p>
    <w:p>
      <w:pPr>
        <w:pStyle w:val="Heading2"/>
        <w:spacing w:before="160" w:after="60"/>
      </w:pPr>
      <w:r>
        <w:rPr>
          <w:rFonts w:ascii="Calibri" w:hAnsi="Calibri"/>
          <w:b/>
          <w:color w:val="000000"/>
          <w:sz w:val="22"/>
        </w:rPr>
        <w:t>1.1  Tribe Cannot Grant What It Does Not Own</w:t>
      </w:r>
    </w:p>
    <w:p>
      <w:r>
        <w:rPr>
          <w:b w:val="0"/>
          <w:i w:val="0"/>
        </w:rPr>
        <w:t>The Lumbee Tribe may grant only those land, access, and facility rights it actually owns or is lawfully authorized to convey. The Lumbee Tribe does not, and cannot, grant any interest in land or facilities it does not own, including the LREMC Facilities, individually owned (allotted) land, public rights-of-way, NCDOT corridors, railroad corridors, or third-party property.</w:t>
      </w:r>
    </w:p>
    <w:p>
      <w:pPr>
        <w:pStyle w:val="Heading2"/>
        <w:spacing w:before="160" w:after="60"/>
      </w:pPr>
      <w:r>
        <w:rPr>
          <w:rFonts w:ascii="Calibri" w:hAnsi="Calibri"/>
          <w:b/>
          <w:color w:val="000000"/>
          <w:sz w:val="22"/>
        </w:rPr>
        <w:t>1.2  LREMC-Owned Facilities Require LREMC's Separate Signature</w:t>
      </w:r>
    </w:p>
    <w:p>
      <w:r>
        <w:rPr>
          <w:b w:val="0"/>
          <w:i w:val="0"/>
        </w:rPr>
        <w:t>Any right to attach to, place within, or use the LREMC Facilities (poles, conduit, fiber, easements, huts, power, and land owned by LREMC) requires LREMC's own separate consent and signature under the LREMC Consent and Joinder (03 — Governance and Authorizations). RIVR Tech does not own the LREMC Facilities and cannot grant rights in them.</w:t>
      </w:r>
    </w:p>
    <w:p>
      <w:pPr>
        <w:pStyle w:val="Heading2"/>
        <w:spacing w:before="160" w:after="60"/>
      </w:pPr>
      <w:r>
        <w:rPr>
          <w:rFonts w:ascii="Calibri" w:hAnsi="Calibri"/>
          <w:b/>
          <w:color w:val="000000"/>
          <w:sz w:val="22"/>
        </w:rPr>
        <w:t>1.3  No Liens Against Trust or Restricted Land</w:t>
      </w:r>
    </w:p>
    <w:p>
      <w:r>
        <w:rPr>
          <w:b w:val="0"/>
          <w:i w:val="0"/>
        </w:rPr>
        <w:t>No lien, mortgage, security interest, attachment, levy, execution, or foreclosure shall be created against or enforced upon trust or restricted Indian land, or upon property subject to the Federal Interest, except as federal law expressly permits. Any purported encumbrance in violation of this Section is void.</w:t>
      </w:r>
    </w:p>
    <w:p>
      <w:pPr>
        <w:pStyle w:val="Heading2"/>
        <w:spacing w:before="160" w:after="60"/>
      </w:pPr>
      <w:r>
        <w:rPr>
          <w:rFonts w:ascii="Calibri" w:hAnsi="Calibri"/>
          <w:b/>
          <w:color w:val="000000"/>
          <w:sz w:val="22"/>
        </w:rPr>
        <w:t>1.4  Required Approvals</w:t>
      </w:r>
    </w:p>
    <w:p>
      <w:r>
        <w:rPr>
          <w:b w:val="0"/>
          <w:i w:val="0"/>
        </w:rPr>
        <w:t>Instruments affecting trust or restricted land require BIA approval (25 U.S.C. §§ 415, 81 and 25 CFR Parts 162/169 (BIA approval of certain leases/ROW/contracts on Indian land), 25 CFR Part 162 (leases of Indian land) — where trust/restricted land is used, 25 CFR Part 169 (rights-of-way over Indian land) — where trust/restricted land is crossed); instruments in NCDOT corridors require NCDOT encroachment authorization (N.C. Gen. Stat. § 136-18 and NCDOT utility accommodation policy (encroachment/ROW in NCDOT corridors)); pole attachments engage N.C. Gen. Stat. § 62-350 (broadband attachment to utility poles); and all are subject to the Award and Schedule S14 (Required Federal, Tribal, Corporate, Landowner, Lender, and Regulatory Approvals).</w:t>
      </w:r>
    </w:p>
    <w:p>
      <w:pPr>
        <w:pStyle w:val="Heading2"/>
        <w:spacing w:before="160" w:after="60"/>
      </w:pPr>
      <w:r>
        <w:rPr>
          <w:rFonts w:ascii="Calibri" w:hAnsi="Calibri"/>
          <w:b/>
          <w:color w:val="000000"/>
          <w:sz w:val="22"/>
        </w:rPr>
        <w:t>1.5  Term Floor</w:t>
      </w:r>
    </w:p>
    <w:p>
      <w:r>
        <w:rPr>
          <w:b w:val="0"/>
          <w:i w:val="0"/>
        </w:rPr>
        <w:t>Every access instrument shall have a term at least as long as the related network-use obligation it supports, or shall provide a lawful replacement or relocation remedy preserving continuity; see the term clause in each form.</w:t>
      </w:r>
    </w:p>
    <w:p>
      <w:pPr>
        <w:pStyle w:val="Heading1"/>
        <w:spacing w:before="240" w:after="120"/>
      </w:pPr>
      <w:r>
        <w:rPr>
          <w:rFonts w:ascii="Calibri" w:hAnsi="Calibri"/>
          <w:b/>
          <w:color w:val="1F3864"/>
          <w:sz w:val="26"/>
        </w:rPr>
        <w:t>ARTICLE 2.  DEFINED TERMS; SHARED DEFINITIONS</w:t>
      </w:r>
    </w:p>
    <w:p>
      <w:pPr>
        <w:pStyle w:val="Heading2"/>
        <w:spacing w:before="160" w:after="60"/>
      </w:pPr>
      <w:r>
        <w:rPr>
          <w:rFonts w:ascii="Calibri" w:hAnsi="Calibri"/>
          <w:b/>
          <w:color w:val="000000"/>
          <w:sz w:val="22"/>
        </w:rPr>
        <w:t>2.1  Single Shared Definitions Source</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r>
        <w:rPr>
          <w:b w:val="0"/>
          <w:i w:val="0"/>
        </w:rPr>
        <w:t>Without limitation, the terms "Lumbee Tribe", "RIVR Tech", "LREMC", “Tribal Network”, “Grant-Funded Assets”, “LREMC Facilities”, “Federal Interest”, “Program Income”, “Approved Project Area”, and “Active Subscriber” have the meanings given in Article 2 of the Master TBCP Partnership and Implementation Agreement.</w:t>
      </w:r>
    </w:p>
    <w:p>
      <w:pPr>
        <w:pStyle w:val="Heading1"/>
        <w:spacing w:before="240" w:after="120"/>
      </w:pPr>
      <w:r>
        <w:rPr>
          <w:rFonts w:ascii="Calibri" w:hAnsi="Calibri"/>
          <w:b/>
          <w:color w:val="1F3864"/>
          <w:sz w:val="26"/>
        </w:rPr>
        <w:t>ARTICLE 3.  ORDER OF PRECEDENCE</w:t>
      </w:r>
    </w:p>
    <w:p>
      <w:pPr>
        <w:pStyle w:val="Heading2"/>
        <w:spacing w:before="160" w:after="60"/>
      </w:pPr>
      <w:r>
        <w:rPr>
          <w:rFonts w:ascii="Calibri" w:hAnsi="Calibri"/>
          <w:b/>
          <w:color w:val="000000"/>
          <w:sz w:val="22"/>
        </w:rPr>
        <w:t>3.1  Ranking of Instruments</w:t>
      </w:r>
    </w:p>
    <w:p>
      <w:r>
        <w:rPr>
          <w:b w:val="0"/>
          <w:i w:val="0"/>
        </w:rPr>
        <w:t>In the event of any conflict, ambiguity, or inconsistency among the instruments comprising this transaction, the following order of precedence controls, from highest to lowest:</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pPr>
        <w:pStyle w:val="Heading2"/>
        <w:spacing w:before="160" w:after="60"/>
      </w:pPr>
      <w:r>
        <w:rPr>
          <w:rFonts w:ascii="Calibri" w:hAnsi="Calibri"/>
          <w:b/>
          <w:color w:val="000000"/>
          <w:sz w:val="22"/>
        </w:rPr>
        <w:t>3.2  Conflict Rule</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ind w:left="504"/>
      </w:pPr>
      <w:r>
        <w:rPr>
          <w:b/>
          <w:color w:val="0000C0"/>
        </w:rPr>
        <w:t xml:space="preserve">[ATTORNEY REVIEW REQUIRED]  </w:t>
      </w:r>
      <w:r>
        <w:rPr>
          <w:i/>
          <w:color w:val="595959"/>
        </w:rPr>
        <w:t>Counsel to confirm that the precedence ranking above is reproduced verbatim in each Definitive Agreement so no instrument silently reorders it.</w:t>
      </w:r>
    </w:p>
    <w:p>
      <w:pPr>
        <w:pStyle w:val="Heading1"/>
        <w:spacing w:before="240" w:after="120"/>
      </w:pPr>
      <w:r>
        <w:rPr>
          <w:rFonts w:ascii="Calibri" w:hAnsi="Calibri"/>
          <w:b/>
          <w:color w:val="1F3864"/>
          <w:sz w:val="26"/>
        </w:rPr>
        <w:t>ARTICLE 4.  PARCEL AND FACILITY REGISTER</w:t>
      </w:r>
    </w:p>
    <w:p>
      <w:pPr>
        <w:pStyle w:val="Heading2"/>
        <w:spacing w:before="160" w:after="60"/>
      </w:pPr>
      <w:r>
        <w:rPr>
          <w:rFonts w:ascii="Calibri" w:hAnsi="Calibri"/>
          <w:b/>
          <w:color w:val="000000"/>
          <w:sz w:val="22"/>
        </w:rPr>
        <w:t>4.1  Register</w:t>
      </w:r>
    </w:p>
    <w:p>
      <w:r>
        <w:rPr>
          <w:b w:val="0"/>
          <w:i w:val="0"/>
        </w:rPr>
        <w:t>The parcels, sites, poles, corridors, and facilities used by the Tribal Network, their ownership, the instrument type used, and the approvals required are recorded in the register below and maintained in full in Schedule S9 (Land, Poles, Sites, Power, Permits, Shared Facilities, and Owner Consents).</w:t>
      </w:r>
    </w:p>
    <w:p>
      <w:r>
        <w:rPr>
          <w:b/>
          <w:i w:val="0"/>
        </w:rPr>
        <w:t>Table 4-A — Parcel / Facility Register (cross-ref Schedule S9 (Land, Poles, Sites, Power, Permits, Shared Facilities, and Owner Consents)):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val="clear" w:color="auto" w:fill="1F3864"/>
            <w:vAlign w:val="center"/>
          </w:tcPr>
          <w:p>
            <w:pPr>
              <w:jc w:val="center"/>
            </w:pPr>
            <w:r>
              <w:rPr>
                <w:b/>
                <w:color w:val="FFFFFF"/>
                <w:sz w:val="16"/>
              </w:rPr>
              <w:t>Ref</w:t>
            </w:r>
          </w:p>
        </w:tc>
        <w:tc>
          <w:tcPr>
            <w:tcW w:type="dxa" w:w="1872"/>
            <w:shd w:val="clear" w:color="auto" w:fill="1F3864"/>
            <w:vAlign w:val="center"/>
          </w:tcPr>
          <w:p>
            <w:pPr>
              <w:jc w:val="center"/>
            </w:pPr>
            <w:r>
              <w:rPr>
                <w:b/>
                <w:color w:val="FFFFFF"/>
                <w:sz w:val="16"/>
              </w:rPr>
              <w:t>Parcel / Facility</w:t>
            </w:r>
          </w:p>
        </w:tc>
        <w:tc>
          <w:tcPr>
            <w:tcW w:type="dxa" w:w="1584"/>
            <w:shd w:val="clear" w:color="auto" w:fill="1F3864"/>
            <w:vAlign w:val="center"/>
          </w:tcPr>
          <w:p>
            <w:pPr>
              <w:jc w:val="center"/>
            </w:pPr>
            <w:r>
              <w:rPr>
                <w:b/>
                <w:color w:val="FFFFFF"/>
                <w:sz w:val="16"/>
              </w:rPr>
              <w:t>Owner</w:t>
            </w:r>
          </w:p>
        </w:tc>
        <w:tc>
          <w:tcPr>
            <w:tcW w:type="dxa" w:w="1440"/>
            <w:shd w:val="clear" w:color="auto" w:fill="1F3864"/>
            <w:vAlign w:val="center"/>
          </w:tcPr>
          <w:p>
            <w:pPr>
              <w:jc w:val="center"/>
            </w:pPr>
            <w:r>
              <w:rPr>
                <w:b/>
                <w:color w:val="FFFFFF"/>
                <w:sz w:val="16"/>
              </w:rPr>
              <w:t>Land Status</w:t>
            </w:r>
          </w:p>
        </w:tc>
        <w:tc>
          <w:tcPr>
            <w:tcW w:type="dxa" w:w="2160"/>
            <w:shd w:val="clear" w:color="auto" w:fill="1F3864"/>
            <w:vAlign w:val="center"/>
          </w:tcPr>
          <w:p>
            <w:pPr>
              <w:jc w:val="center"/>
            </w:pPr>
            <w:r>
              <w:rPr>
                <w:b/>
                <w:color w:val="FFFFFF"/>
                <w:sz w:val="16"/>
              </w:rPr>
              <w:t>Instrument (Form)</w:t>
            </w:r>
          </w:p>
        </w:tc>
        <w:tc>
          <w:tcPr>
            <w:tcW w:type="dxa" w:w="2448"/>
            <w:shd w:val="clear" w:color="auto" w:fill="1F3864"/>
            <w:vAlign w:val="center"/>
          </w:tcPr>
          <w:p>
            <w:pPr>
              <w:jc w:val="center"/>
            </w:pPr>
            <w:r>
              <w:rPr>
                <w:b/>
                <w:color w:val="FFFFFF"/>
                <w:sz w:val="16"/>
              </w:rPr>
              <w:t>Required Approval</w:t>
            </w:r>
          </w:p>
        </w:tc>
      </w:tr>
      <w:tr>
        <w:tc>
          <w:tcPr>
            <w:tcW w:type="dxa" w:w="576"/>
            <w:vAlign w:val="center"/>
          </w:tcPr>
          <w:p>
            <w:r>
              <w:rPr>
                <w:b w:val="0"/>
                <w:i w:val="0"/>
                <w:sz w:val="16"/>
              </w:rPr>
              <w:t>1</w:t>
            </w:r>
          </w:p>
        </w:tc>
        <w:tc>
          <w:tcPr>
            <w:tcW w:type="dxa" w:w="1872"/>
            <w:vAlign w:val="center"/>
          </w:tcPr>
          <w:p>
            <w:r>
              <w:rPr>
                <w:b w:val="0"/>
                <w:i w:val="0"/>
                <w:color w:val="804000"/>
                <w:sz w:val="16"/>
                <w:highlight w:val="yellow"/>
              </w:rPr>
              <w:t>[■ tribal fee parcel]</w:t>
            </w:r>
          </w:p>
        </w:tc>
        <w:tc>
          <w:tcPr>
            <w:tcW w:type="dxa" w:w="1584"/>
            <w:vAlign w:val="center"/>
          </w:tcPr>
          <w:p>
            <w:r>
              <w:rPr>
                <w:b w:val="0"/>
                <w:i w:val="0"/>
                <w:sz w:val="16"/>
              </w:rPr>
              <w:t>Lumbee Tribe</w:t>
            </w:r>
          </w:p>
        </w:tc>
        <w:tc>
          <w:tcPr>
            <w:tcW w:type="dxa" w:w="1440"/>
            <w:vAlign w:val="center"/>
          </w:tcPr>
          <w:p>
            <w:r>
              <w:rPr>
                <w:b w:val="0"/>
                <w:i w:val="0"/>
                <w:sz w:val="16"/>
              </w:rPr>
              <w:t>Fee</w:t>
            </w:r>
          </w:p>
        </w:tc>
        <w:tc>
          <w:tcPr>
            <w:tcW w:type="dxa" w:w="2160"/>
            <w:vAlign w:val="center"/>
          </w:tcPr>
          <w:p>
            <w:r>
              <w:rPr>
                <w:b w:val="0"/>
                <w:i w:val="0"/>
                <w:sz w:val="16"/>
              </w:rPr>
              <w:t>Form 1 — Tribal Fee Lease</w:t>
            </w:r>
          </w:p>
        </w:tc>
        <w:tc>
          <w:tcPr>
            <w:tcW w:type="dxa" w:w="2448"/>
            <w:vAlign w:val="center"/>
          </w:tcPr>
          <w:p>
            <w:r>
              <w:rPr>
                <w:b w:val="0"/>
                <w:i w:val="0"/>
                <w:sz w:val="16"/>
              </w:rPr>
              <w:t>Tribal authorization</w:t>
            </w:r>
          </w:p>
        </w:tc>
      </w:tr>
      <w:tr>
        <w:tc>
          <w:tcPr>
            <w:tcW w:type="dxa" w:w="576"/>
            <w:shd w:val="clear" w:color="auto" w:fill="F2F2F2"/>
            <w:vAlign w:val="center"/>
          </w:tcPr>
          <w:p>
            <w:r>
              <w:rPr>
                <w:b w:val="0"/>
                <w:i w:val="0"/>
                <w:sz w:val="16"/>
              </w:rPr>
              <w:t>2</w:t>
            </w:r>
          </w:p>
        </w:tc>
        <w:tc>
          <w:tcPr>
            <w:tcW w:type="dxa" w:w="1872"/>
            <w:shd w:val="clear" w:color="auto" w:fill="F2F2F2"/>
            <w:vAlign w:val="center"/>
          </w:tcPr>
          <w:p>
            <w:r>
              <w:rPr>
                <w:b w:val="0"/>
                <w:i w:val="0"/>
                <w:color w:val="804000"/>
                <w:sz w:val="16"/>
                <w:highlight w:val="yellow"/>
              </w:rPr>
              <w:t>[■ trust/restricted tract]</w:t>
            </w:r>
          </w:p>
        </w:tc>
        <w:tc>
          <w:tcPr>
            <w:tcW w:type="dxa" w:w="1584"/>
            <w:shd w:val="clear" w:color="auto" w:fill="F2F2F2"/>
            <w:vAlign w:val="center"/>
          </w:tcPr>
          <w:p>
            <w:r>
              <w:rPr>
                <w:b w:val="0"/>
                <w:i w:val="0"/>
                <w:color w:val="804000"/>
                <w:sz w:val="16"/>
                <w:highlight w:val="yellow"/>
              </w:rPr>
              <w:t>[■ Tribe / U.S. in trust]</w:t>
            </w:r>
          </w:p>
        </w:tc>
        <w:tc>
          <w:tcPr>
            <w:tcW w:type="dxa" w:w="1440"/>
            <w:shd w:val="clear" w:color="auto" w:fill="F2F2F2"/>
            <w:vAlign w:val="center"/>
          </w:tcPr>
          <w:p>
            <w:r>
              <w:rPr>
                <w:b w:val="0"/>
                <w:i w:val="0"/>
                <w:sz w:val="16"/>
              </w:rPr>
              <w:t>Trust/Restricted</w:t>
            </w:r>
          </w:p>
        </w:tc>
        <w:tc>
          <w:tcPr>
            <w:tcW w:type="dxa" w:w="2160"/>
            <w:shd w:val="clear" w:color="auto" w:fill="F2F2F2"/>
            <w:vAlign w:val="center"/>
          </w:tcPr>
          <w:p>
            <w:r>
              <w:rPr>
                <w:b w:val="0"/>
                <w:i w:val="0"/>
                <w:sz w:val="16"/>
              </w:rPr>
              <w:t>Form 2 — Trust-Land Lease</w:t>
            </w:r>
          </w:p>
        </w:tc>
        <w:tc>
          <w:tcPr>
            <w:tcW w:type="dxa" w:w="2448"/>
            <w:shd w:val="clear" w:color="auto" w:fill="F2F2F2"/>
            <w:vAlign w:val="center"/>
          </w:tcPr>
          <w:p>
            <w:r>
              <w:rPr>
                <w:b w:val="0"/>
                <w:i w:val="0"/>
                <w:sz w:val="16"/>
              </w:rPr>
              <w:t>BIA (25 U.S.C. §§ 415, 81 and 25 CFR Parts 162/169 (BIA approval of certain leases/ROW/contracts on Indian land))</w:t>
            </w:r>
          </w:p>
        </w:tc>
      </w:tr>
      <w:tr>
        <w:tc>
          <w:tcPr>
            <w:tcW w:type="dxa" w:w="576"/>
            <w:vAlign w:val="center"/>
          </w:tcPr>
          <w:p>
            <w:r>
              <w:rPr>
                <w:b w:val="0"/>
                <w:i w:val="0"/>
                <w:sz w:val="16"/>
              </w:rPr>
              <w:t>3</w:t>
            </w:r>
          </w:p>
        </w:tc>
        <w:tc>
          <w:tcPr>
            <w:tcW w:type="dxa" w:w="1872"/>
            <w:vAlign w:val="center"/>
          </w:tcPr>
          <w:p>
            <w:r>
              <w:rPr>
                <w:b w:val="0"/>
                <w:i w:val="0"/>
                <w:color w:val="804000"/>
                <w:sz w:val="16"/>
                <w:highlight w:val="yellow"/>
              </w:rPr>
              <w:t>[■ allotted parcel]</w:t>
            </w:r>
          </w:p>
        </w:tc>
        <w:tc>
          <w:tcPr>
            <w:tcW w:type="dxa" w:w="1584"/>
            <w:vAlign w:val="center"/>
          </w:tcPr>
          <w:p>
            <w:r>
              <w:rPr>
                <w:b w:val="0"/>
                <w:i w:val="0"/>
                <w:color w:val="804000"/>
                <w:sz w:val="16"/>
                <w:highlight w:val="yellow"/>
              </w:rPr>
              <w:t>[■ individual allottee(s)]</w:t>
            </w:r>
          </w:p>
        </w:tc>
        <w:tc>
          <w:tcPr>
            <w:tcW w:type="dxa" w:w="1440"/>
            <w:vAlign w:val="center"/>
          </w:tcPr>
          <w:p>
            <w:r>
              <w:rPr>
                <w:b w:val="0"/>
                <w:i w:val="0"/>
                <w:sz w:val="16"/>
              </w:rPr>
              <w:t>Allotted</w:t>
            </w:r>
          </w:p>
        </w:tc>
        <w:tc>
          <w:tcPr>
            <w:tcW w:type="dxa" w:w="2160"/>
            <w:vAlign w:val="center"/>
          </w:tcPr>
          <w:p>
            <w:r>
              <w:rPr>
                <w:b w:val="0"/>
                <w:i w:val="0"/>
                <w:sz w:val="16"/>
              </w:rPr>
              <w:t>Form 3 — ROW Easement</w:t>
            </w:r>
          </w:p>
        </w:tc>
        <w:tc>
          <w:tcPr>
            <w:tcW w:type="dxa" w:w="2448"/>
            <w:vAlign w:val="center"/>
          </w:tcPr>
          <w:p>
            <w:r>
              <w:rPr>
                <w:b w:val="0"/>
                <w:i w:val="0"/>
                <w:sz w:val="16"/>
              </w:rPr>
              <w:t>Allottee consent + BIA</w:t>
            </w:r>
          </w:p>
        </w:tc>
      </w:tr>
      <w:tr>
        <w:tc>
          <w:tcPr>
            <w:tcW w:type="dxa" w:w="576"/>
            <w:shd w:val="clear" w:color="auto" w:fill="F2F2F2"/>
            <w:vAlign w:val="center"/>
          </w:tcPr>
          <w:p>
            <w:r>
              <w:rPr>
                <w:b w:val="0"/>
                <w:i w:val="0"/>
                <w:sz w:val="16"/>
              </w:rPr>
              <w:t>4</w:t>
            </w:r>
          </w:p>
        </w:tc>
        <w:tc>
          <w:tcPr>
            <w:tcW w:type="dxa" w:w="1872"/>
            <w:shd w:val="clear" w:color="auto" w:fill="F2F2F2"/>
            <w:vAlign w:val="center"/>
          </w:tcPr>
          <w:p>
            <w:r>
              <w:rPr>
                <w:b w:val="0"/>
                <w:i w:val="0"/>
                <w:color w:val="804000"/>
                <w:sz w:val="16"/>
                <w:highlight w:val="yellow"/>
              </w:rPr>
              <w:t>[■ ROW corridor]</w:t>
            </w:r>
          </w:p>
        </w:tc>
        <w:tc>
          <w:tcPr>
            <w:tcW w:type="dxa" w:w="1584"/>
            <w:shd w:val="clear" w:color="auto" w:fill="F2F2F2"/>
            <w:vAlign w:val="center"/>
          </w:tcPr>
          <w:p>
            <w:r>
              <w:rPr>
                <w:b w:val="0"/>
                <w:i w:val="0"/>
                <w:color w:val="804000"/>
                <w:sz w:val="16"/>
                <w:highlight w:val="yellow"/>
              </w:rPr>
              <w:t>[■ landowner]</w:t>
            </w:r>
          </w:p>
        </w:tc>
        <w:tc>
          <w:tcPr>
            <w:tcW w:type="dxa" w:w="1440"/>
            <w:shd w:val="clear" w:color="auto" w:fill="F2F2F2"/>
            <w:vAlign w:val="center"/>
          </w:tcPr>
          <w:p>
            <w:r>
              <w:rPr>
                <w:b w:val="0"/>
                <w:i w:val="0"/>
                <w:color w:val="804000"/>
                <w:sz w:val="16"/>
                <w:highlight w:val="yellow"/>
              </w:rPr>
              <w:t>[■ fee/public/trust]</w:t>
            </w:r>
          </w:p>
        </w:tc>
        <w:tc>
          <w:tcPr>
            <w:tcW w:type="dxa" w:w="2160"/>
            <w:shd w:val="clear" w:color="auto" w:fill="F2F2F2"/>
            <w:vAlign w:val="center"/>
          </w:tcPr>
          <w:p>
            <w:r>
              <w:rPr>
                <w:b w:val="0"/>
                <w:i w:val="0"/>
                <w:sz w:val="16"/>
              </w:rPr>
              <w:t>Form 3 — ROW Easement</w:t>
            </w:r>
          </w:p>
        </w:tc>
        <w:tc>
          <w:tcPr>
            <w:tcW w:type="dxa" w:w="2448"/>
            <w:shd w:val="clear" w:color="auto" w:fill="F2F2F2"/>
            <w:vAlign w:val="center"/>
          </w:tcPr>
          <w:p>
            <w:r>
              <w:rPr>
                <w:b w:val="0"/>
                <w:i w:val="0"/>
                <w:color w:val="804000"/>
                <w:sz w:val="16"/>
                <w:highlight w:val="yellow"/>
              </w:rPr>
              <w:t>[■ per land status]</w:t>
            </w:r>
          </w:p>
        </w:tc>
      </w:tr>
      <w:tr>
        <w:tc>
          <w:tcPr>
            <w:tcW w:type="dxa" w:w="576"/>
            <w:vAlign w:val="center"/>
          </w:tcPr>
          <w:p>
            <w:r>
              <w:rPr>
                <w:b w:val="0"/>
                <w:i w:val="0"/>
                <w:sz w:val="16"/>
              </w:rPr>
              <w:t>5</w:t>
            </w:r>
          </w:p>
        </w:tc>
        <w:tc>
          <w:tcPr>
            <w:tcW w:type="dxa" w:w="1872"/>
            <w:vAlign w:val="center"/>
          </w:tcPr>
          <w:p>
            <w:r>
              <w:rPr>
                <w:b w:val="0"/>
                <w:i w:val="0"/>
                <w:color w:val="804000"/>
                <w:sz w:val="16"/>
                <w:highlight w:val="yellow"/>
              </w:rPr>
              <w:t>[■ pole line / conduit]</w:t>
            </w:r>
          </w:p>
        </w:tc>
        <w:tc>
          <w:tcPr>
            <w:tcW w:type="dxa" w:w="1584"/>
            <w:vAlign w:val="center"/>
          </w:tcPr>
          <w:p>
            <w:r>
              <w:rPr>
                <w:b w:val="0"/>
                <w:i w:val="0"/>
                <w:sz w:val="16"/>
              </w:rPr>
              <w:t>LREMC</w:t>
            </w:r>
          </w:p>
        </w:tc>
        <w:tc>
          <w:tcPr>
            <w:tcW w:type="dxa" w:w="1440"/>
            <w:vAlign w:val="center"/>
          </w:tcPr>
          <w:p>
            <w:r>
              <w:rPr>
                <w:b w:val="0"/>
                <w:i w:val="0"/>
                <w:sz w:val="16"/>
              </w:rPr>
              <w:t>LREMC Facilities</w:t>
            </w:r>
          </w:p>
        </w:tc>
        <w:tc>
          <w:tcPr>
            <w:tcW w:type="dxa" w:w="2160"/>
            <w:vAlign w:val="center"/>
          </w:tcPr>
          <w:p>
            <w:r>
              <w:rPr>
                <w:b w:val="0"/>
                <w:i w:val="0"/>
                <w:sz w:val="16"/>
              </w:rPr>
              <w:t>Form 4 — Pole/Facility License</w:t>
            </w:r>
          </w:p>
        </w:tc>
        <w:tc>
          <w:tcPr>
            <w:tcW w:type="dxa" w:w="2448"/>
            <w:vAlign w:val="center"/>
          </w:tcPr>
          <w:p>
            <w:r>
              <w:rPr>
                <w:b w:val="0"/>
                <w:i w:val="0"/>
                <w:sz w:val="16"/>
              </w:rPr>
              <w:t>LREMC consent (N.C. Gen. Stat. § 62-350 (broadband attachment to utility poles))</w:t>
            </w:r>
          </w:p>
        </w:tc>
      </w:tr>
      <w:tr>
        <w:tc>
          <w:tcPr>
            <w:tcW w:type="dxa" w:w="576"/>
            <w:shd w:val="clear" w:color="auto" w:fill="F2F2F2"/>
            <w:vAlign w:val="center"/>
          </w:tcPr>
          <w:p>
            <w:r>
              <w:rPr>
                <w:b w:val="0"/>
                <w:i w:val="0"/>
                <w:sz w:val="16"/>
              </w:rPr>
              <w:t>6</w:t>
            </w:r>
          </w:p>
        </w:tc>
        <w:tc>
          <w:tcPr>
            <w:tcW w:type="dxa" w:w="1872"/>
            <w:shd w:val="clear" w:color="auto" w:fill="F2F2F2"/>
            <w:vAlign w:val="center"/>
          </w:tcPr>
          <w:p>
            <w:r>
              <w:rPr>
                <w:b w:val="0"/>
                <w:i w:val="0"/>
                <w:color w:val="804000"/>
                <w:sz w:val="16"/>
                <w:highlight w:val="yellow"/>
              </w:rPr>
              <w:t>[■ hut / cabinet / power site]</w:t>
            </w:r>
          </w:p>
        </w:tc>
        <w:tc>
          <w:tcPr>
            <w:tcW w:type="dxa" w:w="1584"/>
            <w:shd w:val="clear" w:color="auto" w:fill="F2F2F2"/>
            <w:vAlign w:val="center"/>
          </w:tcPr>
          <w:p>
            <w:r>
              <w:rPr>
                <w:b w:val="0"/>
                <w:i w:val="0"/>
                <w:color w:val="804000"/>
                <w:sz w:val="16"/>
                <w:highlight w:val="yellow"/>
              </w:rPr>
              <w:t>[■ LREMC / other]</w:t>
            </w:r>
          </w:p>
        </w:tc>
        <w:tc>
          <w:tcPr>
            <w:tcW w:type="dxa" w:w="1440"/>
            <w:shd w:val="clear" w:color="auto" w:fill="F2F2F2"/>
            <w:vAlign w:val="center"/>
          </w:tcPr>
          <w:p>
            <w:r>
              <w:rPr>
                <w:b w:val="0"/>
                <w:i w:val="0"/>
                <w:color w:val="804000"/>
                <w:sz w:val="16"/>
                <w:highlight w:val="yellow"/>
              </w:rPr>
              <w:t>[■ owned by non-Tribe party]</w:t>
            </w:r>
          </w:p>
        </w:tc>
        <w:tc>
          <w:tcPr>
            <w:tcW w:type="dxa" w:w="2160"/>
            <w:shd w:val="clear" w:color="auto" w:fill="F2F2F2"/>
            <w:vAlign w:val="center"/>
          </w:tcPr>
          <w:p>
            <w:r>
              <w:rPr>
                <w:b w:val="0"/>
                <w:i w:val="0"/>
                <w:sz w:val="16"/>
              </w:rPr>
              <w:t>Form 4 / Form 6</w:t>
            </w:r>
          </w:p>
        </w:tc>
        <w:tc>
          <w:tcPr>
            <w:tcW w:type="dxa" w:w="2448"/>
            <w:shd w:val="clear" w:color="auto" w:fill="F2F2F2"/>
            <w:vAlign w:val="center"/>
          </w:tcPr>
          <w:p>
            <w:r>
              <w:rPr>
                <w:b w:val="0"/>
                <w:i w:val="0"/>
                <w:color w:val="804000"/>
                <w:sz w:val="16"/>
                <w:highlight w:val="yellow"/>
              </w:rPr>
              <w:t>[■ owner consent]</w:t>
            </w:r>
          </w:p>
        </w:tc>
      </w:tr>
      <w:tr>
        <w:tc>
          <w:tcPr>
            <w:tcW w:type="dxa" w:w="576"/>
            <w:vAlign w:val="center"/>
          </w:tcPr>
          <w:p>
            <w:r>
              <w:rPr>
                <w:b w:val="0"/>
                <w:i w:val="0"/>
                <w:sz w:val="16"/>
              </w:rPr>
              <w:t>7</w:t>
            </w:r>
          </w:p>
        </w:tc>
        <w:tc>
          <w:tcPr>
            <w:tcW w:type="dxa" w:w="1872"/>
            <w:vAlign w:val="center"/>
          </w:tcPr>
          <w:p>
            <w:r>
              <w:rPr>
                <w:b w:val="0"/>
                <w:i w:val="0"/>
                <w:color w:val="804000"/>
                <w:sz w:val="16"/>
                <w:highlight w:val="yellow"/>
              </w:rPr>
              <w:t>[■ NCDOT corridor segment]</w:t>
            </w:r>
          </w:p>
        </w:tc>
        <w:tc>
          <w:tcPr>
            <w:tcW w:type="dxa" w:w="1584"/>
            <w:vAlign w:val="center"/>
          </w:tcPr>
          <w:p>
            <w:r>
              <w:rPr>
                <w:b w:val="0"/>
                <w:i w:val="0"/>
                <w:sz w:val="16"/>
              </w:rPr>
              <w:t>NCDOT</w:t>
            </w:r>
          </w:p>
        </w:tc>
        <w:tc>
          <w:tcPr>
            <w:tcW w:type="dxa" w:w="1440"/>
            <w:vAlign w:val="center"/>
          </w:tcPr>
          <w:p>
            <w:r>
              <w:rPr>
                <w:b w:val="0"/>
                <w:i w:val="0"/>
                <w:sz w:val="16"/>
              </w:rPr>
              <w:t>State ROW</w:t>
            </w:r>
          </w:p>
        </w:tc>
        <w:tc>
          <w:tcPr>
            <w:tcW w:type="dxa" w:w="2160"/>
            <w:vAlign w:val="center"/>
          </w:tcPr>
          <w:p>
            <w:r>
              <w:rPr>
                <w:b w:val="0"/>
                <w:i w:val="0"/>
                <w:sz w:val="16"/>
              </w:rPr>
              <w:t>Form 5 — NCDOT Encroachment</w:t>
            </w:r>
          </w:p>
        </w:tc>
        <w:tc>
          <w:tcPr>
            <w:tcW w:type="dxa" w:w="2448"/>
            <w:vAlign w:val="center"/>
          </w:tcPr>
          <w:p>
            <w:r>
              <w:rPr>
                <w:b w:val="0"/>
                <w:i w:val="0"/>
                <w:sz w:val="16"/>
              </w:rPr>
              <w:t>NCDOT (N.C. Gen. Stat. § 136-18 and NCDOT utility accommodation policy (encroachment/ROW in NCDOT corridors))</w:t>
            </w:r>
          </w:p>
        </w:tc>
      </w:tr>
      <w:tr>
        <w:tc>
          <w:tcPr>
            <w:tcW w:type="dxa" w:w="576"/>
            <w:shd w:val="clear" w:color="auto" w:fill="F2F2F2"/>
            <w:vAlign w:val="center"/>
          </w:tcPr>
          <w:p>
            <w:r>
              <w:rPr>
                <w:b w:val="0"/>
                <w:i w:val="0"/>
                <w:sz w:val="16"/>
              </w:rPr>
              <w:t>8</w:t>
            </w:r>
          </w:p>
        </w:tc>
        <w:tc>
          <w:tcPr>
            <w:tcW w:type="dxa" w:w="1872"/>
            <w:shd w:val="clear" w:color="auto" w:fill="F2F2F2"/>
            <w:vAlign w:val="center"/>
          </w:tcPr>
          <w:p>
            <w:r>
              <w:rPr>
                <w:b w:val="0"/>
                <w:i w:val="0"/>
                <w:color w:val="804000"/>
                <w:sz w:val="16"/>
                <w:highlight w:val="yellow"/>
              </w:rPr>
              <w:t>[■ railroad crossing]</w:t>
            </w:r>
          </w:p>
        </w:tc>
        <w:tc>
          <w:tcPr>
            <w:tcW w:type="dxa" w:w="1584"/>
            <w:shd w:val="clear" w:color="auto" w:fill="F2F2F2"/>
            <w:vAlign w:val="center"/>
          </w:tcPr>
          <w:p>
            <w:r>
              <w:rPr>
                <w:b w:val="0"/>
                <w:i w:val="0"/>
                <w:color w:val="804000"/>
                <w:sz w:val="16"/>
                <w:highlight w:val="yellow"/>
              </w:rPr>
              <w:t>[■ railroad]</w:t>
            </w:r>
          </w:p>
        </w:tc>
        <w:tc>
          <w:tcPr>
            <w:tcW w:type="dxa" w:w="1440"/>
            <w:shd w:val="clear" w:color="auto" w:fill="F2F2F2"/>
            <w:vAlign w:val="center"/>
          </w:tcPr>
          <w:p>
            <w:r>
              <w:rPr>
                <w:b w:val="0"/>
                <w:i w:val="0"/>
                <w:sz w:val="16"/>
              </w:rPr>
              <w:t>Railroad corridor</w:t>
            </w:r>
          </w:p>
        </w:tc>
        <w:tc>
          <w:tcPr>
            <w:tcW w:type="dxa" w:w="2160"/>
            <w:shd w:val="clear" w:color="auto" w:fill="F2F2F2"/>
            <w:vAlign w:val="center"/>
          </w:tcPr>
          <w:p>
            <w:r>
              <w:rPr>
                <w:b w:val="0"/>
                <w:i w:val="0"/>
                <w:sz w:val="16"/>
              </w:rPr>
              <w:t>Form 6 — Third-Party Consent</w:t>
            </w:r>
          </w:p>
        </w:tc>
        <w:tc>
          <w:tcPr>
            <w:tcW w:type="dxa" w:w="2448"/>
            <w:shd w:val="clear" w:color="auto" w:fill="F2F2F2"/>
            <w:vAlign w:val="center"/>
          </w:tcPr>
          <w:p>
            <w:r>
              <w:rPr>
                <w:b w:val="0"/>
                <w:i w:val="0"/>
                <w:sz w:val="16"/>
              </w:rPr>
              <w:t>Railroad crossing agreement</w:t>
            </w:r>
          </w:p>
        </w:tc>
      </w:tr>
      <w:tr>
        <w:tc>
          <w:tcPr>
            <w:tcW w:type="dxa" w:w="576"/>
            <w:vAlign w:val="center"/>
          </w:tcPr>
          <w:p>
            <w:r>
              <w:rPr>
                <w:b w:val="0"/>
                <w:i w:val="0"/>
                <w:sz w:val="16"/>
              </w:rPr>
              <w:t>9</w:t>
            </w:r>
          </w:p>
        </w:tc>
        <w:tc>
          <w:tcPr>
            <w:tcW w:type="dxa" w:w="1872"/>
            <w:vAlign w:val="center"/>
          </w:tcPr>
          <w:p>
            <w:r>
              <w:rPr>
                <w:b w:val="0"/>
                <w:i w:val="0"/>
                <w:color w:val="804000"/>
                <w:sz w:val="16"/>
                <w:highlight w:val="yellow"/>
              </w:rPr>
              <w:t>[■ public ROW / third-party site]</w:t>
            </w:r>
          </w:p>
        </w:tc>
        <w:tc>
          <w:tcPr>
            <w:tcW w:type="dxa" w:w="1584"/>
            <w:vAlign w:val="center"/>
          </w:tcPr>
          <w:p>
            <w:r>
              <w:rPr>
                <w:b w:val="0"/>
                <w:i w:val="0"/>
                <w:color w:val="804000"/>
                <w:sz w:val="16"/>
                <w:highlight w:val="yellow"/>
              </w:rPr>
              <w:t>[■ municipality / third party]</w:t>
            </w:r>
          </w:p>
        </w:tc>
        <w:tc>
          <w:tcPr>
            <w:tcW w:type="dxa" w:w="1440"/>
            <w:vAlign w:val="center"/>
          </w:tcPr>
          <w:p>
            <w:r>
              <w:rPr>
                <w:b w:val="0"/>
                <w:i w:val="0"/>
                <w:sz w:val="16"/>
              </w:rPr>
              <w:t>Third-party</w:t>
            </w:r>
          </w:p>
        </w:tc>
        <w:tc>
          <w:tcPr>
            <w:tcW w:type="dxa" w:w="2160"/>
            <w:vAlign w:val="center"/>
          </w:tcPr>
          <w:p>
            <w:r>
              <w:rPr>
                <w:b w:val="0"/>
                <w:i w:val="0"/>
                <w:sz w:val="16"/>
              </w:rPr>
              <w:t>Form 6 — Third-Party Consent</w:t>
            </w:r>
          </w:p>
        </w:tc>
        <w:tc>
          <w:tcPr>
            <w:tcW w:type="dxa" w:w="2448"/>
            <w:vAlign w:val="center"/>
          </w:tcPr>
          <w:p>
            <w:r>
              <w:rPr>
                <w:b w:val="0"/>
                <w:i w:val="0"/>
                <w:sz w:val="16"/>
              </w:rPr>
              <w:t>Owner signature</w:t>
            </w:r>
          </w:p>
        </w:tc>
      </w:tr>
    </w:tbl>
    <w:p>
      <w:pPr>
        <w:ind w:left="504"/>
      </w:pPr>
      <w:r>
        <w:rPr>
          <w:b/>
          <w:color w:val="0000C0"/>
        </w:rPr>
        <w:t xml:space="preserve">[ATTORNEY REVIEW REQUIRED]  </w:t>
      </w:r>
      <w:r>
        <w:rPr>
          <w:i/>
          <w:color w:val="595959"/>
        </w:rPr>
        <w:t>Ownership, legal descriptions, land status (fee / trust / restricted / allotted), and required approvals in the register are placeholders and must be verified for each parcel and facility before any instrument is used.</w:t>
      </w:r>
    </w:p>
    <w:p>
      <w:pPr>
        <w:pStyle w:val="Heading1"/>
        <w:spacing w:before="240" w:after="120"/>
      </w:pPr>
      <w:r>
        <w:rPr>
          <w:rFonts w:ascii="Calibri" w:hAnsi="Calibri"/>
          <w:b/>
          <w:color w:val="1F3864"/>
          <w:sz w:val="26"/>
        </w:rPr>
        <w:t>ARTICLE 5.  FORM INSTRUMENTS</w:t>
      </w:r>
    </w:p>
    <w:p>
      <w:pPr>
        <w:pStyle w:val="Heading2"/>
        <w:spacing w:before="160" w:after="60"/>
      </w:pPr>
      <w:r>
        <w:rPr>
          <w:rFonts w:ascii="Calibri" w:hAnsi="Calibri"/>
          <w:b/>
          <w:color w:val="000000"/>
          <w:sz w:val="22"/>
        </w:rPr>
        <w:t>5.1  FORM 1 — Tribal Fee-Land Lease</w:t>
      </w:r>
    </w:p>
    <w:p>
      <w:r>
        <w:rPr>
          <w:b w:val="0"/>
          <w:i w:val="0"/>
        </w:rPr>
        <w:t>For land owned by the Lumbee Tribe in fee (not trust or restricted). Use only where tribal fee ownership is confirmed.</w:t>
      </w:r>
    </w:p>
    <w:p>
      <w:pPr>
        <w:ind w:left="504"/>
      </w:pPr>
      <w:r>
        <w:rPr>
          <w:b/>
        </w:rPr>
        <w:t xml:space="preserve">(parties)  </w:t>
      </w:r>
      <w:r>
        <w:rPr>
          <w:b w:val="0"/>
          <w:i w:val="0"/>
        </w:rPr>
        <w:t xml:space="preserve">Landlord: Lumbee Tribe of North Carolina. Tenant: </w:t>
      </w:r>
      <w:r>
        <w:rPr>
          <w:b w:val="0"/>
          <w:i w:val="0"/>
          <w:color w:val="804000"/>
          <w:highlight w:val="yellow"/>
        </w:rPr>
        <w:t>[■ tenant — Tribe / RIVR Tech / network entity]</w:t>
      </w:r>
      <w:r>
        <w:rPr>
          <w:b w:val="0"/>
          <w:i w:val="0"/>
        </w:rPr>
        <w:t>.</w:t>
      </w:r>
    </w:p>
    <w:p>
      <w:pPr>
        <w:ind w:left="504"/>
      </w:pPr>
      <w:r>
        <w:rPr>
          <w:b/>
        </w:rPr>
        <w:t xml:space="preserve">(legal description)  </w:t>
      </w:r>
      <w:r>
        <w:rPr>
          <w:b w:val="0"/>
          <w:i w:val="0"/>
          <w:color w:val="804000"/>
          <w:highlight w:val="yellow"/>
        </w:rPr>
        <w:t>[■ legal description of the tribal fee parcel]</w:t>
      </w:r>
    </w:p>
    <w:p>
      <w:pPr>
        <w:ind w:left="504"/>
      </w:pPr>
      <w:r>
        <w:rPr>
          <w:b/>
        </w:rPr>
        <w:t xml:space="preserve">(term)  </w:t>
      </w:r>
      <w:r>
        <w:rPr>
          <w:b w:val="0"/>
          <w:i w:val="0"/>
          <w:color w:val="804000"/>
          <w:highlight w:val="yellow"/>
        </w:rPr>
        <w:t>[■ term of the fee-land lease]</w:t>
      </w:r>
      <w:r>
        <w:rPr>
          <w:b w:val="0"/>
          <w:i w:val="0"/>
        </w:rPr>
        <w:t>; provided that the term shall run for a period at least as long as the related network-use obligation for the Tribal Network and the Grant-Funded Assets it supports (including the 20-year IRU term and two (2) optional renewal terms of five (5) years each), or shall provide a lawful and enforceable replacement or relocation remedy that preserves continuity of the network-use rights for that period, but in no event longer than the underlying grantor's own interest permits.</w:t>
      </w:r>
    </w:p>
    <w:p>
      <w:pPr>
        <w:ind w:left="504"/>
      </w:pPr>
      <w:r>
        <w:rPr>
          <w:b/>
        </w:rPr>
        <w:t xml:space="preserve">(permitted use)  </w:t>
      </w:r>
      <w:r>
        <w:rPr>
          <w:b w:val="0"/>
          <w:i w:val="0"/>
        </w:rPr>
        <w:t>Siting, construction, operation, and maintenance of the Grant-Funded Assets and related network facilities.</w:t>
      </w:r>
    </w:p>
    <w:p>
      <w:pPr>
        <w:ind w:left="504"/>
      </w:pPr>
      <w:r>
        <w:rPr>
          <w:b/>
        </w:rPr>
        <w:t xml:space="preserve">(construction &amp; maintenance access)  </w:t>
      </w:r>
      <w:r>
        <w:rPr>
          <w:b w:val="0"/>
          <w:i w:val="0"/>
        </w:rPr>
        <w:t>Tenant and its authorized contractors may access the premises to survey, construct, install, inspect, test, operate, maintain, repair, and replace the facilities, subject to reasonable prior notice and the grantor's reasonable safety and operating rules.</w:t>
      </w:r>
    </w:p>
    <w:p>
      <w:pPr>
        <w:ind w:left="504"/>
      </w:pPr>
      <w:r>
        <w:rPr>
          <w:b/>
        </w:rPr>
        <w:t xml:space="preserve">(emergency access)  </w:t>
      </w:r>
      <w:r>
        <w:rPr>
          <w:b w:val="0"/>
          <w:i w:val="0"/>
        </w:rPr>
        <w:t>Immediate access is permitted, without prior notice, to respond to an outage, hazard, or threat to public safety or service continuity, with prompt notice given as soon as practicable.</w:t>
      </w:r>
    </w:p>
    <w:p>
      <w:pPr>
        <w:ind w:left="504"/>
      </w:pPr>
      <w:r>
        <w:rPr>
          <w:b/>
        </w:rPr>
        <w:t xml:space="preserve">(restoration)  </w:t>
      </w:r>
      <w:r>
        <w:rPr>
          <w:b w:val="0"/>
          <w:i w:val="0"/>
        </w:rPr>
        <w:t>After any work, the premises shall be restored to a condition reasonably equivalent to its prior condition, ordinary wear excepted.</w:t>
      </w:r>
    </w:p>
    <w:p>
      <w:pPr>
        <w:ind w:left="504"/>
      </w:pPr>
      <w:r>
        <w:rPr>
          <w:b/>
        </w:rPr>
        <w:t xml:space="preserve">(relocation)  </w:t>
      </w:r>
      <w:r>
        <w:rPr>
          <w:b w:val="0"/>
          <w:i w:val="0"/>
        </w:rPr>
        <w:t xml:space="preserve">Relocation of facilities, if required, shall follow </w:t>
      </w:r>
      <w:r>
        <w:rPr>
          <w:b w:val="0"/>
          <w:i w:val="0"/>
          <w:color w:val="804000"/>
          <w:highlight w:val="yellow"/>
        </w:rPr>
        <w:t>[■ relocation terms — cost responsibility and notice]</w:t>
      </w:r>
      <w:r>
        <w:rPr>
          <w:b w:val="0"/>
          <w:i w:val="0"/>
        </w:rPr>
        <w:t>; where relocation would defeat the network-use obligation, a replacement right of equivalent utility shall be provided so continuity is preserved.</w:t>
      </w:r>
    </w:p>
    <w:p>
      <w:pPr>
        <w:ind w:left="504"/>
      </w:pPr>
      <w:r>
        <w:rPr>
          <w:b/>
        </w:rPr>
        <w:t xml:space="preserve">(assignment)  </w:t>
      </w:r>
      <w:r>
        <w:rPr>
          <w:b w:val="0"/>
          <w:i w:val="0"/>
        </w:rPr>
        <w:t xml:space="preserve">Assignment requires </w:t>
      </w:r>
      <w:r>
        <w:rPr>
          <w:b w:val="0"/>
          <w:i w:val="0"/>
          <w:color w:val="804000"/>
          <w:highlight w:val="yellow"/>
        </w:rPr>
        <w:t>[■ assignment consent standard]</w:t>
      </w:r>
      <w:r>
        <w:rPr>
          <w:b w:val="0"/>
          <w:i w:val="0"/>
        </w:rPr>
        <w:t>; permitted assignments run to successors and assigns and to any operator of the Tribal Network, subject to grant, Award, and (for trust/restricted or LREMC interests) required approvals.</w:t>
      </w:r>
    </w:p>
    <w:p>
      <w:pPr>
        <w:ind w:left="504"/>
      </w:pPr>
      <w:r>
        <w:rPr>
          <w:b/>
        </w:rPr>
        <w:t xml:space="preserve">(successor recognition)  </w:t>
      </w:r>
      <w:r>
        <w:rPr>
          <w:b w:val="0"/>
          <w:i w:val="0"/>
        </w:rPr>
        <w:t>This instrument binds and benefits the parties' heirs, successors, and permitted assigns, and shall be recognized by any successor owner or operator of the affected land or facilities.</w:t>
      </w:r>
    </w:p>
    <w:p>
      <w:pPr>
        <w:ind w:left="504"/>
      </w:pPr>
      <w:r>
        <w:rPr>
          <w:b/>
        </w:rPr>
        <w:t xml:space="preserve">(recording)  </w:t>
      </w:r>
      <w:r>
        <w:rPr>
          <w:b w:val="0"/>
          <w:i w:val="0"/>
        </w:rPr>
        <w:t xml:space="preserve">This instrument (or a memorandum of it) may be recorded in the appropriate public records at </w:t>
      </w:r>
      <w:r>
        <w:rPr>
          <w:b w:val="0"/>
          <w:i w:val="0"/>
          <w:color w:val="804000"/>
          <w:highlight w:val="yellow"/>
        </w:rPr>
        <w:t>[■ recording office / county]</w:t>
      </w:r>
      <w:r>
        <w:rPr>
          <w:b w:val="0"/>
          <w:i w:val="0"/>
        </w:rPr>
        <w:t>, subject to any approval required before recording.</w:t>
      </w:r>
    </w:p>
    <w:p>
      <w:pPr>
        <w:ind w:left="504"/>
      </w:pPr>
      <w:r>
        <w:rPr>
          <w:b/>
        </w:rPr>
        <w:t xml:space="preserve">(taxes &amp; fees)  </w:t>
      </w:r>
      <w:r>
        <w:rPr>
          <w:b w:val="0"/>
          <w:i w:val="0"/>
        </w:rPr>
        <w:t xml:space="preserve">Taxes, fees, and charges, if any, are allocated as </w:t>
      </w:r>
      <w:r>
        <w:rPr>
          <w:b w:val="0"/>
          <w:i w:val="0"/>
          <w:color w:val="804000"/>
          <w:highlight w:val="yellow"/>
        </w:rPr>
        <w:t>[■ tax / fee allocation]</w:t>
      </w:r>
      <w:r>
        <w:rPr>
          <w:b w:val="0"/>
          <w:i w:val="0"/>
        </w:rPr>
        <w:t>; nothing herein waives any applicable governmental or tribal exemption.</w:t>
      </w:r>
    </w:p>
    <w:p/>
    <w:p>
      <w:r>
        <w:rPr>
          <w:i/>
        </w:rPr>
        <w:t>EXECUTION — this form to be executed by the named grantor and grantee:</w:t>
      </w:r>
    </w:p>
    <w:p>
      <w:r>
        <w:rPr>
          <w:b/>
          <w:color w:val="1F3864"/>
        </w:rPr>
        <w:t>GRANTOR:  Lumbee Tribe of North Carolina</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r>
        <w:rPr>
          <w:b/>
          <w:color w:val="1F3864"/>
        </w:rPr>
        <w:t>GRANTEE:  [■ tenant entity]</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pPr>
        <w:pStyle w:val="Heading2"/>
        <w:spacing w:before="160" w:after="60"/>
      </w:pPr>
      <w:r>
        <w:rPr>
          <w:rFonts w:ascii="Calibri" w:hAnsi="Calibri"/>
          <w:b/>
          <w:color w:val="000000"/>
          <w:sz w:val="22"/>
        </w:rPr>
        <w:t>5.2  FORM 2 — Trust / Restricted Indian Land Lease [BIA APPROVAL]</w:t>
      </w:r>
    </w:p>
    <w:p>
      <w:r>
        <w:rPr>
          <w:b w:val="0"/>
          <w:i w:val="0"/>
        </w:rPr>
        <w:t>For land held in trust or restricted status. Governed by 25 CFR Part 162 (leases of Indian land) — where trust/restricted land is used and subject to BIA approval under 25 U.S.C. §§ 415, 81 and 25 CFR Parts 162/169 (BIA approval of certain leases/ROW/contracts on Indian land).</w:t>
      </w:r>
    </w:p>
    <w:p>
      <w:pPr>
        <w:ind w:left="504"/>
      </w:pPr>
      <w:r>
        <w:rPr>
          <w:b/>
        </w:rPr>
        <w:t xml:space="preserve">(parties)  </w:t>
      </w:r>
      <w:r>
        <w:rPr>
          <w:b w:val="0"/>
          <w:i w:val="0"/>
        </w:rPr>
        <w:t xml:space="preserve">Lessor: </w:t>
      </w:r>
      <w:r>
        <w:rPr>
          <w:b w:val="0"/>
          <w:i w:val="0"/>
          <w:color w:val="804000"/>
          <w:highlight w:val="yellow"/>
        </w:rPr>
        <w:t>[■ trust/restricted landowner — Tribe or United States in trust]</w:t>
      </w:r>
      <w:r>
        <w:rPr>
          <w:b w:val="0"/>
          <w:i w:val="0"/>
        </w:rPr>
        <w:t xml:space="preserve">. Lessee: </w:t>
      </w:r>
      <w:r>
        <w:rPr>
          <w:b w:val="0"/>
          <w:i w:val="0"/>
          <w:color w:val="804000"/>
          <w:highlight w:val="yellow"/>
        </w:rPr>
        <w:t>[■ lessee — network entity / RIVR Tech]</w:t>
      </w:r>
      <w:r>
        <w:rPr>
          <w:b w:val="0"/>
          <w:i w:val="0"/>
        </w:rPr>
        <w:t>.</w:t>
      </w:r>
    </w:p>
    <w:p>
      <w:pPr>
        <w:ind w:left="504"/>
      </w:pPr>
      <w:r>
        <w:rPr>
          <w:b/>
        </w:rPr>
        <w:t xml:space="preserve">(legal description)  </w:t>
      </w:r>
      <w:r>
        <w:rPr>
          <w:b w:val="0"/>
          <w:i w:val="0"/>
          <w:color w:val="804000"/>
          <w:highlight w:val="yellow"/>
        </w:rPr>
        <w:t>[■ legal description + trust/restricted status and tract number]</w:t>
      </w:r>
    </w:p>
    <w:p>
      <w:pPr>
        <w:ind w:left="504"/>
      </w:pPr>
      <w:r>
        <w:rPr>
          <w:b/>
        </w:rPr>
        <w:t xml:space="preserve">(term)  </w:t>
      </w:r>
      <w:r>
        <w:rPr>
          <w:b w:val="0"/>
          <w:i w:val="0"/>
          <w:color w:val="804000"/>
          <w:highlight w:val="yellow"/>
        </w:rPr>
        <w:t>[■ term of the trust/restricted-land lease (within limits BIA approval permits)]</w:t>
      </w:r>
      <w:r>
        <w:rPr>
          <w:b w:val="0"/>
          <w:i w:val="0"/>
        </w:rPr>
        <w:t>; provided that the term shall run for a period at least as long as the related network-use obligation for the Tribal Network and the Grant-Funded Assets it supports (including the 20-year IRU term and two (2) optional renewal terms of five (5) years each), or shall provide a lawful and enforceable replacement or relocation remedy that preserves continuity of the network-use rights for that period, but in no event longer than the underlying grantor's own interest permits.</w:t>
      </w:r>
    </w:p>
    <w:p>
      <w:pPr>
        <w:ind w:left="504"/>
      </w:pPr>
      <w:r>
        <w:rPr>
          <w:b/>
        </w:rPr>
        <w:t xml:space="preserve">(permitted use)  </w:t>
      </w:r>
      <w:r>
        <w:rPr>
          <w:b w:val="0"/>
          <w:i w:val="0"/>
        </w:rPr>
        <w:t>Siting, construction, operation, and maintenance of the Grant-Funded Assets, subject to 25 CFR Part 162 (leases of Indian land) — where trust/restricted land is used.</w:t>
      </w:r>
    </w:p>
    <w:p>
      <w:pPr>
        <w:ind w:left="504"/>
      </w:pPr>
      <w:r>
        <w:rPr>
          <w:b/>
        </w:rPr>
        <w:t xml:space="preserve">(construction &amp; maintenance access)  </w:t>
      </w:r>
      <w:r>
        <w:rPr>
          <w:b w:val="0"/>
          <w:i w:val="0"/>
        </w:rPr>
        <w:t>Lessee and its authorized contractors may access the premises to survey, construct, install, inspect, test, operate, maintain, repair, and replace the facilities, subject to reasonable prior notice and the grantor's reasonable safety and operating rules.</w:t>
      </w:r>
    </w:p>
    <w:p>
      <w:pPr>
        <w:ind w:left="504"/>
      </w:pPr>
      <w:r>
        <w:rPr>
          <w:b/>
        </w:rPr>
        <w:t xml:space="preserve">(emergency access)  </w:t>
      </w:r>
      <w:r>
        <w:rPr>
          <w:b w:val="0"/>
          <w:i w:val="0"/>
        </w:rPr>
        <w:t>Immediate access is permitted, without prior notice, to respond to an outage, hazard, or threat to public safety or service continuity, with prompt notice given as soon as practicable.</w:t>
      </w:r>
    </w:p>
    <w:p>
      <w:pPr>
        <w:ind w:left="504"/>
      </w:pPr>
      <w:r>
        <w:rPr>
          <w:b/>
        </w:rPr>
        <w:t xml:space="preserve">(restoration)  </w:t>
      </w:r>
      <w:r>
        <w:rPr>
          <w:b w:val="0"/>
          <w:i w:val="0"/>
        </w:rPr>
        <w:t>After any work, the premises shall be restored to a condition reasonably equivalent to its prior condition, ordinary wear excepted.</w:t>
      </w:r>
    </w:p>
    <w:p>
      <w:pPr>
        <w:ind w:left="504"/>
      </w:pPr>
      <w:r>
        <w:rPr>
          <w:b/>
        </w:rPr>
        <w:t xml:space="preserve">(relocation)  </w:t>
      </w:r>
      <w:r>
        <w:rPr>
          <w:b w:val="0"/>
          <w:i w:val="0"/>
        </w:rPr>
        <w:t xml:space="preserve">Relocation of facilities, if required, shall follow </w:t>
      </w:r>
      <w:r>
        <w:rPr>
          <w:b w:val="0"/>
          <w:i w:val="0"/>
          <w:color w:val="804000"/>
          <w:highlight w:val="yellow"/>
        </w:rPr>
        <w:t>[■ relocation terms — cost responsibility and notice]</w:t>
      </w:r>
      <w:r>
        <w:rPr>
          <w:b w:val="0"/>
          <w:i w:val="0"/>
        </w:rPr>
        <w:t>; where relocation would defeat the network-use obligation, a replacement right of equivalent utility shall be provided so continuity is preserved.</w:t>
      </w:r>
    </w:p>
    <w:p>
      <w:pPr>
        <w:ind w:left="504"/>
      </w:pPr>
      <w:r>
        <w:rPr>
          <w:b/>
        </w:rPr>
        <w:t xml:space="preserve">(assignment)  </w:t>
      </w:r>
      <w:r>
        <w:rPr>
          <w:b w:val="0"/>
          <w:i w:val="0"/>
        </w:rPr>
        <w:t xml:space="preserve">Assignment requires </w:t>
      </w:r>
      <w:r>
        <w:rPr>
          <w:b w:val="0"/>
          <w:i w:val="0"/>
          <w:color w:val="804000"/>
          <w:highlight w:val="yellow"/>
        </w:rPr>
        <w:t>[■ assignment consent standard]</w:t>
      </w:r>
      <w:r>
        <w:rPr>
          <w:b w:val="0"/>
          <w:i w:val="0"/>
        </w:rPr>
        <w:t>; permitted assignments run to successors and assigns and to any operator of the Tribal Network, subject to grant, Award, and (for trust/restricted or LREMC interests) required approvals.</w:t>
      </w:r>
    </w:p>
    <w:p>
      <w:pPr>
        <w:ind w:left="504"/>
      </w:pPr>
      <w:r>
        <w:rPr>
          <w:b/>
        </w:rPr>
        <w:t xml:space="preserve">(successor recognition)  </w:t>
      </w:r>
      <w:r>
        <w:rPr>
          <w:b w:val="0"/>
          <w:i w:val="0"/>
        </w:rPr>
        <w:t>This instrument binds and benefits the parties' heirs, successors, and permitted assigns, and shall be recognized by any successor owner or operator of the affected land or facilities.</w:t>
      </w:r>
    </w:p>
    <w:p>
      <w:pPr>
        <w:ind w:left="504"/>
      </w:pPr>
      <w:r>
        <w:rPr>
          <w:b/>
        </w:rPr>
        <w:t xml:space="preserve">(recording)  </w:t>
      </w:r>
      <w:r>
        <w:rPr>
          <w:b w:val="0"/>
          <w:i w:val="0"/>
        </w:rPr>
        <w:t xml:space="preserve">This instrument (or a memorandum of it) may be recorded in the appropriate public records at </w:t>
      </w:r>
      <w:r>
        <w:rPr>
          <w:b w:val="0"/>
          <w:i w:val="0"/>
          <w:color w:val="804000"/>
          <w:highlight w:val="yellow"/>
        </w:rPr>
        <w:t>[■ recording office / county]</w:t>
      </w:r>
      <w:r>
        <w:rPr>
          <w:b w:val="0"/>
          <w:i w:val="0"/>
        </w:rPr>
        <w:t>, subject to any approval required before recording.</w:t>
      </w:r>
    </w:p>
    <w:p>
      <w:pPr>
        <w:ind w:left="504"/>
      </w:pPr>
      <w:r>
        <w:rPr>
          <w:b/>
        </w:rPr>
        <w:t xml:space="preserve">(taxes &amp; fees)  </w:t>
      </w:r>
      <w:r>
        <w:rPr>
          <w:b w:val="0"/>
          <w:i w:val="0"/>
        </w:rPr>
        <w:t xml:space="preserve">Taxes, fees, and charges, if any, are allocated as </w:t>
      </w:r>
      <w:r>
        <w:rPr>
          <w:b w:val="0"/>
          <w:i w:val="0"/>
          <w:color w:val="804000"/>
          <w:highlight w:val="yellow"/>
        </w:rPr>
        <w:t>[■ tax / fee allocation]</w:t>
      </w:r>
      <w:r>
        <w:rPr>
          <w:b w:val="0"/>
          <w:i w:val="0"/>
        </w:rPr>
        <w:t>; nothing herein waives any applicable governmental or tribal exemption.</w:t>
      </w:r>
    </w:p>
    <w:p>
      <w:pPr>
        <w:ind w:left="504"/>
      </w:pPr>
      <w:r>
        <w:rPr>
          <w:b/>
          <w:color w:val="7F007F"/>
        </w:rPr>
        <w:t xml:space="preserve">[GRANT COMPLIANCE REVIEW REQUIRED]  </w:t>
      </w:r>
      <w:r>
        <w:rPr>
          <w:i/>
          <w:color w:val="595959"/>
        </w:rPr>
        <w:t>No lien, foreclosure, or attachment against the trust/restricted land is permitted; confirm compatibility with the Federal Interest and 2 CFR 200.316 (Property trust relationship).</w:t>
      </w:r>
    </w:p>
    <w:p/>
    <w:p>
      <w:r>
        <w:rPr>
          <w:i/>
        </w:rPr>
        <w:t>EXECUTION — this form to be executed by the named grantor and grantee:</w:t>
      </w:r>
    </w:p>
    <w:p>
      <w:r>
        <w:rPr>
          <w:b/>
          <w:color w:val="1F3864"/>
        </w:rPr>
        <w:t>GRANTOR:  [■ trust/restricted lessor]</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r>
        <w:rPr>
          <w:b/>
          <w:color w:val="1F3864"/>
        </w:rPr>
        <w:t>GRANTEE:  [■ lessee entity]</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r>
        <w:rPr>
          <w:b/>
          <w:color w:val="C00000"/>
        </w:rPr>
        <w:t>REQUIRED FEDERAL APPROVAL — Bureau of Indian Affairs:</w:t>
      </w:r>
    </w:p>
    <w:p>
      <w:r>
        <w:rPr>
          <w:b w:val="0"/>
          <w:i w:val="0"/>
        </w:rPr>
        <w:t>This instrument affects trust or restricted Indian land and is not effective until approved by the Bureau of Indian Affairs (BIA) as required by 25 U.S.C. §§ 415, 81 and 25 CFR Parts 162/169 (BIA approval of certain leases/ROW/contracts on Indian land), 25 CFR Part 162 (leases of Indian land) — where trust/restricted land is used, and 25 CFR Part 169 (rights-of-way over Indian land) — where trust/restricted land is crossed, as applicable.</w:t>
      </w:r>
    </w:p>
    <w:p>
      <w:pPr>
        <w:ind w:left="360"/>
      </w:pPr>
      <w:r>
        <w:rPr>
          <w:b w:val="0"/>
          <w:i w:val="0"/>
        </w:rPr>
        <w:t>Approved by (BIA): ____________________________________</w:t>
      </w:r>
    </w:p>
    <w:p>
      <w:pPr>
        <w:ind w:left="360"/>
      </w:pPr>
      <w:r>
        <w:rPr>
          <w:b w:val="0"/>
          <w:i w:val="0"/>
        </w:rPr>
        <w:t xml:space="preserve">Name/Title: </w:t>
      </w:r>
      <w:r>
        <w:rPr>
          <w:b w:val="0"/>
          <w:i w:val="0"/>
          <w:color w:val="804000"/>
          <w:highlight w:val="yellow"/>
        </w:rPr>
        <w:t>[■ BIA approving official]</w:t>
      </w:r>
    </w:p>
    <w:p>
      <w:pPr>
        <w:ind w:left="360"/>
      </w:pPr>
      <w:r>
        <w:rPr>
          <w:b w:val="0"/>
          <w:i w:val="0"/>
        </w:rPr>
        <w:t>Date: ____________________________________</w:t>
      </w:r>
    </w:p>
    <w:p>
      <w:pPr>
        <w:ind w:left="504"/>
      </w:pPr>
      <w:r>
        <w:rPr>
          <w:b/>
          <w:color w:val="0000C0"/>
        </w:rPr>
        <w:t xml:space="preserve">[ATTORNEY REVIEW REQUIRED]  </w:t>
      </w:r>
      <w:r>
        <w:rPr>
          <w:i/>
          <w:color w:val="595959"/>
        </w:rPr>
        <w:t>Confirm whether the affected land is trust, restricted, or fee, and the exact BIA approval pathway, before use; the Lumbee Tribe's land status must be verified.</w:t>
      </w:r>
    </w:p>
    <w:p>
      <w:pPr>
        <w:pStyle w:val="Heading2"/>
        <w:spacing w:before="160" w:after="60"/>
      </w:pPr>
      <w:r>
        <w:rPr>
          <w:rFonts w:ascii="Calibri" w:hAnsi="Calibri"/>
          <w:b/>
          <w:color w:val="000000"/>
          <w:sz w:val="22"/>
        </w:rPr>
        <w:t>5.3  FORM 3 — Right-of-Way Easement</w:t>
      </w:r>
    </w:p>
    <w:p>
      <w:r>
        <w:rPr>
          <w:b w:val="0"/>
          <w:i w:val="0"/>
        </w:rPr>
        <w:t>For linear crossings and corridors. Where the ROW crosses trust or restricted Indian land, 25 CFR Part 169 (rights-of-way over Indian land) — where trust/restricted land is crossed and BIA approval (25 U.S.C. §§ 415, 81 and 25 CFR Parts 162/169 (BIA approval of certain leases/ROW/contracts on Indian land)) apply; where it crosses individually owned (allotted) land, allottee consent and BIA approval apply.</w:t>
      </w:r>
    </w:p>
    <w:p>
      <w:pPr>
        <w:ind w:left="504"/>
      </w:pPr>
      <w:r>
        <w:rPr>
          <w:b/>
        </w:rPr>
        <w:t xml:space="preserve">(parties)  </w:t>
      </w:r>
      <w:r>
        <w:rPr>
          <w:b w:val="0"/>
          <w:i w:val="0"/>
        </w:rPr>
        <w:t xml:space="preserve">Grantor: </w:t>
      </w:r>
      <w:r>
        <w:rPr>
          <w:b w:val="0"/>
          <w:i w:val="0"/>
          <w:color w:val="804000"/>
          <w:highlight w:val="yellow"/>
        </w:rPr>
        <w:t>[■ ROW grantor — landowner / allottee(s) / United States in trust]</w:t>
      </w:r>
      <w:r>
        <w:rPr>
          <w:b w:val="0"/>
          <w:i w:val="0"/>
        </w:rPr>
        <w:t xml:space="preserve">. Grantee: </w:t>
      </w:r>
      <w:r>
        <w:rPr>
          <w:b w:val="0"/>
          <w:i w:val="0"/>
          <w:color w:val="804000"/>
          <w:highlight w:val="yellow"/>
        </w:rPr>
        <w:t>[■ ROW grantee — network entity / RIVR Tech]</w:t>
      </w:r>
      <w:r>
        <w:rPr>
          <w:b w:val="0"/>
          <w:i w:val="0"/>
        </w:rPr>
        <w:t>.</w:t>
      </w:r>
    </w:p>
    <w:p>
      <w:pPr>
        <w:ind w:left="504"/>
      </w:pPr>
      <w:r>
        <w:rPr>
          <w:b/>
        </w:rPr>
        <w:t xml:space="preserve">(legal description)  </w:t>
      </w:r>
      <w:r>
        <w:rPr>
          <w:b w:val="0"/>
          <w:i w:val="0"/>
          <w:color w:val="804000"/>
          <w:highlight w:val="yellow"/>
        </w:rPr>
        <w:t>[■ centerline / corridor description, width, and station limits]</w:t>
      </w:r>
    </w:p>
    <w:p>
      <w:pPr>
        <w:ind w:left="504"/>
      </w:pPr>
      <w:r>
        <w:rPr>
          <w:b/>
        </w:rPr>
        <w:t xml:space="preserve">(term)  </w:t>
      </w:r>
      <w:r>
        <w:rPr>
          <w:b w:val="0"/>
          <w:i w:val="0"/>
          <w:color w:val="804000"/>
          <w:highlight w:val="yellow"/>
        </w:rPr>
        <w:t>[■ term of the right-of-way easement]</w:t>
      </w:r>
      <w:r>
        <w:rPr>
          <w:b w:val="0"/>
          <w:i w:val="0"/>
        </w:rPr>
        <w:t>; provided that the term shall run for a period at least as long as the related network-use obligation for the Tribal Network and the Grant-Funded Assets it supports (including the 20-year IRU term and two (2) optional renewal terms of five (5) years each), or shall provide a lawful and enforceable replacement or relocation remedy that preserves continuity of the network-use rights for that period, but in no event longer than the underlying grantor's own interest permits.</w:t>
      </w:r>
    </w:p>
    <w:p>
      <w:pPr>
        <w:ind w:left="504"/>
      </w:pPr>
      <w:r>
        <w:rPr>
          <w:b/>
        </w:rPr>
        <w:t xml:space="preserve">(permitted use)  </w:t>
      </w:r>
      <w:r>
        <w:rPr>
          <w:b w:val="0"/>
          <w:i w:val="0"/>
        </w:rPr>
        <w:t>A right-of-way for the construction, operation, and maintenance of fiber and appurtenant facilities within the described corridor.</w:t>
      </w:r>
    </w:p>
    <w:p>
      <w:pPr>
        <w:ind w:left="504"/>
      </w:pPr>
      <w:r>
        <w:rPr>
          <w:b/>
        </w:rPr>
        <w:t xml:space="preserve">(construction &amp; maintenance access)  </w:t>
      </w:r>
      <w:r>
        <w:rPr>
          <w:b w:val="0"/>
          <w:i w:val="0"/>
        </w:rPr>
        <w:t>Grantee and its authorized contractors may access the premises to survey, construct, install, inspect, test, operate, maintain, repair, and replace the facilities, subject to reasonable prior notice and the grantor's reasonable safety and operating rules.</w:t>
      </w:r>
    </w:p>
    <w:p>
      <w:pPr>
        <w:ind w:left="504"/>
      </w:pPr>
      <w:r>
        <w:rPr>
          <w:b/>
        </w:rPr>
        <w:t xml:space="preserve">(emergency access)  </w:t>
      </w:r>
      <w:r>
        <w:rPr>
          <w:b w:val="0"/>
          <w:i w:val="0"/>
        </w:rPr>
        <w:t>Immediate access is permitted, without prior notice, to respond to an outage, hazard, or threat to public safety or service continuity, with prompt notice given as soon as practicable.</w:t>
      </w:r>
    </w:p>
    <w:p>
      <w:pPr>
        <w:ind w:left="504"/>
      </w:pPr>
      <w:r>
        <w:rPr>
          <w:b/>
        </w:rPr>
        <w:t xml:space="preserve">(restoration)  </w:t>
      </w:r>
      <w:r>
        <w:rPr>
          <w:b w:val="0"/>
          <w:i w:val="0"/>
        </w:rPr>
        <w:t>After any work, the premises shall be restored to a condition reasonably equivalent to its prior condition, ordinary wear excepted.</w:t>
      </w:r>
    </w:p>
    <w:p>
      <w:pPr>
        <w:ind w:left="504"/>
      </w:pPr>
      <w:r>
        <w:rPr>
          <w:b/>
        </w:rPr>
        <w:t xml:space="preserve">(relocation)  </w:t>
      </w:r>
      <w:r>
        <w:rPr>
          <w:b w:val="0"/>
          <w:i w:val="0"/>
        </w:rPr>
        <w:t xml:space="preserve">Relocation of facilities, if required, shall follow </w:t>
      </w:r>
      <w:r>
        <w:rPr>
          <w:b w:val="0"/>
          <w:i w:val="0"/>
          <w:color w:val="804000"/>
          <w:highlight w:val="yellow"/>
        </w:rPr>
        <w:t>[■ relocation terms — cost responsibility and notice]</w:t>
      </w:r>
      <w:r>
        <w:rPr>
          <w:b w:val="0"/>
          <w:i w:val="0"/>
        </w:rPr>
        <w:t>; where relocation would defeat the network-use obligation, a replacement right of equivalent utility shall be provided so continuity is preserved.</w:t>
      </w:r>
    </w:p>
    <w:p>
      <w:pPr>
        <w:ind w:left="504"/>
      </w:pPr>
      <w:r>
        <w:rPr>
          <w:b/>
        </w:rPr>
        <w:t xml:space="preserve">(assignment)  </w:t>
      </w:r>
      <w:r>
        <w:rPr>
          <w:b w:val="0"/>
          <w:i w:val="0"/>
        </w:rPr>
        <w:t xml:space="preserve">Assignment requires </w:t>
      </w:r>
      <w:r>
        <w:rPr>
          <w:b w:val="0"/>
          <w:i w:val="0"/>
          <w:color w:val="804000"/>
          <w:highlight w:val="yellow"/>
        </w:rPr>
        <w:t>[■ assignment consent standard]</w:t>
      </w:r>
      <w:r>
        <w:rPr>
          <w:b w:val="0"/>
          <w:i w:val="0"/>
        </w:rPr>
        <w:t>; permitted assignments run to successors and assigns and to any operator of the Tribal Network, subject to grant, Award, and (for trust/restricted or LREMC interests) required approvals.</w:t>
      </w:r>
    </w:p>
    <w:p>
      <w:pPr>
        <w:ind w:left="504"/>
      </w:pPr>
      <w:r>
        <w:rPr>
          <w:b/>
        </w:rPr>
        <w:t xml:space="preserve">(successor recognition)  </w:t>
      </w:r>
      <w:r>
        <w:rPr>
          <w:b w:val="0"/>
          <w:i w:val="0"/>
        </w:rPr>
        <w:t>This instrument binds and benefits the parties' heirs, successors, and permitted assigns, and shall be recognized by any successor owner or operator of the affected land or facilities.</w:t>
      </w:r>
    </w:p>
    <w:p>
      <w:pPr>
        <w:ind w:left="504"/>
      </w:pPr>
      <w:r>
        <w:rPr>
          <w:b/>
        </w:rPr>
        <w:t xml:space="preserve">(recording)  </w:t>
      </w:r>
      <w:r>
        <w:rPr>
          <w:b w:val="0"/>
          <w:i w:val="0"/>
        </w:rPr>
        <w:t xml:space="preserve">This instrument (or a memorandum of it) may be recorded in the appropriate public records at </w:t>
      </w:r>
      <w:r>
        <w:rPr>
          <w:b w:val="0"/>
          <w:i w:val="0"/>
          <w:color w:val="804000"/>
          <w:highlight w:val="yellow"/>
        </w:rPr>
        <w:t>[■ recording office / county]</w:t>
      </w:r>
      <w:r>
        <w:rPr>
          <w:b w:val="0"/>
          <w:i w:val="0"/>
        </w:rPr>
        <w:t>, subject to any approval required before recording.</w:t>
      </w:r>
    </w:p>
    <w:p>
      <w:pPr>
        <w:ind w:left="504"/>
      </w:pPr>
      <w:r>
        <w:rPr>
          <w:b/>
        </w:rPr>
        <w:t xml:space="preserve">(taxes &amp; fees)  </w:t>
      </w:r>
      <w:r>
        <w:rPr>
          <w:b w:val="0"/>
          <w:i w:val="0"/>
        </w:rPr>
        <w:t xml:space="preserve">Taxes, fees, and charges, if any, are allocated as </w:t>
      </w:r>
      <w:r>
        <w:rPr>
          <w:b w:val="0"/>
          <w:i w:val="0"/>
          <w:color w:val="804000"/>
          <w:highlight w:val="yellow"/>
        </w:rPr>
        <w:t>[■ tax / fee allocation]</w:t>
      </w:r>
      <w:r>
        <w:rPr>
          <w:b w:val="0"/>
          <w:i w:val="0"/>
        </w:rPr>
        <w:t>; nothing herein waives any applicable governmental or tribal exemption.</w:t>
      </w:r>
    </w:p>
    <w:p>
      <w:pPr>
        <w:ind w:left="504"/>
      </w:pPr>
      <w:r>
        <w:rPr>
          <w:b/>
          <w:color w:val="0000C0"/>
        </w:rPr>
        <w:t xml:space="preserve">[ATTORNEY REVIEW REQUIRED]  </w:t>
      </w:r>
      <w:r>
        <w:rPr>
          <w:i/>
          <w:color w:val="595959"/>
        </w:rPr>
        <w:t>Select the correct ROW pathway (fee / public / trust under 25 CFR Part 169 (rights-of-way over Indian land) — where trust/restricted land is crossed / allotted with allottee consent) per parcel; do not assume land status.</w:t>
      </w:r>
    </w:p>
    <w:p/>
    <w:p>
      <w:r>
        <w:rPr>
          <w:i/>
        </w:rPr>
        <w:t>EXECUTION — this form to be executed by the named grantor and grantee:</w:t>
      </w:r>
    </w:p>
    <w:p>
      <w:r>
        <w:rPr>
          <w:b/>
          <w:color w:val="1F3864"/>
        </w:rPr>
        <w:t>GRANTOR:  [■ ROW grantor]</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r>
        <w:rPr>
          <w:b/>
          <w:color w:val="1F3864"/>
        </w:rPr>
        <w:t>GRANTEE:  [■ ROW grantee]</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pPr>
        <w:ind w:left="504"/>
      </w:pPr>
      <w:r>
        <w:rPr>
          <w:b/>
        </w:rPr>
        <w:t xml:space="preserve">(allotted-land variant)  </w:t>
      </w:r>
      <w:r>
        <w:rPr>
          <w:b w:val="0"/>
          <w:i w:val="0"/>
        </w:rPr>
        <w:t>Where the parcel is individually owned (allotted) Indian land, add the consent of the required percentage of allottee interests and BIA approval (25 U.S.C. §§ 415, 81 and 25 CFR Parts 162/169 (BIA approval of certain leases/ROW/contracts on Indian land), 25 CFR Part 169 (rights-of-way over Indian land) — where trust/restricted land is crossed); the Lumbee Tribe cannot grant an interest in allotted land it does not own.</w:t>
      </w:r>
    </w:p>
    <w:p>
      <w:pPr>
        <w:pStyle w:val="Heading2"/>
        <w:spacing w:before="160" w:after="60"/>
      </w:pPr>
      <w:r>
        <w:rPr>
          <w:rFonts w:ascii="Calibri" w:hAnsi="Calibri"/>
          <w:b/>
          <w:color w:val="000000"/>
          <w:sz w:val="22"/>
        </w:rPr>
        <w:t>5.4  FORM 4 — Pole, Conduit, and Facility License [LREMC CONSENT]</w:t>
      </w:r>
    </w:p>
    <w:p>
      <w:r>
        <w:rPr>
          <w:b w:val="0"/>
          <w:i w:val="0"/>
        </w:rPr>
        <w:t>For attachment to or use of the LREMC Facilities (LREMC-owned poles, conduit, fiber, huts, power, and land). N.C. Gen. Stat. § 62-350 (broadband attachment to utility poles) governs broadband pole attachments. This form is NOT effective without LREMC's separate signature.</w:t>
      </w:r>
    </w:p>
    <w:p>
      <w:pPr>
        <w:ind w:left="504"/>
      </w:pPr>
      <w:r>
        <w:rPr>
          <w:b/>
        </w:rPr>
        <w:t xml:space="preserve">(parties)  </w:t>
      </w:r>
      <w:r>
        <w:rPr>
          <w:b w:val="0"/>
          <w:i w:val="0"/>
        </w:rPr>
        <w:t xml:space="preserve">Licensor: Lumbee River Electric Membership Corporation d/b/a Lumbee River EMC (“LREMC”). Licensee: </w:t>
      </w:r>
      <w:r>
        <w:rPr>
          <w:b w:val="0"/>
          <w:i w:val="0"/>
          <w:color w:val="804000"/>
          <w:highlight w:val="yellow"/>
        </w:rPr>
        <w:t>[■ licensee — network entity / RIVR Tech]</w:t>
      </w:r>
      <w:r>
        <w:rPr>
          <w:b w:val="0"/>
          <w:i w:val="0"/>
        </w:rPr>
        <w:t>.</w:t>
      </w:r>
    </w:p>
    <w:p>
      <w:pPr>
        <w:ind w:left="504"/>
      </w:pPr>
      <w:r>
        <w:rPr>
          <w:b/>
        </w:rPr>
        <w:t xml:space="preserve">(facilities licensed)  </w:t>
      </w:r>
      <w:r>
        <w:rPr>
          <w:b w:val="0"/>
          <w:i w:val="0"/>
          <w:color w:val="804000"/>
          <w:highlight w:val="yellow"/>
        </w:rPr>
        <w:t>[■ pole IDs / conduit segments / hut &amp; power specifications — from Schedule S9]</w:t>
      </w:r>
    </w:p>
    <w:p>
      <w:pPr>
        <w:ind w:left="504"/>
      </w:pPr>
      <w:r>
        <w:rPr>
          <w:b/>
        </w:rPr>
        <w:t xml:space="preserve">(term)  </w:t>
      </w:r>
      <w:r>
        <w:rPr>
          <w:b w:val="0"/>
          <w:i w:val="0"/>
          <w:color w:val="804000"/>
          <w:highlight w:val="yellow"/>
        </w:rPr>
        <w:t>[■ term of the pole/conduit/facility license]</w:t>
      </w:r>
      <w:r>
        <w:rPr>
          <w:b w:val="0"/>
          <w:i w:val="0"/>
        </w:rPr>
        <w:t>; provided that the term shall run for a period at least as long as the related network-use obligation for the Tribal Network and the Grant-Funded Assets it supports (including the 20-year IRU term and two (2) optional renewal terms of five (5) years each), or shall provide a lawful and enforceable replacement or relocation remedy that preserves continuity of the network-use rights for that period, but in no event longer than the underlying grantor's own interest permits.</w:t>
      </w:r>
    </w:p>
    <w:p>
      <w:pPr>
        <w:ind w:left="504"/>
      </w:pPr>
      <w:r>
        <w:rPr>
          <w:b/>
        </w:rPr>
        <w:t xml:space="preserve">(permitted use)  </w:t>
      </w:r>
      <w:r>
        <w:rPr>
          <w:b w:val="0"/>
          <w:i w:val="0"/>
        </w:rPr>
        <w:t>Attachment to and use of designated LREMC Facilities for the Tribal Network, subject to N.C. Gen. Stat. § 62-350 (broadband attachment to utility poles), make-ready, and LREMC's construction and safety standards.</w:t>
      </w:r>
    </w:p>
    <w:p>
      <w:pPr>
        <w:ind w:left="504"/>
      </w:pPr>
      <w:r>
        <w:rPr>
          <w:b/>
        </w:rPr>
        <w:t xml:space="preserve">(construction &amp; maintenance access)  </w:t>
      </w:r>
      <w:r>
        <w:rPr>
          <w:b w:val="0"/>
          <w:i w:val="0"/>
        </w:rPr>
        <w:t>Licensee and its authorized contractors may access the premises to survey, construct, install, inspect, test, operate, maintain, repair, and replace the facilities, subject to reasonable prior notice and the grantor's reasonable safety and operating rules.</w:t>
      </w:r>
    </w:p>
    <w:p>
      <w:pPr>
        <w:ind w:left="504"/>
      </w:pPr>
      <w:r>
        <w:rPr>
          <w:b/>
        </w:rPr>
        <w:t xml:space="preserve">(emergency access)  </w:t>
      </w:r>
      <w:r>
        <w:rPr>
          <w:b w:val="0"/>
          <w:i w:val="0"/>
        </w:rPr>
        <w:t>Immediate access is permitted, without prior notice, to respond to an outage, hazard, or threat to public safety or service continuity, with prompt notice given as soon as practicable.</w:t>
      </w:r>
    </w:p>
    <w:p>
      <w:pPr>
        <w:ind w:left="504"/>
      </w:pPr>
      <w:r>
        <w:rPr>
          <w:b/>
        </w:rPr>
        <w:t xml:space="preserve">(restoration)  </w:t>
      </w:r>
      <w:r>
        <w:rPr>
          <w:b w:val="0"/>
          <w:i w:val="0"/>
        </w:rPr>
        <w:t>After any work, the premises shall be restored to a condition reasonably equivalent to its prior condition, ordinary wear excepted.</w:t>
      </w:r>
    </w:p>
    <w:p>
      <w:pPr>
        <w:ind w:left="504"/>
      </w:pPr>
      <w:r>
        <w:rPr>
          <w:b/>
        </w:rPr>
        <w:t xml:space="preserve">(relocation)  </w:t>
      </w:r>
      <w:r>
        <w:rPr>
          <w:b w:val="0"/>
          <w:i w:val="0"/>
        </w:rPr>
        <w:t xml:space="preserve">Relocation of facilities, if required, shall follow </w:t>
      </w:r>
      <w:r>
        <w:rPr>
          <w:b w:val="0"/>
          <w:i w:val="0"/>
          <w:color w:val="804000"/>
          <w:highlight w:val="yellow"/>
        </w:rPr>
        <w:t>[■ relocation terms — cost responsibility and notice]</w:t>
      </w:r>
      <w:r>
        <w:rPr>
          <w:b w:val="0"/>
          <w:i w:val="0"/>
        </w:rPr>
        <w:t>; where relocation would defeat the network-use obligation, a replacement right of equivalent utility shall be provided so continuity is preserved.</w:t>
      </w:r>
    </w:p>
    <w:p>
      <w:pPr>
        <w:ind w:left="504"/>
      </w:pPr>
      <w:r>
        <w:rPr>
          <w:b/>
        </w:rPr>
        <w:t xml:space="preserve">(assignment)  </w:t>
      </w:r>
      <w:r>
        <w:rPr>
          <w:b w:val="0"/>
          <w:i w:val="0"/>
        </w:rPr>
        <w:t xml:space="preserve">Assignment requires </w:t>
      </w:r>
      <w:r>
        <w:rPr>
          <w:b w:val="0"/>
          <w:i w:val="0"/>
          <w:color w:val="804000"/>
          <w:highlight w:val="yellow"/>
        </w:rPr>
        <w:t>[■ assignment consent standard]</w:t>
      </w:r>
      <w:r>
        <w:rPr>
          <w:b w:val="0"/>
          <w:i w:val="0"/>
        </w:rPr>
        <w:t>; permitted assignments run to successors and assigns and to any operator of the Tribal Network, subject to grant, Award, and (for trust/restricted or LREMC interests) required approvals.</w:t>
      </w:r>
    </w:p>
    <w:p>
      <w:pPr>
        <w:ind w:left="504"/>
      </w:pPr>
      <w:r>
        <w:rPr>
          <w:b/>
        </w:rPr>
        <w:t xml:space="preserve">(successor recognition)  </w:t>
      </w:r>
      <w:r>
        <w:rPr>
          <w:b w:val="0"/>
          <w:i w:val="0"/>
        </w:rPr>
        <w:t>This instrument binds and benefits the parties' heirs, successors, and permitted assigns, and shall be recognized by any successor owner or operator of the affected land or facilities.</w:t>
      </w:r>
    </w:p>
    <w:p>
      <w:pPr>
        <w:ind w:left="504"/>
      </w:pPr>
      <w:r>
        <w:rPr>
          <w:b/>
        </w:rPr>
        <w:t xml:space="preserve">(recording)  </w:t>
      </w:r>
      <w:r>
        <w:rPr>
          <w:b w:val="0"/>
          <w:i w:val="0"/>
        </w:rPr>
        <w:t xml:space="preserve">This instrument (or a memorandum of it) may be recorded in the appropriate public records at </w:t>
      </w:r>
      <w:r>
        <w:rPr>
          <w:b w:val="0"/>
          <w:i w:val="0"/>
          <w:color w:val="804000"/>
          <w:highlight w:val="yellow"/>
        </w:rPr>
        <w:t>[■ recording office / county]</w:t>
      </w:r>
      <w:r>
        <w:rPr>
          <w:b w:val="0"/>
          <w:i w:val="0"/>
        </w:rPr>
        <w:t>, subject to any approval required before recording.</w:t>
      </w:r>
    </w:p>
    <w:p>
      <w:pPr>
        <w:ind w:left="504"/>
      </w:pPr>
      <w:r>
        <w:rPr>
          <w:b/>
        </w:rPr>
        <w:t xml:space="preserve">(taxes &amp; fees)  </w:t>
      </w:r>
      <w:r>
        <w:rPr>
          <w:b w:val="0"/>
          <w:i w:val="0"/>
        </w:rPr>
        <w:t xml:space="preserve">Taxes, fees, and charges, if any, are allocated as </w:t>
      </w:r>
      <w:r>
        <w:rPr>
          <w:b w:val="0"/>
          <w:i w:val="0"/>
          <w:color w:val="804000"/>
          <w:highlight w:val="yellow"/>
        </w:rPr>
        <w:t>[■ tax / fee allocation]</w:t>
      </w:r>
      <w:r>
        <w:rPr>
          <w:b w:val="0"/>
          <w:i w:val="0"/>
        </w:rPr>
        <w:t>; nothing herein waives any applicable governmental or tribal exemption.</w:t>
      </w:r>
    </w:p>
    <w:p>
      <w:pPr>
        <w:ind w:left="504"/>
      </w:pPr>
      <w:r>
        <w:rPr>
          <w:b/>
        </w:rPr>
        <w:t xml:space="preserve">(make-ready &amp; power)  </w:t>
      </w:r>
      <w:r>
        <w:rPr>
          <w:b w:val="0"/>
          <w:i w:val="0"/>
          <w:color w:val="804000"/>
          <w:highlight w:val="yellow"/>
        </w:rPr>
        <w:t>[■ make-ready, attachment fees, and metered/unmetered power terms — per LREMC]</w:t>
      </w:r>
    </w:p>
    <w:p/>
    <w:p>
      <w:r>
        <w:rPr>
          <w:i/>
        </w:rPr>
        <w:t>EXECUTION — this form to be executed by the named grantor and grantee:</w:t>
      </w:r>
    </w:p>
    <w:p>
      <w:r>
        <w:rPr>
          <w:b/>
          <w:color w:val="1F3864"/>
        </w:rPr>
        <w:t>GRANTOR:  Lumbee River Electric Membership Corporation d/b/a Lumbee River EMC</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r>
        <w:rPr>
          <w:b/>
          <w:color w:val="1F3864"/>
        </w:rPr>
        <w:t>GRANTEE:  [■ licensee entity]</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r>
        <w:rPr>
          <w:b/>
          <w:color w:val="C00000"/>
        </w:rPr>
        <w:t>REQUIRED SEPARATE CONSENT — LREMC:</w:t>
      </w:r>
    </w:p>
    <w:p>
      <w:r>
        <w:rPr>
          <w:b w:val="0"/>
          <w:i w:val="0"/>
        </w:rPr>
        <w:t>The facilities licensed under this form are LREMC Facilities owned by Lumbee River Electric Membership Corporation d/b/a Lumbee River EMC (“LREMC”), a separate entity that is not RIVR Tech. This form is not effective as to any LREMC Facilities without LREMC's own signature and consent under the LREMC Consent and Joinder (03 — Governance and Authorizations). Nothing herein transfers ownership of, or creates any debt, guarantee, or financing obligation of, LREMC.</w:t>
      </w:r>
    </w:p>
    <w:p>
      <w:r>
        <w:rPr>
          <w:b/>
          <w:color w:val="1F3864"/>
        </w:rPr>
        <w:t>CONSENTING OWNER:  Lumbee River Electric Membership Corporation d/b/a Lumbee River EMC</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LREMC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Pr>
        <w:pStyle w:val="Heading2"/>
        <w:spacing w:before="160" w:after="60"/>
      </w:pPr>
      <w:r>
        <w:rPr>
          <w:rFonts w:ascii="Calibri" w:hAnsi="Calibri"/>
          <w:b/>
          <w:color w:val="000000"/>
          <w:sz w:val="22"/>
        </w:rPr>
        <w:t>5.5  FORM 5 — NCDOT Encroachment Agreement</w:t>
      </w:r>
    </w:p>
    <w:p>
      <w:r>
        <w:rPr>
          <w:b w:val="0"/>
          <w:i w:val="0"/>
        </w:rPr>
        <w:t>For facilities within North Carolina Department of Transportation corridors. Governed by N.C. Gen. Stat. § 136-18 and NCDOT utility accommodation policy (encroachment/ROW in NCDOT corridors) and the NCDOT utility accommodation policy. This is a state encroachment authorization; the Lumbee Tribe does not own the NCDOT corridor.</w:t>
      </w:r>
    </w:p>
    <w:p>
      <w:pPr>
        <w:ind w:left="504"/>
      </w:pPr>
      <w:r>
        <w:rPr>
          <w:b/>
        </w:rPr>
        <w:t xml:space="preserve">(parties)  </w:t>
      </w:r>
      <w:r>
        <w:rPr>
          <w:b w:val="0"/>
          <w:i w:val="0"/>
        </w:rPr>
        <w:t xml:space="preserve">Authority: North Carolina Department of Transportation. Applicant/Encroaching Party: </w:t>
      </w:r>
      <w:r>
        <w:rPr>
          <w:b w:val="0"/>
          <w:i w:val="0"/>
          <w:color w:val="804000"/>
          <w:highlight w:val="yellow"/>
        </w:rPr>
        <w:t>[■ applicant — network entity / RIVR Tech]</w:t>
      </w:r>
      <w:r>
        <w:rPr>
          <w:b w:val="0"/>
          <w:i w:val="0"/>
        </w:rPr>
        <w:t>.</w:t>
      </w:r>
    </w:p>
    <w:p>
      <w:pPr>
        <w:ind w:left="504"/>
      </w:pPr>
      <w:r>
        <w:rPr>
          <w:b/>
        </w:rPr>
        <w:t xml:space="preserve">(location)  </w:t>
      </w:r>
      <w:r>
        <w:rPr>
          <w:b w:val="0"/>
          <w:i w:val="0"/>
          <w:color w:val="804000"/>
          <w:highlight w:val="yellow"/>
        </w:rPr>
        <w:t>[■ route / highway / county / station limits within NCDOT ROW]</w:t>
      </w:r>
    </w:p>
    <w:p>
      <w:pPr>
        <w:ind w:left="504"/>
      </w:pPr>
      <w:r>
        <w:rPr>
          <w:b/>
        </w:rPr>
        <w:t xml:space="preserve">(term)  </w:t>
      </w:r>
      <w:r>
        <w:rPr>
          <w:b w:val="0"/>
          <w:i w:val="0"/>
          <w:color w:val="804000"/>
          <w:highlight w:val="yellow"/>
        </w:rPr>
        <w:t>[■ term / duration of the NCDOT encroachment authorization]</w:t>
      </w:r>
      <w:r>
        <w:rPr>
          <w:b w:val="0"/>
          <w:i w:val="0"/>
        </w:rPr>
        <w:t>; provided that the term shall run for a period at least as long as the related network-use obligation for the Tribal Network and the Grant-Funded Assets it supports (including the 20-year IRU term and two (2) optional renewal terms of five (5) years each), or shall provide a lawful and enforceable replacement or relocation remedy that preserves continuity of the network-use rights for that period, but in no event longer than the underlying grantor's own interest permits.</w:t>
      </w:r>
    </w:p>
    <w:p>
      <w:pPr>
        <w:ind w:left="504"/>
      </w:pPr>
      <w:r>
        <w:rPr>
          <w:b/>
        </w:rPr>
        <w:t xml:space="preserve">(permitted use)  </w:t>
      </w:r>
      <w:r>
        <w:rPr>
          <w:b w:val="0"/>
          <w:i w:val="0"/>
        </w:rPr>
        <w:t>Placement, operation, and maintenance of fiber and appurtenant facilities within the NCDOT right-of-way, subject to NCDOT permit conditions.</w:t>
      </w:r>
    </w:p>
    <w:p>
      <w:pPr>
        <w:ind w:left="504"/>
      </w:pPr>
      <w:r>
        <w:rPr>
          <w:b/>
        </w:rPr>
        <w:t xml:space="preserve">(construction &amp; maintenance access)  </w:t>
      </w:r>
      <w:r>
        <w:rPr>
          <w:b w:val="0"/>
          <w:i w:val="0"/>
        </w:rPr>
        <w:t>Encroaching Party and its authorized contractors may access the premises to survey, construct, install, inspect, test, operate, maintain, repair, and replace the facilities, subject to reasonable prior notice and the grantor's reasonable safety and operating rules.</w:t>
      </w:r>
    </w:p>
    <w:p>
      <w:pPr>
        <w:ind w:left="504"/>
      </w:pPr>
      <w:r>
        <w:rPr>
          <w:b/>
        </w:rPr>
        <w:t xml:space="preserve">(emergency access)  </w:t>
      </w:r>
      <w:r>
        <w:rPr>
          <w:b w:val="0"/>
          <w:i w:val="0"/>
        </w:rPr>
        <w:t>Immediate access is permitted, without prior notice, to respond to an outage, hazard, or threat to public safety or service continuity, with prompt notice given as soon as practicable.</w:t>
      </w:r>
    </w:p>
    <w:p>
      <w:pPr>
        <w:ind w:left="504"/>
      </w:pPr>
      <w:r>
        <w:rPr>
          <w:b/>
        </w:rPr>
        <w:t xml:space="preserve">(restoration)  </w:t>
      </w:r>
      <w:r>
        <w:rPr>
          <w:b w:val="0"/>
          <w:i w:val="0"/>
        </w:rPr>
        <w:t>After any work, the premises shall be restored to a condition reasonably equivalent to its prior condition, ordinary wear excepted.</w:t>
      </w:r>
    </w:p>
    <w:p>
      <w:pPr>
        <w:ind w:left="504"/>
      </w:pPr>
      <w:r>
        <w:rPr>
          <w:b/>
        </w:rPr>
        <w:t xml:space="preserve">(relocation)  </w:t>
      </w:r>
      <w:r>
        <w:rPr>
          <w:b w:val="0"/>
          <w:i w:val="0"/>
        </w:rPr>
        <w:t xml:space="preserve">Relocation of facilities, if required, shall follow </w:t>
      </w:r>
      <w:r>
        <w:rPr>
          <w:b w:val="0"/>
          <w:i w:val="0"/>
          <w:color w:val="804000"/>
          <w:highlight w:val="yellow"/>
        </w:rPr>
        <w:t>[■ relocation terms — cost responsibility and notice]</w:t>
      </w:r>
      <w:r>
        <w:rPr>
          <w:b w:val="0"/>
          <w:i w:val="0"/>
        </w:rPr>
        <w:t>; where relocation would defeat the network-use obligation, a replacement right of equivalent utility shall be provided so continuity is preserved.</w:t>
      </w:r>
    </w:p>
    <w:p>
      <w:pPr>
        <w:ind w:left="504"/>
      </w:pPr>
      <w:r>
        <w:rPr>
          <w:b/>
        </w:rPr>
        <w:t xml:space="preserve">(assignment)  </w:t>
      </w:r>
      <w:r>
        <w:rPr>
          <w:b w:val="0"/>
          <w:i w:val="0"/>
        </w:rPr>
        <w:t xml:space="preserve">Assignment requires </w:t>
      </w:r>
      <w:r>
        <w:rPr>
          <w:b w:val="0"/>
          <w:i w:val="0"/>
          <w:color w:val="804000"/>
          <w:highlight w:val="yellow"/>
        </w:rPr>
        <w:t>[■ assignment consent standard]</w:t>
      </w:r>
      <w:r>
        <w:rPr>
          <w:b w:val="0"/>
          <w:i w:val="0"/>
        </w:rPr>
        <w:t>; permitted assignments run to successors and assigns and to any operator of the Tribal Network, subject to grant, Award, and (for trust/restricted or LREMC interests) required approvals.</w:t>
      </w:r>
    </w:p>
    <w:p>
      <w:pPr>
        <w:ind w:left="504"/>
      </w:pPr>
      <w:r>
        <w:rPr>
          <w:b/>
        </w:rPr>
        <w:t xml:space="preserve">(successor recognition)  </w:t>
      </w:r>
      <w:r>
        <w:rPr>
          <w:b w:val="0"/>
          <w:i w:val="0"/>
        </w:rPr>
        <w:t>This instrument binds and benefits the parties' heirs, successors, and permitted assigns, and shall be recognized by any successor owner or operator of the affected land or facilities.</w:t>
      </w:r>
    </w:p>
    <w:p>
      <w:pPr>
        <w:ind w:left="504"/>
      </w:pPr>
      <w:r>
        <w:rPr>
          <w:b/>
        </w:rPr>
        <w:t xml:space="preserve">(taxes &amp; fees)  </w:t>
      </w:r>
      <w:r>
        <w:rPr>
          <w:b w:val="0"/>
          <w:i w:val="0"/>
        </w:rPr>
        <w:t xml:space="preserve">Taxes, fees, and charges, if any, are allocated as </w:t>
      </w:r>
      <w:r>
        <w:rPr>
          <w:b w:val="0"/>
          <w:i w:val="0"/>
          <w:color w:val="804000"/>
          <w:highlight w:val="yellow"/>
        </w:rPr>
        <w:t>[■ tax / fee allocation]</w:t>
      </w:r>
      <w:r>
        <w:rPr>
          <w:b w:val="0"/>
          <w:i w:val="0"/>
        </w:rPr>
        <w:t>; nothing herein waives any applicable governmental or tribal exemption.</w:t>
      </w:r>
    </w:p>
    <w:p>
      <w:pPr>
        <w:ind w:left="504"/>
      </w:pPr>
      <w:r>
        <w:rPr>
          <w:b/>
          <w:color w:val="0000C0"/>
        </w:rPr>
        <w:t xml:space="preserve">[ATTORNEY REVIEW REQUIRED]  </w:t>
      </w:r>
      <w:r>
        <w:rPr>
          <w:i/>
          <w:color w:val="595959"/>
        </w:rPr>
        <w:t>NCDOT uses its own encroachment forms and conditions; this template maps required terms and must be conformed to the current NCDOT instrument (N.C. Gen. Stat. § 136-18 and NCDOT utility accommodation policy (encroachment/ROW in NCDOT corridors)).</w:t>
      </w:r>
    </w:p>
    <w:p/>
    <w:p>
      <w:r>
        <w:rPr>
          <w:i/>
        </w:rPr>
        <w:t>EXECUTION — this form to be executed by the named grantor and grantee:</w:t>
      </w:r>
    </w:p>
    <w:p>
      <w:r>
        <w:rPr>
          <w:b/>
          <w:color w:val="1F3864"/>
        </w:rPr>
        <w:t>GRANTOR:  North Carolina Department of Transportation</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r>
        <w:rPr>
          <w:b/>
          <w:color w:val="1F3864"/>
        </w:rPr>
        <w:t>GRANTEE:  [■ encroaching party]</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pPr>
        <w:pStyle w:val="Heading2"/>
        <w:spacing w:before="160" w:after="60"/>
      </w:pPr>
      <w:r>
        <w:rPr>
          <w:rFonts w:ascii="Calibri" w:hAnsi="Calibri"/>
          <w:b/>
          <w:color w:val="000000"/>
          <w:sz w:val="22"/>
        </w:rPr>
        <w:t>5.6  FORM 6 — Third-Party Consent, License, or Crossing Agreement</w:t>
      </w:r>
    </w:p>
    <w:p>
      <w:r>
        <w:rPr>
          <w:b w:val="0"/>
          <w:i w:val="0"/>
        </w:rPr>
        <w:t>For public rights-of-way not owned by the Lumbee Tribe, railroad crossings, and any other third-party land or facilities. The Lumbee Tribe cannot grant rights in third-party property; the third-party owner must sign.</w:t>
      </w:r>
    </w:p>
    <w:p>
      <w:pPr>
        <w:ind w:left="504"/>
      </w:pPr>
      <w:r>
        <w:rPr>
          <w:b/>
        </w:rPr>
        <w:t xml:space="preserve">(parties)  </w:t>
      </w:r>
      <w:r>
        <w:rPr>
          <w:b w:val="0"/>
          <w:i w:val="0"/>
        </w:rPr>
        <w:t xml:space="preserve">Owner/Authority: </w:t>
      </w:r>
      <w:r>
        <w:rPr>
          <w:b w:val="0"/>
          <w:i w:val="0"/>
          <w:color w:val="804000"/>
          <w:highlight w:val="yellow"/>
        </w:rPr>
        <w:t>[■ third party — railroad / municipality / utility / landowner]</w:t>
      </w:r>
      <w:r>
        <w:rPr>
          <w:b w:val="0"/>
          <w:i w:val="0"/>
        </w:rPr>
        <w:t xml:space="preserve">. Grantee: </w:t>
      </w:r>
      <w:r>
        <w:rPr>
          <w:b w:val="0"/>
          <w:i w:val="0"/>
          <w:color w:val="804000"/>
          <w:highlight w:val="yellow"/>
        </w:rPr>
        <w:t>[■ grantee — network entity / RIVR Tech]</w:t>
      </w:r>
      <w:r>
        <w:rPr>
          <w:b w:val="0"/>
          <w:i w:val="0"/>
        </w:rPr>
        <w:t>.</w:t>
      </w:r>
    </w:p>
    <w:p>
      <w:pPr>
        <w:ind w:left="504"/>
      </w:pPr>
      <w:r>
        <w:rPr>
          <w:b/>
        </w:rPr>
        <w:t xml:space="preserve">(facility / crossing)  </w:t>
      </w:r>
      <w:r>
        <w:rPr>
          <w:b w:val="0"/>
          <w:i w:val="0"/>
          <w:color w:val="804000"/>
          <w:highlight w:val="yellow"/>
        </w:rPr>
        <w:t>[■ crossing / license description — e.g., railroad crossing point, public ROW segment]</w:t>
      </w:r>
    </w:p>
    <w:p>
      <w:pPr>
        <w:ind w:left="504"/>
      </w:pPr>
      <w:r>
        <w:rPr>
          <w:b/>
        </w:rPr>
        <w:t xml:space="preserve">(term)  </w:t>
      </w:r>
      <w:r>
        <w:rPr>
          <w:b w:val="0"/>
          <w:i w:val="0"/>
          <w:color w:val="804000"/>
          <w:highlight w:val="yellow"/>
        </w:rPr>
        <w:t>[■ term of the third-party consent / crossing agreement]</w:t>
      </w:r>
      <w:r>
        <w:rPr>
          <w:b w:val="0"/>
          <w:i w:val="0"/>
        </w:rPr>
        <w:t>; provided that the term shall run for a period at least as long as the related network-use obligation for the Tribal Network and the Grant-Funded Assets it supports (including the 20-year IRU term and two (2) optional renewal terms of five (5) years each), or shall provide a lawful and enforceable replacement or relocation remedy that preserves continuity of the network-use rights for that period, but in no event longer than the underlying grantor's own interest permits.</w:t>
      </w:r>
    </w:p>
    <w:p>
      <w:pPr>
        <w:ind w:left="504"/>
      </w:pPr>
      <w:r>
        <w:rPr>
          <w:b/>
        </w:rPr>
        <w:t xml:space="preserve">(permitted use)  </w:t>
      </w:r>
      <w:r>
        <w:rPr>
          <w:b w:val="0"/>
          <w:i w:val="0"/>
        </w:rPr>
        <w:t>Placement, crossing, operation, and maintenance of network facilities on or across the third party's property, subject to its conditions.</w:t>
      </w:r>
    </w:p>
    <w:p>
      <w:pPr>
        <w:ind w:left="504"/>
      </w:pPr>
      <w:r>
        <w:rPr>
          <w:b/>
        </w:rPr>
        <w:t xml:space="preserve">(construction &amp; maintenance access)  </w:t>
      </w:r>
      <w:r>
        <w:rPr>
          <w:b w:val="0"/>
          <w:i w:val="0"/>
        </w:rPr>
        <w:t>Grantee and its authorized contractors may access the premises to survey, construct, install, inspect, test, operate, maintain, repair, and replace the facilities, subject to reasonable prior notice and the grantor's reasonable safety and operating rules.</w:t>
      </w:r>
    </w:p>
    <w:p>
      <w:pPr>
        <w:ind w:left="504"/>
      </w:pPr>
      <w:r>
        <w:rPr>
          <w:b/>
        </w:rPr>
        <w:t xml:space="preserve">(emergency access)  </w:t>
      </w:r>
      <w:r>
        <w:rPr>
          <w:b w:val="0"/>
          <w:i w:val="0"/>
        </w:rPr>
        <w:t>Immediate access is permitted, without prior notice, to respond to an outage, hazard, or threat to public safety or service continuity, with prompt notice given as soon as practicable.</w:t>
      </w:r>
    </w:p>
    <w:p>
      <w:pPr>
        <w:ind w:left="504"/>
      </w:pPr>
      <w:r>
        <w:rPr>
          <w:b/>
        </w:rPr>
        <w:t xml:space="preserve">(restoration)  </w:t>
      </w:r>
      <w:r>
        <w:rPr>
          <w:b w:val="0"/>
          <w:i w:val="0"/>
        </w:rPr>
        <w:t>After any work, the premises shall be restored to a condition reasonably equivalent to its prior condition, ordinary wear excepted.</w:t>
      </w:r>
    </w:p>
    <w:p>
      <w:pPr>
        <w:ind w:left="504"/>
      </w:pPr>
      <w:r>
        <w:rPr>
          <w:b/>
        </w:rPr>
        <w:t xml:space="preserve">(relocation)  </w:t>
      </w:r>
      <w:r>
        <w:rPr>
          <w:b w:val="0"/>
          <w:i w:val="0"/>
        </w:rPr>
        <w:t xml:space="preserve">Relocation of facilities, if required, shall follow </w:t>
      </w:r>
      <w:r>
        <w:rPr>
          <w:b w:val="0"/>
          <w:i w:val="0"/>
          <w:color w:val="804000"/>
          <w:highlight w:val="yellow"/>
        </w:rPr>
        <w:t>[■ relocation terms — cost responsibility and notice]</w:t>
      </w:r>
      <w:r>
        <w:rPr>
          <w:b w:val="0"/>
          <w:i w:val="0"/>
        </w:rPr>
        <w:t>; where relocation would defeat the network-use obligation, a replacement right of equivalent utility shall be provided so continuity is preserved.</w:t>
      </w:r>
    </w:p>
    <w:p>
      <w:pPr>
        <w:ind w:left="504"/>
      </w:pPr>
      <w:r>
        <w:rPr>
          <w:b/>
        </w:rPr>
        <w:t xml:space="preserve">(assignment)  </w:t>
      </w:r>
      <w:r>
        <w:rPr>
          <w:b w:val="0"/>
          <w:i w:val="0"/>
        </w:rPr>
        <w:t xml:space="preserve">Assignment requires </w:t>
      </w:r>
      <w:r>
        <w:rPr>
          <w:b w:val="0"/>
          <w:i w:val="0"/>
          <w:color w:val="804000"/>
          <w:highlight w:val="yellow"/>
        </w:rPr>
        <w:t>[■ assignment consent standard]</w:t>
      </w:r>
      <w:r>
        <w:rPr>
          <w:b w:val="0"/>
          <w:i w:val="0"/>
        </w:rPr>
        <w:t>; permitted assignments run to successors and assigns and to any operator of the Tribal Network, subject to grant, Award, and (for trust/restricted or LREMC interests) required approvals.</w:t>
      </w:r>
    </w:p>
    <w:p>
      <w:pPr>
        <w:ind w:left="504"/>
      </w:pPr>
      <w:r>
        <w:rPr>
          <w:b/>
        </w:rPr>
        <w:t xml:space="preserve">(successor recognition)  </w:t>
      </w:r>
      <w:r>
        <w:rPr>
          <w:b w:val="0"/>
          <w:i w:val="0"/>
        </w:rPr>
        <w:t>This instrument binds and benefits the parties' heirs, successors, and permitted assigns, and shall be recognized by any successor owner or operator of the affected land or facilities.</w:t>
      </w:r>
    </w:p>
    <w:p>
      <w:pPr>
        <w:ind w:left="504"/>
      </w:pPr>
      <w:r>
        <w:rPr>
          <w:b/>
        </w:rPr>
        <w:t xml:space="preserve">(recording)  </w:t>
      </w:r>
      <w:r>
        <w:rPr>
          <w:b w:val="0"/>
          <w:i w:val="0"/>
        </w:rPr>
        <w:t xml:space="preserve">This instrument (or a memorandum of it) may be recorded in the appropriate public records at </w:t>
      </w:r>
      <w:r>
        <w:rPr>
          <w:b w:val="0"/>
          <w:i w:val="0"/>
          <w:color w:val="804000"/>
          <w:highlight w:val="yellow"/>
        </w:rPr>
        <w:t>[■ recording office / county]</w:t>
      </w:r>
      <w:r>
        <w:rPr>
          <w:b w:val="0"/>
          <w:i w:val="0"/>
        </w:rPr>
        <w:t>, subject to any approval required before recording.</w:t>
      </w:r>
    </w:p>
    <w:p>
      <w:pPr>
        <w:ind w:left="504"/>
      </w:pPr>
      <w:r>
        <w:rPr>
          <w:b/>
        </w:rPr>
        <w:t xml:space="preserve">(taxes &amp; fees)  </w:t>
      </w:r>
      <w:r>
        <w:rPr>
          <w:b w:val="0"/>
          <w:i w:val="0"/>
        </w:rPr>
        <w:t xml:space="preserve">Taxes, fees, and charges, if any, are allocated as </w:t>
      </w:r>
      <w:r>
        <w:rPr>
          <w:b w:val="0"/>
          <w:i w:val="0"/>
          <w:color w:val="804000"/>
          <w:highlight w:val="yellow"/>
        </w:rPr>
        <w:t>[■ tax / fee allocation]</w:t>
      </w:r>
      <w:r>
        <w:rPr>
          <w:b w:val="0"/>
          <w:i w:val="0"/>
        </w:rPr>
        <w:t>; nothing herein waives any applicable governmental or tribal exemption.</w:t>
      </w:r>
    </w:p>
    <w:p>
      <w:pPr>
        <w:ind w:left="504"/>
      </w:pPr>
      <w:r>
        <w:rPr>
          <w:b/>
          <w:color w:val="0000C0"/>
        </w:rPr>
        <w:t xml:space="preserve">[ATTORNEY REVIEW REQUIRED]  </w:t>
      </w:r>
      <w:r>
        <w:rPr>
          <w:i/>
          <w:color w:val="595959"/>
        </w:rPr>
        <w:t>Railroad and utility owners typically require their own crossing/license forms, insurance, and fees; conform this template to each owner's instrument.</w:t>
      </w:r>
    </w:p>
    <w:p/>
    <w:p>
      <w:r>
        <w:rPr>
          <w:i/>
        </w:rPr>
        <w:t>EXECUTION — this form to be executed by the named grantor and grantee:</w:t>
      </w:r>
    </w:p>
    <w:p>
      <w:r>
        <w:rPr>
          <w:b/>
          <w:color w:val="1F3864"/>
        </w:rPr>
        <w:t>GRANTOR:  [■ third-party owner/authority]</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r>
        <w:rPr>
          <w:b/>
          <w:color w:val="1F3864"/>
        </w:rPr>
        <w:t>GRANTEE:  [■ grantee entity]</w:t>
      </w:r>
    </w:p>
    <w:p>
      <w:pPr>
        <w:ind w:left="360"/>
      </w:pPr>
      <w:r>
        <w:rPr>
          <w:b w:val="0"/>
          <w:i w:val="0"/>
        </w:rPr>
        <w:t>By: ____________________________________</w:t>
      </w:r>
    </w:p>
    <w:p>
      <w:pPr>
        <w:ind w:left="360"/>
      </w:pPr>
      <w:r>
        <w:rPr>
          <w:b w:val="0"/>
          <w:i w:val="0"/>
        </w:rPr>
        <w:t xml:space="preserve">Name: </w:t>
      </w:r>
      <w:r>
        <w:rPr>
          <w:b w:val="0"/>
          <w:i w:val="0"/>
          <w:color w:val="804000"/>
          <w:highlight w:val="yellow"/>
        </w:rPr>
        <w:t>[■ authorized signatory]</w:t>
      </w:r>
    </w:p>
    <w:p>
      <w:pPr>
        <w:ind w:left="360"/>
      </w:pPr>
      <w:r>
        <w:rPr>
          <w:b w:val="0"/>
          <w:i w:val="0"/>
        </w:rPr>
        <w:t xml:space="preserve">Title: </w:t>
      </w:r>
      <w:r>
        <w:rPr>
          <w:b w:val="0"/>
          <w:i w:val="0"/>
          <w:color w:val="804000"/>
          <w:highlight w:val="yellow"/>
        </w:rPr>
        <w:t>[■ title]</w:t>
      </w:r>
    </w:p>
    <w:p>
      <w:pPr>
        <w:ind w:left="360"/>
      </w:pPr>
      <w:r>
        <w:rPr>
          <w:b w:val="0"/>
          <w:i w:val="0"/>
        </w:rPr>
        <w:t>Date: ____________________________________</w:t>
      </w:r>
    </w:p>
    <w:p/>
    <w:p>
      <w:pPr>
        <w:pStyle w:val="Heading1"/>
        <w:spacing w:before="240" w:after="120"/>
      </w:pPr>
      <w:r>
        <w:rPr>
          <w:rFonts w:ascii="Calibri" w:hAnsi="Calibri"/>
          <w:b/>
          <w:color w:val="1F3864"/>
          <w:sz w:val="26"/>
        </w:rPr>
        <w:t>ARTICLE 6.  APPROVALS, RECORDING, AND COORDINATION</w:t>
      </w:r>
    </w:p>
    <w:p>
      <w:pPr>
        <w:pStyle w:val="Heading2"/>
        <w:spacing w:before="160" w:after="60"/>
      </w:pPr>
      <w:r>
        <w:rPr>
          <w:rFonts w:ascii="Calibri" w:hAnsi="Calibri"/>
          <w:b/>
          <w:color w:val="000000"/>
          <w:sz w:val="22"/>
        </w:rPr>
        <w:t>6.1  Approvals Are Conditions Precedent</w:t>
      </w:r>
    </w:p>
    <w:p>
      <w:r>
        <w:rPr>
          <w:b w:val="0"/>
          <w:i w:val="0"/>
        </w:rPr>
        <w:t>Each required approval (BIA, NCDOT, LREMC consent, allottee consent, third-party owner signature, and any NTIA/DOC approval affecting the Federal Interest) is a condition precedent to the effectiveness of the corresponding instrument. Required approvals are tracked in Schedule S14 (Required Federal, Tribal, Corporate, Landowner, Lender, and Regulatory Approvals).</w:t>
      </w:r>
    </w:p>
    <w:p>
      <w:pPr>
        <w:pStyle w:val="Heading2"/>
        <w:spacing w:before="160" w:after="60"/>
      </w:pPr>
      <w:r>
        <w:rPr>
          <w:rFonts w:ascii="Calibri" w:hAnsi="Calibri"/>
          <w:b/>
          <w:color w:val="000000"/>
          <w:sz w:val="22"/>
        </w:rPr>
        <w:t>6.2  Coordination with Federal Interest</w:t>
      </w:r>
    </w:p>
    <w:p>
      <w:r>
        <w:rPr>
          <w:b w:val="0"/>
          <w:i w:val="0"/>
        </w:rPr>
        <w:t>No instrument shall encumber or dispose of Federal-Interest or trust/restricted property contrary to 2 CFR 200.311 (Real property — use, encumbrance, and disposition), 2 CFR 200.316 (Property trust relationship), or the Award.</w:t>
      </w:r>
    </w:p>
    <w:p/>
    <w:p>
      <w:pPr>
        <w:pStyle w:val="Heading1"/>
        <w:spacing w:before="240" w:after="120"/>
      </w:pPr>
      <w:r>
        <w:rPr>
          <w:rFonts w:ascii="Calibri" w:hAnsi="Calibri"/>
          <w:b/>
          <w:color w:val="1F3864"/>
          <w:sz w:val="26"/>
        </w:rPr>
        <w:t>ARTICLE —.  DISCLAIMER AND RESERVATION</w:t>
      </w:r>
    </w:p>
    <w:p>
      <w:pPr>
        <w:jc w:val="center"/>
      </w:pPr>
      <w:r>
        <w:rPr>
          <w:b/>
          <w:color w:val="C00000"/>
          <w:highlight w:val="yellow"/>
        </w:rPr>
        <w:t>PRELIMINARY DRAFT – NO CONTROLLING TBCP AWARD OR SOURCE DOCUMENTS SUPPLIED – PROVISIONAL BASELINE: MARCH 2024 AMENDED ROUND 2 NOFO – SUBJECT TO LEGAL, GRANT AND FINANCIAL REVIEW</w:t>
      </w:r>
    </w:p>
    <w:p>
      <w:r>
        <w:rPr>
          <w:b w:val="0"/>
          <w:i w:val="0"/>
        </w:rPr>
        <w:t>This document is a PRELIMINARY WORKING DRAFT prepared for discussion and negotiation only. No controlling TBCP award, Notice of Funding Opportunity, Specific Award Conditions, approved application, or other source document has been supplied. The provisional baseline used for structuring is the TBCP Round 2 Notice of Funding Opportunity, as amended March 2024 (PROVISIONAL BASELINE). Round 3 is the live TBCP round as of the version date; the controlling round and executed award must be confirmed before any definitive clause is finalized.</w:t>
      </w:r>
    </w:p>
    <w:p>
      <w:r>
        <w:rPr>
          <w:b w:val="0"/>
          <w:i w:val="0"/>
        </w:rPr>
        <w:t>This draft does not constitute legal, financial, tax, engineering, or grant-compliance advice, does not create any binding obligation, and is not an offer capable of acceptance. Award numbers, routes, prices, useful-life figures, approvals, land rights, and third-party consents shown as bracketed placeholders have NOT been supplied and must not be assumed, invented, or relied upon. Every bracketed flag and highlighted placeholder must be resolved, and the controlling Award confirmed, before any provision is finalized or executed.</w:t>
      </w:r>
    </w:p>
    <w:p>
      <w:pPr>
        <w:ind w:left="504"/>
      </w:pPr>
      <w:r>
        <w:rPr>
          <w:b/>
          <w:color w:val="0000C0"/>
        </w:rPr>
        <w:t xml:space="preserve">[ATTORNEY REVIEW REQUIRED]  </w:t>
      </w:r>
      <w:r>
        <w:rPr>
          <w:i/>
          <w:color w:val="595959"/>
        </w:rPr>
        <w:t>Sovereign-immunity, waiver, dispute-resolution, and governing-law provisions are presented elsewhere in the package as bracketed ALTERNATIVES and require tribal-counsel and outside-counsel review. No provision waives the sovereign immunity of the Lumbee Tribe except by an express, written, and duly authorized waiver; see Santa Clara Pueblo v. Martinez, 436 U.S. 49 (1978); C&amp;L Enterprises v. Citizen Band Potawatomi, 532 U.S. 411 (2001); Michigan v. Bay Mills, 572 U.S. 782 (2014) (tribal sovereign immunity; clear express waiver required).</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08 Land / Easement / ROW / Pole / Facility Instruments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