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DEFINITIVE AGREEMENT NO. 09</w:t>
      </w:r>
    </w:p>
    <w:p>
      <w:pPr>
        <w:jc w:val="center"/>
      </w:pPr>
      <w:r>
        <w:rPr>
          <w:b/>
          <w:color w:val="1F3864"/>
          <w:sz w:val="48"/>
        </w:rPr>
        <w:t>Data Privacy, Cybersecurity, Supply-Chain Risk, and Business Continuity Addendum</w:t>
      </w:r>
    </w:p>
    <w:p>
      <w:pPr>
        <w:jc w:val="center"/>
      </w:pPr>
      <w:r>
        <w:rPr>
          <w:color w:val="595959"/>
          <w:sz w:val="28"/>
        </w:rPr>
        <w:t>Data Privacy, Cybersecurity, Supply-Chain Risk, and Business Continuity</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val="0"/>
        </w:rPr>
        <w:t xml:space="preserve">This Data Privacy, Cybersecurity, Supply-Chain Risk, and Business Continuity Addendum (this “Agreement”) is entered into as of </w:t>
      </w:r>
      <w:r>
        <w:rPr>
          <w:b w:val="0"/>
          <w:i w:val="0"/>
          <w:color w:val="804000"/>
          <w:highlight w:val="yellow"/>
        </w:rPr>
        <w:t>[■ Effective Date]</w:t>
      </w:r>
      <w:r>
        <w:rPr>
          <w:b w:val="0"/>
          <w:i w:val="0"/>
        </w:rPr>
        <w:t xml:space="preserve"> (the “Effective Date”), by and between Lumbee Tribe of North Carolina (the “Lumbee Tribe”), and LREMC Technologies, LLC d/b/a RIVR Tech (“RIVR Tech”). The Lumbee Tribe and RIVR Tech are each a “Party” and together the “Parties.”</w:t>
      </w:r>
    </w:p>
    <w:p>
      <w:r>
        <w:rPr>
          <w:b w:val="0"/>
          <w:i w:val="0"/>
        </w:rPr>
        <w:t>This Agreement is one of the Definitive Agreements executed under, and is subordinate to, the Master TBCP Partnership and Implementation Agreement. It supports the Tribal Broadband Connectivity Program (TBCP) award administered by the National Telecommunications and Information Administration (NTIA), U.S. Department of Commerce.</w:t>
      </w:r>
    </w:p>
    <w:p>
      <w:pPr>
        <w:ind w:left="504"/>
      </w:pPr>
      <w:r>
        <w:rPr>
          <w:b/>
          <w:color w:val="7F007F"/>
        </w:rPr>
        <w:t xml:space="preserve">[GRANT COMPLIANCE REVIEW REQUIRED]  </w:t>
      </w:r>
      <w:r>
        <w:rPr>
          <w:i/>
          <w:color w:val="595959"/>
        </w:rPr>
        <w:t>No controlling TBCP award or source documents were supplied. Provisional baseline: TBCP Round 2 Notice of Funding Opportunity, as amended March 2024 (PROVISIONAL BASELINE). Round 3 is the live TBCP round as of the version date; the controlling round and executed award must be confirmed before any definitive clause is finalized.</w:t>
      </w:r>
    </w:p>
    <w:p>
      <w:pPr>
        <w:pStyle w:val="Heading1"/>
        <w:spacing w:before="240" w:after="120"/>
      </w:pPr>
      <w:r>
        <w:rPr>
          <w:rFonts w:ascii="Calibri" w:hAnsi="Calibri"/>
          <w:b/>
          <w:color w:val="1F3864"/>
          <w:sz w:val="26"/>
        </w:rPr>
        <w:t>ARTICLE 1.  PURPOSE, SCOPE, AND CROSS-REFERENCES</w:t>
      </w:r>
    </w:p>
    <w:p>
      <w:pPr>
        <w:pStyle w:val="Heading2"/>
        <w:spacing w:before="160" w:after="60"/>
      </w:pPr>
      <w:r>
        <w:rPr>
          <w:rFonts w:ascii="Calibri" w:hAnsi="Calibri"/>
          <w:b/>
          <w:color w:val="000000"/>
          <w:sz w:val="22"/>
        </w:rPr>
        <w:t>1.1  Purpose</w:t>
      </w:r>
    </w:p>
    <w:p>
      <w:r>
        <w:rPr>
          <w:b w:val="0"/>
          <w:i w:val="0"/>
        </w:rPr>
        <w:t>This Agreement establishes the data-privacy, cybersecurity, supply-chain-risk, and business-continuity controls that RIVR Tech shall maintain in operating, maintaining, and providing retail service over the Tribal Network and the Grant-Funded Assets, and in handling data generated by or relating to the TBCP project.</w:t>
      </w:r>
    </w:p>
    <w:p>
      <w:pPr>
        <w:pStyle w:val="Heading2"/>
        <w:spacing w:before="160" w:after="60"/>
      </w:pPr>
      <w:r>
        <w:rPr>
          <w:rFonts w:ascii="Calibri" w:hAnsi="Calibri"/>
          <w:b/>
          <w:color w:val="000000"/>
          <w:sz w:val="22"/>
        </w:rPr>
        <w:t>1.2  Scope</w:t>
      </w:r>
    </w:p>
    <w:p>
      <w:r>
        <w:rPr>
          <w:b w:val="0"/>
          <w:i w:val="0"/>
        </w:rPr>
        <w:t>This Agreement applies to all systems, software, hardware, facilities, personnel, and subcontractors used by RIVR Tech to deliver services under the Definitive Agreements, including the RIVR Tech Existing Network to the extent it stores, processes, transmits, or secures TBCP project data or interconnects with the Grant-Funded Assets.</w:t>
      </w:r>
    </w:p>
    <w:p>
      <w:pPr>
        <w:pStyle w:val="Heading2"/>
        <w:spacing w:before="160" w:after="60"/>
      </w:pPr>
      <w:r>
        <w:rPr>
          <w:rFonts w:ascii="Calibri" w:hAnsi="Calibri"/>
          <w:b/>
          <w:color w:val="000000"/>
          <w:sz w:val="22"/>
        </w:rPr>
        <w:t>1.3  Controlling Schedule and Cross-References</w:t>
      </w:r>
    </w:p>
    <w:p>
      <w:r>
        <w:rPr>
          <w:b w:val="0"/>
          <w:i w:val="0"/>
        </w:rPr>
        <w:t>The detailed technical requirements, control baselines, incident-response runbooks, and disaster-recovery parameters for this Agreement are set out in Schedule S11 (Data, Privacy, Cybersecurity, Supply-Chain Risk, Incident Response, and Disaster Recovery). Insurance requirements are set out in Schedule S12 (Insurance, Indemnity, Liability Allocation, and Claims Procedures). Continuity, step-in, and transition obligations are addressed in the Continuity, Step-In, Termination Assistance, and Transition Agreement and Schedule S13 (Default, Cure, Step-In, Continuity, Transition, and Termination Assistance). In any conflict between this Agreement and Schedule S11, this Agreement controls as to legal allocation and Schedule S11 controls as to technical detail, subject to Article 16.</w:t>
      </w:r>
    </w:p>
    <w:p>
      <w:pPr>
        <w:ind w:left="504"/>
      </w:pPr>
      <w:r>
        <w:rPr>
          <w:b/>
          <w:color w:val="007000"/>
        </w:rPr>
        <w:t xml:space="preserve">[TECHNICAL INFORMATION REQUIRED]  </w:t>
      </w:r>
      <w:r>
        <w:rPr>
          <w:i/>
          <w:color w:val="595959"/>
        </w:rPr>
        <w:t>Confirm that Schedule S11 control baselines are mapped to a recognized framework (e.g., NIST SP 800-53 / CSF or equivalent) and to any award-specific cybersecurity conditions once the controlling Award is supplied.</w:t>
      </w:r>
    </w:p>
    <w:p>
      <w:pPr>
        <w:pStyle w:val="Heading1"/>
        <w:spacing w:before="240" w:after="120"/>
      </w:pPr>
      <w:r>
        <w:rPr>
          <w:rFonts w:ascii="Calibri" w:hAnsi="Calibri"/>
          <w:b/>
          <w:color w:val="1F3864"/>
          <w:sz w:val="26"/>
        </w:rPr>
        <w:t>ARTICLE 2.  DEFINITIONS</w:t>
      </w:r>
    </w:p>
    <w:p>
      <w:r>
        <w:rPr>
          <w:b w:val="0"/>
          <w:i w:val="0"/>
        </w:rPr>
        <w:t>For purposes of this Agreement:</w:t>
      </w:r>
    </w:p>
    <w:p>
      <w:pPr>
        <w:ind w:left="504"/>
      </w:pPr>
      <w:r>
        <w:rPr>
          <w:b/>
        </w:rPr>
        <w:t xml:space="preserve">(a)  </w:t>
      </w:r>
      <w:r>
        <w:rPr>
          <w:b w:val="0"/>
          <w:i w:val="0"/>
        </w:rPr>
        <w:t>“Project Data” means all data created, collected, received, stored, processed, or transmitted in connection with the TBCP project, including subscriber, network, operational, financial, and compliance data.</w:t>
      </w:r>
    </w:p>
    <w:p>
      <w:pPr>
        <w:ind w:left="504"/>
      </w:pPr>
      <w:r>
        <w:rPr>
          <w:b/>
        </w:rPr>
        <w:t xml:space="preserve">(b)  </w:t>
      </w:r>
      <w:r>
        <w:rPr>
          <w:b w:val="0"/>
          <w:i w:val="0"/>
        </w:rPr>
        <w:t>“Customer Personal Data” means personally identifiable information of subscribers and applicants, including account, contact, usage, and payment information.</w:t>
      </w:r>
    </w:p>
    <w:p>
      <w:pPr>
        <w:ind w:left="504"/>
      </w:pPr>
      <w:r>
        <w:rPr>
          <w:b/>
        </w:rPr>
        <w:t xml:space="preserve">(c)  </w:t>
      </w:r>
      <w:r>
        <w:rPr>
          <w:b w:val="0"/>
          <w:i w:val="0"/>
        </w:rPr>
        <w:t>“CPNI” means Customer Proprietary Network Information as defined under 47 U.S.C. § 222 and 47 CFR §§ 64.2001–64.2011 (Customer Proprietary Network Information).</w:t>
      </w:r>
    </w:p>
    <w:p>
      <w:pPr>
        <w:ind w:left="504"/>
      </w:pPr>
      <w:r>
        <w:rPr>
          <w:b/>
        </w:rPr>
        <w:t xml:space="preserve">(d)  </w:t>
      </w:r>
      <w:r>
        <w:rPr>
          <w:b w:val="0"/>
          <w:i w:val="0"/>
        </w:rPr>
        <w:t>“Security Incident” means any actual or reasonably suspected unauthorized access to, acquisition of, disclosure of, loss of, alteration of, or interference with Project Data or systems; a “Material Incident” is a Security Incident meeting the materiality criteria in Article 10.</w:t>
      </w:r>
    </w:p>
    <w:p>
      <w:pPr>
        <w:ind w:left="504"/>
      </w:pPr>
      <w:r>
        <w:rPr>
          <w:b/>
        </w:rPr>
        <w:t xml:space="preserve">(e)  </w:t>
      </w:r>
      <w:r>
        <w:rPr>
          <w:b w:val="0"/>
          <w:i w:val="0"/>
        </w:rPr>
        <w:t>“Prohibited Equipment” means covered telecommunications and video-surveillance equipment and services described in 2 CFR 200.216 (Prohibition on certain telecommunications and video surveillance — §889 covered equipment) (Section 889 covered equipment).</w:t>
      </w:r>
    </w:p>
    <w:p>
      <w:pPr>
        <w:pStyle w:val="Heading1"/>
        <w:spacing w:before="240" w:after="120"/>
      </w:pPr>
      <w:r>
        <w:rPr>
          <w:rFonts w:ascii="Calibri" w:hAnsi="Calibri"/>
          <w:b/>
          <w:color w:val="1F3864"/>
          <w:sz w:val="26"/>
        </w:rPr>
        <w:t>ARTICLE 3.  DATA CLASSIFICATION</w:t>
      </w:r>
    </w:p>
    <w:p>
      <w:pPr>
        <w:pStyle w:val="Heading2"/>
        <w:spacing w:before="160" w:after="60"/>
      </w:pPr>
      <w:r>
        <w:rPr>
          <w:rFonts w:ascii="Calibri" w:hAnsi="Calibri"/>
          <w:b/>
          <w:color w:val="000000"/>
          <w:sz w:val="22"/>
        </w:rPr>
        <w:t>3.1  Classification Program</w:t>
      </w:r>
    </w:p>
    <w:p>
      <w:r>
        <w:rPr>
          <w:b w:val="0"/>
          <w:i w:val="0"/>
        </w:rPr>
        <w:t>RIVR Tech shall classify Project Data into the categories below and apply the minimum handling controls for each category. Handling controls are cumulative with the technical baselines in Schedule S11.</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3864"/>
            <w:vAlign w:val="center"/>
          </w:tcPr>
          <w:p>
            <w:pPr>
              <w:jc w:val="center"/>
            </w:pPr>
            <w:r>
              <w:rPr>
                <w:b/>
                <w:color w:val="FFFFFF"/>
                <w:sz w:val="18"/>
              </w:rPr>
              <w:t>Classification</w:t>
            </w:r>
          </w:p>
        </w:tc>
        <w:tc>
          <w:tcPr>
            <w:tcW w:type="dxa" w:w="3744"/>
            <w:shd w:val="clear" w:color="auto" w:fill="1F3864"/>
            <w:vAlign w:val="center"/>
          </w:tcPr>
          <w:p>
            <w:pPr>
              <w:jc w:val="center"/>
            </w:pPr>
            <w:r>
              <w:rPr>
                <w:b/>
                <w:color w:val="FFFFFF"/>
                <w:sz w:val="18"/>
              </w:rPr>
              <w:t>Examples</w:t>
            </w:r>
          </w:p>
        </w:tc>
        <w:tc>
          <w:tcPr>
            <w:tcW w:type="dxa" w:w="3744"/>
            <w:shd w:val="clear" w:color="auto" w:fill="1F3864"/>
            <w:vAlign w:val="center"/>
          </w:tcPr>
          <w:p>
            <w:pPr>
              <w:jc w:val="center"/>
            </w:pPr>
            <w:r>
              <w:rPr>
                <w:b/>
                <w:color w:val="FFFFFF"/>
                <w:sz w:val="18"/>
              </w:rPr>
              <w:t>Minimum Handling Controls</w:t>
            </w:r>
          </w:p>
        </w:tc>
      </w:tr>
      <w:tr>
        <w:tc>
          <w:tcPr>
            <w:tcW w:type="dxa" w:w="2016"/>
            <w:vAlign w:val="center"/>
          </w:tcPr>
          <w:p>
            <w:r>
              <w:rPr>
                <w:b w:val="0"/>
                <w:i w:val="0"/>
                <w:sz w:val="18"/>
              </w:rPr>
              <w:t>Restricted</w:t>
            </w:r>
          </w:p>
        </w:tc>
        <w:tc>
          <w:tcPr>
            <w:tcW w:type="dxa" w:w="3744"/>
            <w:vAlign w:val="center"/>
          </w:tcPr>
          <w:p>
            <w:r>
              <w:rPr>
                <w:b w:val="0"/>
                <w:i w:val="0"/>
                <w:sz w:val="18"/>
              </w:rPr>
              <w:t>Customer Personal Data; CPNI; payment/card data; credentials; encryption keys</w:t>
            </w:r>
          </w:p>
        </w:tc>
        <w:tc>
          <w:tcPr>
            <w:tcW w:type="dxa" w:w="3744"/>
            <w:vAlign w:val="center"/>
          </w:tcPr>
          <w:p>
            <w:r>
              <w:rPr>
                <w:b w:val="0"/>
                <w:i w:val="0"/>
                <w:sz w:val="18"/>
              </w:rPr>
              <w:t>Encryption at rest and in transit; MFA; least-privilege RBAC; full logging; no export except as permitted under Article 15</w:t>
            </w:r>
          </w:p>
        </w:tc>
      </w:tr>
      <w:tr>
        <w:tc>
          <w:tcPr>
            <w:tcW w:type="dxa" w:w="2016"/>
            <w:shd w:val="clear" w:color="auto" w:fill="F2F2F2"/>
            <w:vAlign w:val="center"/>
          </w:tcPr>
          <w:p>
            <w:r>
              <w:rPr>
                <w:b w:val="0"/>
                <w:i w:val="0"/>
                <w:sz w:val="18"/>
              </w:rPr>
              <w:t>Confidential</w:t>
            </w:r>
          </w:p>
        </w:tc>
        <w:tc>
          <w:tcPr>
            <w:tcW w:type="dxa" w:w="3744"/>
            <w:shd w:val="clear" w:color="auto" w:fill="F2F2F2"/>
            <w:vAlign w:val="center"/>
          </w:tcPr>
          <w:p>
            <w:r>
              <w:rPr>
                <w:b w:val="0"/>
                <w:i w:val="0"/>
                <w:sz w:val="18"/>
              </w:rPr>
              <w:t>Network configuration; engineering records; contracts; financial and program-income data</w:t>
            </w:r>
          </w:p>
        </w:tc>
        <w:tc>
          <w:tcPr>
            <w:tcW w:type="dxa" w:w="3744"/>
            <w:shd w:val="clear" w:color="auto" w:fill="F2F2F2"/>
            <w:vAlign w:val="center"/>
          </w:tcPr>
          <w:p>
            <w:r>
              <w:rPr>
                <w:b w:val="0"/>
                <w:i w:val="0"/>
                <w:sz w:val="18"/>
              </w:rPr>
              <w:t>Encryption in transit; RBAC; logging; need-to-know access</w:t>
            </w:r>
          </w:p>
        </w:tc>
      </w:tr>
      <w:tr>
        <w:tc>
          <w:tcPr>
            <w:tcW w:type="dxa" w:w="2016"/>
            <w:vAlign w:val="center"/>
          </w:tcPr>
          <w:p>
            <w:r>
              <w:rPr>
                <w:b w:val="0"/>
                <w:i w:val="0"/>
                <w:sz w:val="18"/>
              </w:rPr>
              <w:t>Internal</w:t>
            </w:r>
          </w:p>
        </w:tc>
        <w:tc>
          <w:tcPr>
            <w:tcW w:type="dxa" w:w="3744"/>
            <w:vAlign w:val="center"/>
          </w:tcPr>
          <w:p>
            <w:r>
              <w:rPr>
                <w:b w:val="0"/>
                <w:i w:val="0"/>
                <w:sz w:val="18"/>
              </w:rPr>
              <w:t>Operational tickets; internal communications</w:t>
            </w:r>
          </w:p>
        </w:tc>
        <w:tc>
          <w:tcPr>
            <w:tcW w:type="dxa" w:w="3744"/>
            <w:vAlign w:val="center"/>
          </w:tcPr>
          <w:p>
            <w:r>
              <w:rPr>
                <w:b w:val="0"/>
                <w:i w:val="0"/>
                <w:sz w:val="18"/>
              </w:rPr>
              <w:t>RBAC; logging</w:t>
            </w:r>
          </w:p>
        </w:tc>
      </w:tr>
      <w:tr>
        <w:tc>
          <w:tcPr>
            <w:tcW w:type="dxa" w:w="2016"/>
            <w:shd w:val="clear" w:color="auto" w:fill="F2F2F2"/>
            <w:vAlign w:val="center"/>
          </w:tcPr>
          <w:p>
            <w:r>
              <w:rPr>
                <w:b w:val="0"/>
                <w:i w:val="0"/>
                <w:sz w:val="18"/>
              </w:rPr>
              <w:t>Public</w:t>
            </w:r>
          </w:p>
        </w:tc>
        <w:tc>
          <w:tcPr>
            <w:tcW w:type="dxa" w:w="3744"/>
            <w:shd w:val="clear" w:color="auto" w:fill="F2F2F2"/>
            <w:vAlign w:val="center"/>
          </w:tcPr>
          <w:p>
            <w:r>
              <w:rPr>
                <w:b w:val="0"/>
                <w:i w:val="0"/>
                <w:sz w:val="18"/>
              </w:rPr>
              <w:t>Published service and coverage information</w:t>
            </w:r>
          </w:p>
        </w:tc>
        <w:tc>
          <w:tcPr>
            <w:tcW w:type="dxa" w:w="3744"/>
            <w:shd w:val="clear" w:color="auto" w:fill="F2F2F2"/>
            <w:vAlign w:val="center"/>
          </w:tcPr>
          <w:p>
            <w:r>
              <w:rPr>
                <w:b w:val="0"/>
                <w:i w:val="0"/>
                <w:sz w:val="18"/>
              </w:rPr>
              <w:t>Integrity controls only</w:t>
            </w:r>
          </w:p>
        </w:tc>
      </w:tr>
    </w:tbl>
    <w:p>
      <w:pPr>
        <w:ind w:left="504"/>
      </w:pPr>
      <w:r>
        <w:rPr>
          <w:b/>
          <w:color w:val="7F007F"/>
        </w:rPr>
        <w:t xml:space="preserve">[GRANT COMPLIANCE REVIEW REQUIRED]  </w:t>
      </w:r>
      <w:r>
        <w:rPr>
          <w:i/>
          <w:color w:val="595959"/>
        </w:rPr>
        <w:t>Data-classification categories must be reconciled with Tribal data-governance requirements and with any data-handling conditions in the controlling Award.</w:t>
      </w:r>
    </w:p>
    <w:p>
      <w:pPr>
        <w:pStyle w:val="Heading1"/>
        <w:spacing w:before="240" w:after="120"/>
      </w:pPr>
      <w:r>
        <w:rPr>
          <w:rFonts w:ascii="Calibri" w:hAnsi="Calibri"/>
          <w:b/>
          <w:color w:val="1F3864"/>
          <w:sz w:val="26"/>
        </w:rPr>
        <w:t>ARTICLE 4.  ACCESS CONTROL — LEAST PRIVILEGE AND ROLE-BASED ACCESS</w:t>
      </w:r>
    </w:p>
    <w:p>
      <w:pPr>
        <w:pStyle w:val="Heading2"/>
        <w:spacing w:before="160" w:after="60"/>
      </w:pPr>
      <w:r>
        <w:rPr>
          <w:rFonts w:ascii="Calibri" w:hAnsi="Calibri"/>
          <w:b/>
          <w:color w:val="000000"/>
          <w:sz w:val="22"/>
        </w:rPr>
        <w:t>4.1  Least Privilege</w:t>
      </w:r>
    </w:p>
    <w:p>
      <w:r>
        <w:rPr>
          <w:b w:val="0"/>
          <w:i w:val="0"/>
        </w:rPr>
        <w:t>RIVR Tech shall grant access to Project Data and systems on a least-privilege, need-to-know basis, limited to what each role requires.</w:t>
      </w:r>
    </w:p>
    <w:p>
      <w:pPr>
        <w:pStyle w:val="Heading2"/>
        <w:spacing w:before="160" w:after="60"/>
      </w:pPr>
      <w:r>
        <w:rPr>
          <w:rFonts w:ascii="Calibri" w:hAnsi="Calibri"/>
          <w:b/>
          <w:color w:val="000000"/>
          <w:sz w:val="22"/>
        </w:rPr>
        <w:t>4.2  Role-Based Access Control (RBAC)</w:t>
      </w:r>
    </w:p>
    <w:p>
      <w:r>
        <w:rPr>
          <w:b w:val="0"/>
          <w:i w:val="0"/>
        </w:rPr>
        <w:t xml:space="preserve">Access shall be provisioned through documented roles with defined entitlements. Access rights shall be reviewed at least quarterly and revoked promptly upon role change or separation (target: within </w:t>
      </w:r>
      <w:r>
        <w:rPr>
          <w:b w:val="0"/>
          <w:i w:val="0"/>
          <w:color w:val="804000"/>
          <w:highlight w:val="yellow"/>
        </w:rPr>
        <w:t>[■ number]</w:t>
      </w:r>
      <w:r>
        <w:rPr>
          <w:b w:val="0"/>
          <w:i w:val="0"/>
        </w:rPr>
        <w:t xml:space="preserve"> business hours).</w:t>
      </w:r>
    </w:p>
    <w:p>
      <w:pPr>
        <w:pStyle w:val="Heading2"/>
        <w:spacing w:before="160" w:after="60"/>
      </w:pPr>
      <w:r>
        <w:rPr>
          <w:rFonts w:ascii="Calibri" w:hAnsi="Calibri"/>
          <w:b/>
          <w:color w:val="000000"/>
          <w:sz w:val="22"/>
        </w:rPr>
        <w:t>4.3  Privileged Access</w:t>
      </w:r>
    </w:p>
    <w:p>
      <w:r>
        <w:rPr>
          <w:b w:val="0"/>
          <w:i w:val="0"/>
        </w:rPr>
        <w:t>Administrative and privileged access shall be individually attributable, separately logged, time-bounded where feasible, and subject to enhanced monitoring.</w:t>
      </w:r>
    </w:p>
    <w:p>
      <w:pPr>
        <w:pStyle w:val="Heading1"/>
        <w:spacing w:before="240" w:after="120"/>
      </w:pPr>
      <w:r>
        <w:rPr>
          <w:rFonts w:ascii="Calibri" w:hAnsi="Calibri"/>
          <w:b/>
          <w:color w:val="1F3864"/>
          <w:sz w:val="26"/>
        </w:rPr>
        <w:t>ARTICLE 5.  MULTI-FACTOR AUTHENTICATION</w:t>
      </w:r>
    </w:p>
    <w:p>
      <w:pPr>
        <w:pStyle w:val="Heading2"/>
        <w:spacing w:before="160" w:after="60"/>
      </w:pPr>
      <w:r>
        <w:rPr>
          <w:rFonts w:ascii="Calibri" w:hAnsi="Calibri"/>
          <w:b/>
          <w:color w:val="000000"/>
          <w:sz w:val="22"/>
        </w:rPr>
        <w:t>5.1  MFA Required</w:t>
      </w:r>
    </w:p>
    <w:p>
      <w:r>
        <w:rPr>
          <w:b w:val="0"/>
          <w:i w:val="0"/>
        </w:rPr>
        <w:t>RIVR Tech shall require phishing-resistant multi-factor authentication (MFA) for all remote access, all administrative and privileged access, and all access to systems storing or processing Restricted or Confidential Project Data.</w:t>
      </w:r>
    </w:p>
    <w:p>
      <w:pPr>
        <w:pStyle w:val="Heading2"/>
        <w:spacing w:before="160" w:after="60"/>
      </w:pPr>
      <w:r>
        <w:rPr>
          <w:rFonts w:ascii="Calibri" w:hAnsi="Calibri"/>
          <w:b/>
          <w:color w:val="000000"/>
          <w:sz w:val="22"/>
        </w:rPr>
        <w:t>5.2  No Shared Credentials</w:t>
      </w:r>
    </w:p>
    <w:p>
      <w:r>
        <w:rPr>
          <w:b w:val="0"/>
          <w:i w:val="0"/>
        </w:rPr>
        <w:t>Shared or generic credentials are prohibited for access to Restricted or Confidential Project Data except where individually attributable and approved in writing.</w:t>
      </w:r>
    </w:p>
    <w:p>
      <w:pPr>
        <w:pStyle w:val="Heading1"/>
        <w:spacing w:before="240" w:after="120"/>
      </w:pPr>
      <w:r>
        <w:rPr>
          <w:rFonts w:ascii="Calibri" w:hAnsi="Calibri"/>
          <w:b/>
          <w:color w:val="1F3864"/>
          <w:sz w:val="26"/>
        </w:rPr>
        <w:t>ARTICLE 6.  ENCRYPTION</w:t>
      </w:r>
    </w:p>
    <w:p>
      <w:pPr>
        <w:pStyle w:val="Heading2"/>
        <w:spacing w:before="160" w:after="60"/>
      </w:pPr>
      <w:r>
        <w:rPr>
          <w:rFonts w:ascii="Calibri" w:hAnsi="Calibri"/>
          <w:b/>
          <w:color w:val="000000"/>
          <w:sz w:val="22"/>
        </w:rPr>
        <w:t>6.1  Encryption in Transit</w:t>
      </w:r>
    </w:p>
    <w:p>
      <w:r>
        <w:rPr>
          <w:b w:val="0"/>
          <w:i w:val="0"/>
        </w:rPr>
        <w:t>Project Data classified Confidential or Restricted shall be encrypted in transit using current, industry-accepted protocols (e.g., TLS 1.2+ or equivalent), with the specific standards set out in Schedule S11.</w:t>
      </w:r>
    </w:p>
    <w:p>
      <w:pPr>
        <w:pStyle w:val="Heading2"/>
        <w:spacing w:before="160" w:after="60"/>
      </w:pPr>
      <w:r>
        <w:rPr>
          <w:rFonts w:ascii="Calibri" w:hAnsi="Calibri"/>
          <w:b/>
          <w:color w:val="000000"/>
          <w:sz w:val="22"/>
        </w:rPr>
        <w:t>6.2  Encryption at Rest</w:t>
      </w:r>
    </w:p>
    <w:p>
      <w:r>
        <w:rPr>
          <w:b w:val="0"/>
          <w:i w:val="0"/>
        </w:rPr>
        <w:t>Project Data classified Confidential or Restricted shall be encrypted at rest using current, industry-accepted algorithms and key lengths.</w:t>
      </w:r>
    </w:p>
    <w:p>
      <w:pPr>
        <w:pStyle w:val="Heading2"/>
        <w:spacing w:before="160" w:after="60"/>
      </w:pPr>
      <w:r>
        <w:rPr>
          <w:rFonts w:ascii="Calibri" w:hAnsi="Calibri"/>
          <w:b/>
          <w:color w:val="000000"/>
          <w:sz w:val="22"/>
        </w:rPr>
        <w:t>6.3  Key Management</w:t>
      </w:r>
    </w:p>
    <w:p>
      <w:r>
        <w:rPr>
          <w:b w:val="0"/>
          <w:i w:val="0"/>
        </w:rPr>
        <w:t>Encryption keys shall be managed under documented key-management procedures, stored separately from the data they protect, rotated on a defined schedule, and access-controlled as Restricted Project Data.</w:t>
      </w:r>
    </w:p>
    <w:p>
      <w:pPr>
        <w:pStyle w:val="Heading1"/>
        <w:spacing w:before="240" w:after="120"/>
      </w:pPr>
      <w:r>
        <w:rPr>
          <w:rFonts w:ascii="Calibri" w:hAnsi="Calibri"/>
          <w:b/>
          <w:color w:val="1F3864"/>
          <w:sz w:val="26"/>
        </w:rPr>
        <w:t>ARTICLE 7.  LOGGING AND MONITORING</w:t>
      </w:r>
    </w:p>
    <w:p>
      <w:pPr>
        <w:pStyle w:val="Heading2"/>
        <w:spacing w:before="160" w:after="60"/>
      </w:pPr>
      <w:r>
        <w:rPr>
          <w:rFonts w:ascii="Calibri" w:hAnsi="Calibri"/>
          <w:b/>
          <w:color w:val="000000"/>
          <w:sz w:val="22"/>
        </w:rPr>
        <w:t>7.1  Security Logging</w:t>
      </w:r>
    </w:p>
    <w:p>
      <w:r>
        <w:rPr>
          <w:b w:val="0"/>
          <w:i w:val="0"/>
        </w:rPr>
        <w:t>Security-relevant events (authentication, authorization, privileged actions, configuration changes, and data access) shall be logged, time-synchronized, protected against tampering, and retained for the period set out in Schedule S11 and consistent with the records-retention period in Article 12.</w:t>
      </w:r>
    </w:p>
    <w:p>
      <w:pPr>
        <w:pStyle w:val="Heading2"/>
        <w:spacing w:before="160" w:after="60"/>
      </w:pPr>
      <w:r>
        <w:rPr>
          <w:rFonts w:ascii="Calibri" w:hAnsi="Calibri"/>
          <w:b/>
          <w:color w:val="000000"/>
          <w:sz w:val="22"/>
        </w:rPr>
        <w:t>7.2  Monitoring and Alerting</w:t>
      </w:r>
    </w:p>
    <w:p>
      <w:r>
        <w:rPr>
          <w:b w:val="0"/>
          <w:i w:val="0"/>
        </w:rPr>
        <w:t>Logs shall be monitored for anomalous and unauthorized activity, with alerting to designated security personnel.</w:t>
      </w:r>
    </w:p>
    <w:p>
      <w:pPr>
        <w:pStyle w:val="Heading1"/>
        <w:spacing w:before="240" w:after="120"/>
      </w:pPr>
      <w:r>
        <w:rPr>
          <w:rFonts w:ascii="Calibri" w:hAnsi="Calibri"/>
          <w:b/>
          <w:color w:val="1F3864"/>
          <w:sz w:val="26"/>
        </w:rPr>
        <w:t>ARTICLE 8.  VULNERABILITY AND PATCH MANAGEMENT</w:t>
      </w:r>
    </w:p>
    <w:p>
      <w:pPr>
        <w:pStyle w:val="Heading2"/>
        <w:spacing w:before="160" w:after="60"/>
      </w:pPr>
      <w:r>
        <w:rPr>
          <w:rFonts w:ascii="Calibri" w:hAnsi="Calibri"/>
          <w:b/>
          <w:color w:val="000000"/>
          <w:sz w:val="22"/>
        </w:rPr>
        <w:t>8.1  Vulnerability Management</w:t>
      </w:r>
    </w:p>
    <w:p>
      <w:r>
        <w:rPr>
          <w:b w:val="0"/>
          <w:i w:val="0"/>
        </w:rPr>
        <w:t>RIVR Tech shall maintain a vulnerability-management program with regular scanning of systems supporting the project and risk-based remediation.</w:t>
      </w:r>
    </w:p>
    <w:p>
      <w:pPr>
        <w:pStyle w:val="Heading2"/>
        <w:spacing w:before="160" w:after="60"/>
      </w:pPr>
      <w:r>
        <w:rPr>
          <w:rFonts w:ascii="Calibri" w:hAnsi="Calibri"/>
          <w:b/>
          <w:color w:val="000000"/>
          <w:sz w:val="22"/>
        </w:rPr>
        <w:t>8.2  Patch Timelines</w:t>
      </w:r>
    </w:p>
    <w:p>
      <w:r>
        <w:rPr>
          <w:b w:val="0"/>
          <w:i w:val="0"/>
        </w:rPr>
        <w:t xml:space="preserve">Security patches shall be applied on a risk-based schedule, with critical vulnerabilities remediated within </w:t>
      </w:r>
      <w:r>
        <w:rPr>
          <w:b w:val="0"/>
          <w:i w:val="0"/>
          <w:color w:val="804000"/>
          <w:highlight w:val="yellow"/>
        </w:rPr>
        <w:t>[■ number]</w:t>
      </w:r>
      <w:r>
        <w:rPr>
          <w:b w:val="0"/>
          <w:i w:val="0"/>
        </w:rPr>
        <w:t xml:space="preserve"> days of a fix becoming available and other vulnerabilities within timelines defined in Schedule S11.</w:t>
      </w:r>
    </w:p>
    <w:p>
      <w:pPr>
        <w:pStyle w:val="Heading1"/>
        <w:spacing w:before="240" w:after="120"/>
      </w:pPr>
      <w:r>
        <w:rPr>
          <w:rFonts w:ascii="Calibri" w:hAnsi="Calibri"/>
          <w:b/>
          <w:color w:val="1F3864"/>
          <w:sz w:val="26"/>
        </w:rPr>
        <w:t>ARTICLE 9.  BACKUPS AND RECOVERY TESTING</w:t>
      </w:r>
    </w:p>
    <w:p>
      <w:pPr>
        <w:pStyle w:val="Heading2"/>
        <w:spacing w:before="160" w:after="60"/>
      </w:pPr>
      <w:r>
        <w:rPr>
          <w:rFonts w:ascii="Calibri" w:hAnsi="Calibri"/>
          <w:b/>
          <w:color w:val="000000"/>
          <w:sz w:val="22"/>
        </w:rPr>
        <w:t>9.1  Backups</w:t>
      </w:r>
    </w:p>
    <w:p>
      <w:r>
        <w:rPr>
          <w:b w:val="0"/>
          <w:i w:val="0"/>
        </w:rPr>
        <w:t>RIVR Tech shall maintain regular, encrypted backups of Project Data and critical system configurations, stored with geographic separation and protected against ransomware (including immutable or offline copies).</w:t>
      </w:r>
    </w:p>
    <w:p>
      <w:pPr>
        <w:pStyle w:val="Heading2"/>
        <w:spacing w:before="160" w:after="60"/>
      </w:pPr>
      <w:r>
        <w:rPr>
          <w:rFonts w:ascii="Calibri" w:hAnsi="Calibri"/>
          <w:b/>
          <w:color w:val="000000"/>
          <w:sz w:val="22"/>
        </w:rPr>
        <w:t>9.2  Recovery Testing</w:t>
      </w:r>
    </w:p>
    <w:p>
      <w:r>
        <w:rPr>
          <w:b w:val="0"/>
          <w:i w:val="0"/>
        </w:rPr>
        <w:t>Backups shall be tested by restoration at least annually (and after material changes), with results documented and provided to the Lumbee Tribe on request.</w:t>
      </w:r>
    </w:p>
    <w:p>
      <w:pPr>
        <w:pStyle w:val="Heading1"/>
        <w:spacing w:before="240" w:after="120"/>
      </w:pPr>
      <w:r>
        <w:rPr>
          <w:rFonts w:ascii="Calibri" w:hAnsi="Calibri"/>
          <w:b/>
          <w:color w:val="1F3864"/>
          <w:sz w:val="26"/>
        </w:rPr>
        <w:t>ARTICLE 10.  INCIDENT RESPONSE AND MATERIAL-INCIDENT NOTICE</w:t>
      </w:r>
    </w:p>
    <w:p>
      <w:pPr>
        <w:pStyle w:val="Heading2"/>
        <w:spacing w:before="160" w:after="60"/>
      </w:pPr>
      <w:r>
        <w:rPr>
          <w:rFonts w:ascii="Calibri" w:hAnsi="Calibri"/>
          <w:b/>
          <w:color w:val="000000"/>
          <w:sz w:val="22"/>
        </w:rPr>
        <w:t>10.1  Incident-Response Plan</w:t>
      </w:r>
    </w:p>
    <w:p>
      <w:r>
        <w:rPr>
          <w:b w:val="0"/>
          <w:i w:val="0"/>
        </w:rPr>
        <w:t>RIVR Tech shall maintain and follow a written incident-response plan (set out in or referenced by Schedule S11) covering detection, triage, containment, eradication, recovery, and post-incident review.</w:t>
      </w:r>
    </w:p>
    <w:p>
      <w:pPr>
        <w:pStyle w:val="Heading2"/>
        <w:spacing w:before="160" w:after="60"/>
      </w:pPr>
      <w:r>
        <w:rPr>
          <w:rFonts w:ascii="Calibri" w:hAnsi="Calibri"/>
          <w:b/>
          <w:color w:val="000000"/>
          <w:sz w:val="22"/>
        </w:rPr>
        <w:t>10.2  Material-Incident Notice</w:t>
      </w:r>
    </w:p>
    <w:p>
      <w:r>
        <w:rPr>
          <w:b w:val="0"/>
          <w:i w:val="0"/>
        </w:rPr>
        <w:t xml:space="preserve">RIVR Tech shall notify the Lumbee Tribe of any Material Incident without undue delay and in any event within </w:t>
      </w:r>
      <w:r>
        <w:rPr>
          <w:b w:val="0"/>
          <w:i w:val="0"/>
          <w:color w:val="804000"/>
          <w:highlight w:val="yellow"/>
        </w:rPr>
        <w:t>[■ 24]</w:t>
      </w:r>
      <w:r>
        <w:rPr>
          <w:b w:val="0"/>
          <w:i w:val="0"/>
        </w:rPr>
        <w:t xml:space="preserve"> hours after discovery, or sooner if required by the controlling Award, applicable law, or any breach-notification statute. Notice shall include the information then known and shall be supplemented as the investigation proceeds.</w:t>
      </w:r>
    </w:p>
    <w:p>
      <w:pPr>
        <w:pStyle w:val="Heading2"/>
        <w:spacing w:before="160" w:after="60"/>
      </w:pPr>
      <w:r>
        <w:rPr>
          <w:rFonts w:ascii="Calibri" w:hAnsi="Calibri"/>
          <w:b/>
          <w:color w:val="000000"/>
          <w:sz w:val="22"/>
        </w:rPr>
        <w:t>10.3  Materiality Criteria</w:t>
      </w:r>
    </w:p>
    <w:p>
      <w:r>
        <w:rPr>
          <w:b w:val="0"/>
          <w:i w:val="0"/>
        </w:rPr>
        <w:t>An incident is a Material Incident if it involves (a) unauthorized access to or acquisition of Restricted Project Data (including Customer Personal Data or CPNI); (b) a reasonable likelihood of harm to subscribers; (c) a material disruption of service; or (d) any event triggering a legal or Award notification obligation.</w:t>
      </w:r>
    </w:p>
    <w:p>
      <w:pPr>
        <w:ind w:left="504"/>
      </w:pPr>
      <w:r>
        <w:rPr>
          <w:b/>
          <w:color w:val="0000C0"/>
        </w:rPr>
        <w:t xml:space="preserve">[ATTORNEY REVIEW REQUIRED]  </w:t>
      </w:r>
      <w:r>
        <w:rPr>
          <w:i/>
          <w:color w:val="595959"/>
        </w:rPr>
        <w:t>Confirm the 24-hour notice window against the controlling Award's specific conditions and against all applicable federal and North Carolina breach-notification laws; the shorter of the applicable periods governs.</w:t>
      </w:r>
    </w:p>
    <w:p>
      <w:pPr>
        <w:pStyle w:val="Heading1"/>
        <w:spacing w:before="240" w:after="120"/>
      </w:pPr>
      <w:r>
        <w:rPr>
          <w:rFonts w:ascii="Calibri" w:hAnsi="Calibri"/>
          <w:b/>
          <w:color w:val="1F3864"/>
          <w:sz w:val="26"/>
        </w:rPr>
        <w:t>ARTICLE 11.  SUBCONTRACTOR AND SUPPLY-CHAIN CONTROLS</w:t>
      </w:r>
    </w:p>
    <w:p>
      <w:pPr>
        <w:pStyle w:val="Heading2"/>
        <w:spacing w:before="160" w:after="60"/>
      </w:pPr>
      <w:r>
        <w:rPr>
          <w:rFonts w:ascii="Calibri" w:hAnsi="Calibri"/>
          <w:b/>
          <w:color w:val="000000"/>
          <w:sz w:val="22"/>
        </w:rPr>
        <w:t>11.1  Subcontractor Controls</w:t>
      </w:r>
    </w:p>
    <w:p>
      <w:r>
        <w:rPr>
          <w:b w:val="0"/>
          <w:i w:val="0"/>
        </w:rPr>
        <w:t>RIVR Tech shall bind each subcontractor with access to Project Data or project systems to written obligations no less protective than this Agreement and shall remain responsible for subcontractor performance.</w:t>
      </w:r>
    </w:p>
    <w:p>
      <w:pPr>
        <w:pStyle w:val="Heading2"/>
        <w:spacing w:before="160" w:after="60"/>
      </w:pPr>
      <w:r>
        <w:rPr>
          <w:rFonts w:ascii="Calibri" w:hAnsi="Calibri"/>
          <w:b/>
          <w:color w:val="000000"/>
          <w:sz w:val="22"/>
        </w:rPr>
        <w:t>11.2  Software and Hardware Inventory</w:t>
      </w:r>
    </w:p>
    <w:p>
      <w:r>
        <w:rPr>
          <w:b w:val="0"/>
          <w:i w:val="0"/>
        </w:rPr>
        <w:t>RIVR Tech shall maintain a current inventory of software and hardware (including firmware and key third-party components) used in the Tribal Network and the Grant-Funded Assets, sufficient to support supply-chain-risk review.</w:t>
      </w:r>
    </w:p>
    <w:p>
      <w:pPr>
        <w:pStyle w:val="Heading2"/>
        <w:spacing w:before="160" w:after="60"/>
      </w:pPr>
      <w:r>
        <w:rPr>
          <w:rFonts w:ascii="Calibri" w:hAnsi="Calibri"/>
          <w:b/>
          <w:color w:val="000000"/>
          <w:sz w:val="22"/>
        </w:rPr>
        <w:t>11.3  Supply-Chain Attestations</w:t>
      </w:r>
    </w:p>
    <w:p>
      <w:r>
        <w:rPr>
          <w:b w:val="0"/>
          <w:i w:val="0"/>
        </w:rPr>
        <w:t>RIVR Tech shall obtain and retain supply-chain attestations from suppliers and subcontractors confirming compliance with the prohibited-equipment requirements of Section 11.4 and with applicable domestic-preference and Buy-America requirements referenced in the Master Agreement.</w:t>
      </w:r>
    </w:p>
    <w:p>
      <w:pPr>
        <w:pStyle w:val="Heading2"/>
        <w:spacing w:before="160" w:after="60"/>
      </w:pPr>
      <w:r>
        <w:rPr>
          <w:rFonts w:ascii="Calibri" w:hAnsi="Calibri"/>
          <w:b/>
          <w:color w:val="000000"/>
          <w:sz w:val="22"/>
        </w:rPr>
        <w:t>11.4  Prohibited Equipment (Section 889 Covered Equipment)</w:t>
      </w:r>
    </w:p>
    <w:p>
      <w:r>
        <w:rPr>
          <w:b w:val="0"/>
          <w:i w:val="0"/>
        </w:rPr>
        <w:t>RIVR Tech shall not use, procure, obtain, or extend or renew a contract to procure or obtain, any Prohibited Equipment in the project, in accordance with 2 CFR 200.216 (Prohibition on certain telecommunications and video surveillance — §889 covered equipment). If Prohibited Equipment is identified, RIVR Tech shall promptly notify the Lumbee Tribe, remove and replace it at RIVR Tech's cost unless otherwise agreed, and document remediation.</w:t>
      </w:r>
    </w:p>
    <w:p>
      <w:pPr>
        <w:ind w:left="504"/>
      </w:pPr>
      <w:r>
        <w:rPr>
          <w:b/>
          <w:color w:val="7F007F"/>
        </w:rPr>
        <w:t xml:space="preserve">[GRANT COMPLIANCE REVIEW REQUIRED]  </w:t>
      </w:r>
      <w:r>
        <w:rPr>
          <w:i/>
          <w:color w:val="595959"/>
        </w:rPr>
        <w:t>Prohibited-equipment and supply-chain-attestation obligations must be reconciled with the Award's Specific Award Conditions and with 2 CFR Part 200 procurement standards once the controlling Award is supplied.</w:t>
      </w:r>
    </w:p>
    <w:p>
      <w:pPr>
        <w:pStyle w:val="Heading1"/>
        <w:spacing w:before="240" w:after="120"/>
      </w:pPr>
      <w:r>
        <w:rPr>
          <w:rFonts w:ascii="Calibri" w:hAnsi="Calibri"/>
          <w:b/>
          <w:color w:val="1F3864"/>
          <w:sz w:val="26"/>
        </w:rPr>
        <w:t>ARTICLE 12.  CUSTOMER NOTIFICATION, COOPERATION, AND EVIDENCE PRESERVATION</w:t>
      </w:r>
    </w:p>
    <w:p>
      <w:pPr>
        <w:pStyle w:val="Heading2"/>
        <w:spacing w:before="160" w:after="60"/>
      </w:pPr>
      <w:r>
        <w:rPr>
          <w:rFonts w:ascii="Calibri" w:hAnsi="Calibri"/>
          <w:b/>
          <w:color w:val="000000"/>
          <w:sz w:val="22"/>
        </w:rPr>
        <w:t>12.1  Customer Notification</w:t>
      </w:r>
    </w:p>
    <w:p>
      <w:r>
        <w:rPr>
          <w:b w:val="0"/>
          <w:i w:val="0"/>
        </w:rPr>
        <w:t>Where a Security Incident triggers a customer-notification obligation, the Parties shall coordinate on the content and timing of notifications; RIVR Tech, as retail provider of record, shall issue notifications as required by law, subject to the Lumbee Tribe's reasonable review, and the Award's requirements.</w:t>
      </w:r>
    </w:p>
    <w:p>
      <w:pPr>
        <w:pStyle w:val="Heading2"/>
        <w:spacing w:before="160" w:after="60"/>
      </w:pPr>
      <w:r>
        <w:rPr>
          <w:rFonts w:ascii="Calibri" w:hAnsi="Calibri"/>
          <w:b/>
          <w:color w:val="000000"/>
          <w:sz w:val="22"/>
        </w:rPr>
        <w:t>12.2  Cooperation</w:t>
      </w:r>
    </w:p>
    <w:p>
      <w:r>
        <w:rPr>
          <w:b w:val="0"/>
          <w:i w:val="0"/>
        </w:rPr>
        <w:t>RIVR Tech shall cooperate with the Lumbee Tribe, NTIA, and law-enforcement or regulatory authorities in investigating and responding to Security Incidents.</w:t>
      </w:r>
    </w:p>
    <w:p>
      <w:pPr>
        <w:pStyle w:val="Heading2"/>
        <w:spacing w:before="160" w:after="60"/>
      </w:pPr>
      <w:r>
        <w:rPr>
          <w:rFonts w:ascii="Calibri" w:hAnsi="Calibri"/>
          <w:b/>
          <w:color w:val="000000"/>
          <w:sz w:val="22"/>
        </w:rPr>
        <w:t>12.3  Evidence Preservation</w:t>
      </w:r>
    </w:p>
    <w:p>
      <w:r>
        <w:rPr>
          <w:b w:val="0"/>
          <w:i w:val="0"/>
        </w:rPr>
        <w:t>Upon discovery of a Security Incident, RIVR Tech shall preserve relevant logs, images, and evidence in a forensically sound manner for the period required by law and in any event for not less than 3 years, consistent with the records-retention requirements of 2 CFR 200.334–200.337 (Record retention and access; three-year retention).</w:t>
      </w:r>
    </w:p>
    <w:p>
      <w:pPr>
        <w:pStyle w:val="Heading1"/>
        <w:spacing w:before="240" w:after="120"/>
      </w:pPr>
      <w:r>
        <w:rPr>
          <w:rFonts w:ascii="Calibri" w:hAnsi="Calibri"/>
          <w:b/>
          <w:color w:val="1F3864"/>
          <w:sz w:val="26"/>
        </w:rPr>
        <w:t>ARTICLE 13.  CYBER INSURANCE</w:t>
      </w:r>
    </w:p>
    <w:p>
      <w:pPr>
        <w:pStyle w:val="Heading2"/>
        <w:spacing w:before="160" w:after="60"/>
      </w:pPr>
      <w:r>
        <w:rPr>
          <w:rFonts w:ascii="Calibri" w:hAnsi="Calibri"/>
          <w:b/>
          <w:color w:val="000000"/>
          <w:sz w:val="22"/>
        </w:rPr>
        <w:t>13.1  Coverage</w:t>
      </w:r>
    </w:p>
    <w:p>
      <w:r>
        <w:rPr>
          <w:b w:val="0"/>
          <w:i w:val="0"/>
        </w:rPr>
        <w:t>RIVR Tech shall maintain cyber-liability insurance with limits of not less than $5,000,000, covering breach response, notification, forensic, liability, and business-interruption costs, on the terms set out in the Insurance Schedule (Schedule S12 — Insurance, Indemnity, Liability Allocation, and Claims Procedures).</w:t>
      </w:r>
    </w:p>
    <w:p>
      <w:pPr>
        <w:pStyle w:val="Heading2"/>
        <w:spacing w:before="160" w:after="60"/>
      </w:pPr>
      <w:r>
        <w:rPr>
          <w:rFonts w:ascii="Calibri" w:hAnsi="Calibri"/>
          <w:b/>
          <w:color w:val="000000"/>
          <w:sz w:val="22"/>
        </w:rPr>
        <w:t>13.2  Cross-Reference</w:t>
      </w:r>
    </w:p>
    <w:p>
      <w:r>
        <w:rPr>
          <w:b w:val="0"/>
          <w:i w:val="0"/>
        </w:rPr>
        <w:t>The cyber-insurance requirement in this Article is cumulative with, and governed by, the insurance, indemnity, and claims provisions of Schedule S12 and the applicable Definitive Agreements.</w:t>
      </w:r>
    </w:p>
    <w:p>
      <w:pPr>
        <w:pStyle w:val="Heading1"/>
        <w:spacing w:before="240" w:after="120"/>
      </w:pPr>
      <w:r>
        <w:rPr>
          <w:rFonts w:ascii="Calibri" w:hAnsi="Calibri"/>
          <w:b/>
          <w:color w:val="1F3864"/>
          <w:sz w:val="26"/>
        </w:rPr>
        <w:t>ARTICLE 14.  BUSINESS CONTINUITY AND DISASTER RECOVERY</w:t>
      </w:r>
    </w:p>
    <w:p>
      <w:pPr>
        <w:pStyle w:val="Heading2"/>
        <w:spacing w:before="160" w:after="60"/>
      </w:pPr>
      <w:r>
        <w:rPr>
          <w:rFonts w:ascii="Calibri" w:hAnsi="Calibri"/>
          <w:b/>
          <w:color w:val="000000"/>
          <w:sz w:val="22"/>
        </w:rPr>
        <w:t>14.1  Disaster-Recovery Plan</w:t>
      </w:r>
    </w:p>
    <w:p>
      <w:r>
        <w:rPr>
          <w:b w:val="0"/>
          <w:i w:val="0"/>
        </w:rPr>
        <w:t>RIVR Tech shall maintain a disaster-recovery and business-continuity plan (set out in or referenced by Schedule S11) addressing loss of facilities, systems, data, and key personnel.</w:t>
      </w:r>
    </w:p>
    <w:p>
      <w:pPr>
        <w:pStyle w:val="Heading2"/>
        <w:spacing w:before="160" w:after="60"/>
      </w:pPr>
      <w:r>
        <w:rPr>
          <w:rFonts w:ascii="Calibri" w:hAnsi="Calibri"/>
          <w:b/>
          <w:color w:val="000000"/>
          <w:sz w:val="22"/>
        </w:rPr>
        <w:t>14.2  Recovery Objectives (RTO / RPO)</w:t>
      </w:r>
    </w:p>
    <w:p>
      <w:r>
        <w:rPr>
          <w:b w:val="0"/>
          <w:i w:val="0"/>
        </w:rPr>
        <w:t xml:space="preserve">The plan shall establish a Recovery Time Objective (RTO) of </w:t>
      </w:r>
      <w:r>
        <w:rPr>
          <w:b w:val="0"/>
          <w:i w:val="0"/>
          <w:color w:val="804000"/>
          <w:highlight w:val="yellow"/>
        </w:rPr>
        <w:t>[■ RTO hours by service tier]</w:t>
      </w:r>
      <w:r>
        <w:rPr>
          <w:b w:val="0"/>
          <w:i w:val="0"/>
        </w:rPr>
        <w:t xml:space="preserve"> and a Recovery Point Objective (RPO) of </w:t>
      </w:r>
      <w:r>
        <w:rPr>
          <w:b w:val="0"/>
          <w:i w:val="0"/>
          <w:color w:val="804000"/>
          <w:highlight w:val="yellow"/>
        </w:rPr>
        <w:t>[■ RPO hours by data type]</w:t>
      </w:r>
      <w:r>
        <w:rPr>
          <w:b w:val="0"/>
          <w:i w:val="0"/>
        </w:rPr>
        <w:t xml:space="preserve"> for critical services and Project Data, with the specific per-tier objectives set out in Schedule S11.</w:t>
      </w:r>
    </w:p>
    <w:p>
      <w:pPr>
        <w:pStyle w:val="Heading2"/>
        <w:spacing w:before="160" w:after="60"/>
      </w:pPr>
      <w:r>
        <w:rPr>
          <w:rFonts w:ascii="Calibri" w:hAnsi="Calibri"/>
          <w:b/>
          <w:color w:val="000000"/>
          <w:sz w:val="22"/>
        </w:rPr>
        <w:t>14.3  Annual Testing</w:t>
      </w:r>
    </w:p>
    <w:p>
      <w:r>
        <w:rPr>
          <w:b w:val="0"/>
          <w:i w:val="0"/>
        </w:rPr>
        <w:t>The disaster-recovery and business-continuity plan shall be tested at least annually, with results documented and material deficiencies remediated on a defined schedule.</w:t>
      </w:r>
    </w:p>
    <w:p>
      <w:pPr>
        <w:pStyle w:val="Heading2"/>
        <w:spacing w:before="160" w:after="60"/>
      </w:pPr>
      <w:r>
        <w:rPr>
          <w:rFonts w:ascii="Calibri" w:hAnsi="Calibri"/>
          <w:b/>
          <w:color w:val="000000"/>
          <w:sz w:val="22"/>
        </w:rPr>
        <w:t>14.4  Secure Data and Configuration Export at Transition</w:t>
      </w:r>
    </w:p>
    <w:p>
      <w:r>
        <w:rPr>
          <w:b w:val="0"/>
          <w:i w:val="0"/>
        </w:rPr>
        <w:t>On expiration or termination of the operating arrangement, or upon a step-in or transition event, RIVR Tech shall provide a secure, complete, and usable export of Project Data and system configurations in accordance with the Continuity, Step-In, Termination Assistance, and Transition Agreement, subject to the data-rights allocation in Article 15 and to legal-permissibility limits on Customer Personal Data.</w:t>
      </w:r>
    </w:p>
    <w:p>
      <w:pPr>
        <w:pStyle w:val="Heading1"/>
        <w:spacing w:before="240" w:after="120"/>
      </w:pPr>
      <w:r>
        <w:rPr>
          <w:rFonts w:ascii="Calibri" w:hAnsi="Calibri"/>
          <w:b/>
          <w:color w:val="1F3864"/>
          <w:sz w:val="26"/>
        </w:rPr>
        <w:t>ARTICLE 15.  DATA-RIGHTS ALLOCATION BY CATEGORY</w:t>
      </w:r>
    </w:p>
    <w:p>
      <w:pPr>
        <w:pStyle w:val="Heading2"/>
        <w:spacing w:before="160" w:after="60"/>
      </w:pPr>
      <w:r>
        <w:rPr>
          <w:rFonts w:ascii="Calibri" w:hAnsi="Calibri"/>
          <w:b/>
          <w:color w:val="000000"/>
          <w:sz w:val="22"/>
        </w:rPr>
        <w:t>15.1  Allocation Principle</w:t>
      </w:r>
    </w:p>
    <w:p>
      <w:r>
        <w:rPr>
          <w:b w:val="0"/>
          <w:i w:val="0"/>
        </w:rPr>
        <w:t>Rights and roles in Project Data are allocated by data category. Neither Party acquires rights in the other's data beyond those necessary to perform the Definitive Agreements and to comply with law and the Award. For the avoidance of doubt, RIVR Tech does not own Customer Personal Data; RIVR Tech processes it as retail provider of record subject to law, this Agreement, and the Award.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1F3864"/>
            <w:vAlign w:val="center"/>
          </w:tcPr>
          <w:p>
            <w:pPr>
              <w:jc w:val="center"/>
            </w:pPr>
            <w:r>
              <w:rPr>
                <w:b/>
                <w:color w:val="FFFFFF"/>
                <w:sz w:val="18"/>
              </w:rPr>
              <w:t>Data Category</w:t>
            </w:r>
          </w:p>
        </w:tc>
        <w:tc>
          <w:tcPr>
            <w:tcW w:type="dxa" w:w="2736"/>
            <w:shd w:val="clear" w:color="auto" w:fill="1F3864"/>
            <w:vAlign w:val="center"/>
          </w:tcPr>
          <w:p>
            <w:pPr>
              <w:jc w:val="center"/>
            </w:pPr>
            <w:r>
              <w:rPr>
                <w:b/>
                <w:color w:val="FFFFFF"/>
                <w:sz w:val="18"/>
              </w:rPr>
              <w:t>Controller / Owner</w:t>
            </w:r>
          </w:p>
        </w:tc>
        <w:tc>
          <w:tcPr>
            <w:tcW w:type="dxa" w:w="2304"/>
            <w:shd w:val="clear" w:color="auto" w:fill="1F3864"/>
            <w:vAlign w:val="center"/>
          </w:tcPr>
          <w:p>
            <w:pPr>
              <w:jc w:val="center"/>
            </w:pPr>
            <w:r>
              <w:rPr>
                <w:b/>
                <w:color w:val="FFFFFF"/>
                <w:sz w:val="18"/>
              </w:rPr>
              <w:t>Processor / Service Provider</w:t>
            </w:r>
          </w:p>
        </w:tc>
        <w:tc>
          <w:tcPr>
            <w:tcW w:type="dxa" w:w="2304"/>
            <w:shd w:val="clear" w:color="auto" w:fill="1F3864"/>
            <w:vAlign w:val="center"/>
          </w:tcPr>
          <w:p>
            <w:pPr>
              <w:jc w:val="center"/>
            </w:pPr>
            <w:r>
              <w:rPr>
                <w:b/>
                <w:color w:val="FFFFFF"/>
                <w:sz w:val="18"/>
              </w:rPr>
              <w:t>Governing Constraints</w:t>
            </w:r>
          </w:p>
        </w:tc>
      </w:tr>
      <w:tr>
        <w:tc>
          <w:tcPr>
            <w:tcW w:type="dxa" w:w="2448"/>
            <w:vAlign w:val="center"/>
          </w:tcPr>
          <w:p>
            <w:r>
              <w:rPr>
                <w:b w:val="0"/>
                <w:i w:val="0"/>
                <w:sz w:val="18"/>
              </w:rPr>
              <w:t>Customer Personal Data</w:t>
            </w:r>
          </w:p>
        </w:tc>
        <w:tc>
          <w:tcPr>
            <w:tcW w:type="dxa" w:w="2736"/>
            <w:vAlign w:val="center"/>
          </w:tcPr>
          <w:p>
            <w:r>
              <w:rPr>
                <w:b w:val="0"/>
                <w:i w:val="0"/>
                <w:sz w:val="18"/>
              </w:rPr>
              <w:t>Subscriber retains rights in own PII; RIVR Tech is retail provider of record / controller for retail relationship (never unqualified “owner”)</w:t>
            </w:r>
          </w:p>
        </w:tc>
        <w:tc>
          <w:tcPr>
            <w:tcW w:type="dxa" w:w="2304"/>
            <w:vAlign w:val="center"/>
          </w:tcPr>
          <w:p>
            <w:r>
              <w:rPr>
                <w:b w:val="0"/>
                <w:i w:val="0"/>
                <w:sz w:val="18"/>
              </w:rPr>
              <w:t>RIVR Tech processes; subcontractors as sub-processors</w:t>
            </w:r>
          </w:p>
        </w:tc>
        <w:tc>
          <w:tcPr>
            <w:tcW w:type="dxa" w:w="2304"/>
            <w:vAlign w:val="center"/>
          </w:tcPr>
          <w:p>
            <w:r>
              <w:rPr>
                <w:b w:val="0"/>
                <w:i w:val="0"/>
                <w:sz w:val="18"/>
              </w:rPr>
              <w:t>Applicable privacy law; customer-notification duties; Article 15.4</w:t>
            </w:r>
          </w:p>
        </w:tc>
      </w:tr>
      <w:tr>
        <w:tc>
          <w:tcPr>
            <w:tcW w:type="dxa" w:w="2448"/>
            <w:shd w:val="clear" w:color="auto" w:fill="F2F2F2"/>
            <w:vAlign w:val="center"/>
          </w:tcPr>
          <w:p>
            <w:r>
              <w:rPr>
                <w:b w:val="0"/>
                <w:i w:val="0"/>
                <w:sz w:val="18"/>
              </w:rPr>
              <w:t>CPNI</w:t>
            </w:r>
          </w:p>
        </w:tc>
        <w:tc>
          <w:tcPr>
            <w:tcW w:type="dxa" w:w="2736"/>
            <w:shd w:val="clear" w:color="auto" w:fill="F2F2F2"/>
            <w:vAlign w:val="center"/>
          </w:tcPr>
          <w:p>
            <w:r>
              <w:rPr>
                <w:b w:val="0"/>
                <w:i w:val="0"/>
                <w:sz w:val="18"/>
              </w:rPr>
              <w:t>Subscriber-protected; carrier duties apply</w:t>
            </w:r>
          </w:p>
        </w:tc>
        <w:tc>
          <w:tcPr>
            <w:tcW w:type="dxa" w:w="2304"/>
            <w:shd w:val="clear" w:color="auto" w:fill="F2F2F2"/>
            <w:vAlign w:val="center"/>
          </w:tcPr>
          <w:p>
            <w:r>
              <w:rPr>
                <w:b w:val="0"/>
                <w:i w:val="0"/>
                <w:sz w:val="18"/>
              </w:rPr>
              <w:t>RIVR Tech as carrier subject to CPNI rules</w:t>
            </w:r>
          </w:p>
        </w:tc>
        <w:tc>
          <w:tcPr>
            <w:tcW w:type="dxa" w:w="2304"/>
            <w:shd w:val="clear" w:color="auto" w:fill="F2F2F2"/>
            <w:vAlign w:val="center"/>
          </w:tcPr>
          <w:p>
            <w:r>
              <w:rPr>
                <w:b w:val="0"/>
                <w:i w:val="0"/>
                <w:sz w:val="18"/>
              </w:rPr>
              <w:t>47 U.S.C. § 222 and 47 CFR §§ 64.2001–64.2011 (Customer Proprietary Network Information)</w:t>
            </w:r>
          </w:p>
        </w:tc>
      </w:tr>
      <w:tr>
        <w:tc>
          <w:tcPr>
            <w:tcW w:type="dxa" w:w="2448"/>
            <w:vAlign w:val="center"/>
          </w:tcPr>
          <w:p>
            <w:r>
              <w:rPr>
                <w:b w:val="0"/>
                <w:i w:val="0"/>
                <w:sz w:val="18"/>
              </w:rPr>
              <w:t>Network / Configuration Data for Grant-Funded Assets</w:t>
            </w:r>
          </w:p>
        </w:tc>
        <w:tc>
          <w:tcPr>
            <w:tcW w:type="dxa" w:w="2736"/>
            <w:vAlign w:val="center"/>
          </w:tcPr>
          <w:p>
            <w:r>
              <w:rPr>
                <w:b w:val="0"/>
                <w:i w:val="0"/>
                <w:sz w:val="18"/>
              </w:rPr>
              <w:t>Lumbee Tribe (owner of the Grant-Funded Assets)</w:t>
            </w:r>
          </w:p>
        </w:tc>
        <w:tc>
          <w:tcPr>
            <w:tcW w:type="dxa" w:w="2304"/>
            <w:vAlign w:val="center"/>
          </w:tcPr>
          <w:p>
            <w:r>
              <w:rPr>
                <w:b w:val="0"/>
                <w:i w:val="0"/>
                <w:sz w:val="18"/>
              </w:rPr>
              <w:t>RIVR Tech as operator</w:t>
            </w:r>
          </w:p>
        </w:tc>
        <w:tc>
          <w:tcPr>
            <w:tcW w:type="dxa" w:w="2304"/>
            <w:vAlign w:val="center"/>
          </w:tcPr>
          <w:p>
            <w:r>
              <w:rPr>
                <w:b w:val="0"/>
                <w:i w:val="0"/>
                <w:sz w:val="18"/>
              </w:rPr>
              <w:t>Federal Interest; must be exportable at transition</w:t>
            </w:r>
          </w:p>
        </w:tc>
      </w:tr>
      <w:tr>
        <w:tc>
          <w:tcPr>
            <w:tcW w:type="dxa" w:w="2448"/>
            <w:shd w:val="clear" w:color="auto" w:fill="F2F2F2"/>
            <w:vAlign w:val="center"/>
          </w:tcPr>
          <w:p>
            <w:r>
              <w:rPr>
                <w:b w:val="0"/>
                <w:i w:val="0"/>
                <w:sz w:val="18"/>
              </w:rPr>
              <w:t>RIVR Tech Existing Network data</w:t>
            </w:r>
          </w:p>
        </w:tc>
        <w:tc>
          <w:tcPr>
            <w:tcW w:type="dxa" w:w="2736"/>
            <w:shd w:val="clear" w:color="auto" w:fill="F2F2F2"/>
            <w:vAlign w:val="center"/>
          </w:tcPr>
          <w:p>
            <w:r>
              <w:rPr>
                <w:b w:val="0"/>
                <w:i w:val="0"/>
                <w:sz w:val="18"/>
              </w:rPr>
              <w:t>RIVR Tech (owner of the RIVR Tech Existing Network)</w:t>
            </w:r>
          </w:p>
        </w:tc>
        <w:tc>
          <w:tcPr>
            <w:tcW w:type="dxa" w:w="2304"/>
            <w:shd w:val="clear" w:color="auto" w:fill="F2F2F2"/>
            <w:vAlign w:val="center"/>
          </w:tcPr>
          <w:p>
            <w:r>
              <w:rPr>
                <w:b w:val="0"/>
                <w:i w:val="0"/>
                <w:sz w:val="18"/>
              </w:rPr>
              <w:t>n/a</w:t>
            </w:r>
          </w:p>
        </w:tc>
        <w:tc>
          <w:tcPr>
            <w:tcW w:type="dxa" w:w="2304"/>
            <w:shd w:val="clear" w:color="auto" w:fill="F2F2F2"/>
            <w:vAlign w:val="center"/>
          </w:tcPr>
          <w:p>
            <w:r>
              <w:rPr>
                <w:b w:val="0"/>
                <w:i w:val="0"/>
                <w:sz w:val="18"/>
              </w:rPr>
              <w:t>Remains RIVR Tech's; not a Grant-Funded Asset</w:t>
            </w:r>
          </w:p>
        </w:tc>
      </w:tr>
      <w:tr>
        <w:tc>
          <w:tcPr>
            <w:tcW w:type="dxa" w:w="2448"/>
            <w:vAlign w:val="center"/>
          </w:tcPr>
          <w:p>
            <w:r>
              <w:rPr>
                <w:b w:val="0"/>
                <w:i w:val="0"/>
                <w:sz w:val="18"/>
              </w:rPr>
              <w:t>Program / Compliance / Financial project data</w:t>
            </w:r>
          </w:p>
        </w:tc>
        <w:tc>
          <w:tcPr>
            <w:tcW w:type="dxa" w:w="2736"/>
            <w:vAlign w:val="center"/>
          </w:tcPr>
          <w:p>
            <w:r>
              <w:rPr>
                <w:b w:val="0"/>
                <w:i w:val="0"/>
                <w:sz w:val="18"/>
              </w:rPr>
              <w:t>Lumbee Tribe as award recipient / steward</w:t>
            </w:r>
          </w:p>
        </w:tc>
        <w:tc>
          <w:tcPr>
            <w:tcW w:type="dxa" w:w="2304"/>
            <w:vAlign w:val="center"/>
          </w:tcPr>
          <w:p>
            <w:r>
              <w:rPr>
                <w:b w:val="0"/>
                <w:i w:val="0"/>
                <w:sz w:val="18"/>
              </w:rPr>
              <w:t>RIVR Tech generates and reports</w:t>
            </w:r>
          </w:p>
        </w:tc>
        <w:tc>
          <w:tcPr>
            <w:tcW w:type="dxa" w:w="2304"/>
            <w:vAlign w:val="center"/>
          </w:tcPr>
          <w:p>
            <w:r>
              <w:rPr>
                <w:b w:val="0"/>
                <w:i w:val="0"/>
                <w:sz w:val="18"/>
              </w:rPr>
              <w:t>2 CFR Part 200; records retention; audit access</w:t>
            </w:r>
          </w:p>
        </w:tc>
      </w:tr>
    </w:tbl>
    <w:p>
      <w:pPr>
        <w:pStyle w:val="Heading2"/>
        <w:spacing w:before="160" w:after="60"/>
      </w:pPr>
      <w:r>
        <w:rPr>
          <w:rFonts w:ascii="Calibri" w:hAnsi="Calibri"/>
          <w:b/>
          <w:color w:val="000000"/>
          <w:sz w:val="22"/>
        </w:rPr>
        <w:t>15.2  Tribal Data Sovereignty</w:t>
      </w:r>
    </w:p>
    <w:p>
      <w:r>
        <w:rPr>
          <w:b w:val="0"/>
          <w:i w:val="0"/>
        </w:rPr>
        <w:t>The Lumbee Tribe retains sovereign authority over Tribal data and over data concerning the TBCP project consistent with Tribal law and data-governance policy. Nothing in this Agreement transfers ownership of Tribal data or Grant-Funded Assets data to RIVR Tech, and any secondary or non-project use of such data requires the Lumbee Tribe's prior written consent and must be Award-permitted.</w:t>
      </w:r>
    </w:p>
    <w:p>
      <w:pPr>
        <w:pStyle w:val="Heading2"/>
        <w:spacing w:before="160" w:after="60"/>
      </w:pPr>
      <w:r>
        <w:rPr>
          <w:rFonts w:ascii="Calibri" w:hAnsi="Calibri"/>
          <w:b/>
          <w:color w:val="000000"/>
          <w:sz w:val="22"/>
        </w:rPr>
        <w:t>15.3  No Unqualified Ownership of Customer Personal Data</w:t>
      </w:r>
    </w:p>
    <w:p>
      <w:r>
        <w:rPr>
          <w:b w:val="0"/>
          <w:i w:val="0"/>
        </w:rPr>
        <w:t>RIVR Tech shall not assert, and this Agreement does not grant, unqualified ownership of Customer Personal Data. RIVR Tech's rights are limited to those necessary to provide, bill, and support retail service and to comply with law and the Award.</w:t>
      </w:r>
    </w:p>
    <w:p>
      <w:pPr>
        <w:pStyle w:val="Heading2"/>
        <w:spacing w:before="160" w:after="60"/>
      </w:pPr>
      <w:r>
        <w:rPr>
          <w:rFonts w:ascii="Calibri" w:hAnsi="Calibri"/>
          <w:b/>
          <w:color w:val="000000"/>
          <w:sz w:val="22"/>
        </w:rPr>
        <w:t>15.4  Cross-Reference</w:t>
      </w:r>
    </w:p>
    <w:p>
      <w:r>
        <w:rPr>
          <w:b w:val="0"/>
          <w:i w:val="0"/>
        </w:rPr>
        <w:t>The detailed data-rights, privacy, and CPNI provisions are further specified in Schedule S11 (Data, Privacy, Cybersecurity, Supply-Chain Risk, Incident Response, and Disaster Recovery); this Article controls as to legal allocation of ownership and roles.</w:t>
      </w:r>
    </w:p>
    <w:p>
      <w:pPr>
        <w:ind w:left="504"/>
      </w:pPr>
      <w:r>
        <w:rPr>
          <w:b/>
          <w:color w:val="0000C0"/>
        </w:rPr>
        <w:t xml:space="preserve">[ATTORNEY REVIEW REQUIRED]  </w:t>
      </w:r>
      <w:r>
        <w:rPr>
          <w:i/>
          <w:color w:val="595959"/>
        </w:rPr>
        <w:t>The controller/processor characterization and CPNI handling must be confirmed against 47 U.S.C. § 222, FCC CPNI rules, and applicable privacy statutes; the retail-relationship characterization affects notification and consent duties.</w:t>
      </w:r>
    </w:p>
    <w:p>
      <w:pPr>
        <w:pStyle w:val="Heading1"/>
        <w:spacing w:before="240" w:after="120"/>
      </w:pPr>
      <w:r>
        <w:rPr>
          <w:rFonts w:ascii="Calibri" w:hAnsi="Calibri"/>
          <w:b/>
          <w:color w:val="1F3864"/>
          <w:sz w:val="26"/>
        </w:rPr>
        <w:t>ARTICLE 16.  ORDER OF PRECEDENCE, SHARED DEFINITIONS, AND INTERPRETATION</w:t>
      </w:r>
    </w:p>
    <w:p>
      <w:pPr>
        <w:pStyle w:val="Heading2"/>
        <w:spacing w:before="160" w:after="60"/>
      </w:pPr>
      <w:r>
        <w:rPr>
          <w:rFonts w:ascii="Calibri" w:hAnsi="Calibri"/>
          <w:b/>
          <w:color w:val="000000"/>
          <w:sz w:val="22"/>
        </w:rPr>
        <w:t>16.1  Order of Precedence</w:t>
      </w:r>
    </w:p>
    <w:p>
      <w:r>
        <w:rPr>
          <w:b w:val="0"/>
          <w:i w:val="0"/>
        </w:rPr>
        <w:t>In the event of any conflict, ambiguity, or inconsistency among the instruments governing this transaction, the following order of precedence applies, from highest to lowest:</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pStyle w:val="Heading2"/>
        <w:spacing w:before="160" w:after="60"/>
      </w:pPr>
      <w:r>
        <w:rPr>
          <w:rFonts w:ascii="Calibri" w:hAnsi="Calibri"/>
          <w:b/>
          <w:color w:val="000000"/>
          <w:sz w:val="22"/>
        </w:rPr>
        <w:t>16.2  Shared Definitions</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r>
        <w:rPr>
          <w:b w:val="0"/>
          <w:i w:val="0"/>
        </w:rPr>
        <w:t>This Agreement is the Data Privacy, Cybersecurity, Supply-Chain Risk, and Business Continuity Addendum referenced in that definitions source, and capitalized terms defined in this Agreement have the meanings given here for purposes of this Agreement.</w:t>
      </w:r>
    </w:p>
    <w:p>
      <w:pPr>
        <w:pStyle w:val="Heading2"/>
        <w:spacing w:before="160" w:after="60"/>
      </w:pPr>
      <w:r>
        <w:rPr>
          <w:rFonts w:ascii="Calibri" w:hAnsi="Calibri"/>
          <w:b/>
          <w:color w:val="000000"/>
          <w:sz w:val="22"/>
        </w:rPr>
        <w:t>16.3  Interpretation</w:t>
      </w:r>
    </w:p>
    <w:p>
      <w:r>
        <w:rPr>
          <w:b w:val="0"/>
          <w:i w:val="0"/>
        </w:rPr>
        <w:t>Headings are for convenience only. References to statutes and regulations include successor provisions. “Including” means “including without limitation.” Cross-references to Schedules and other Definitive Agreements are to the instruments named in the Schedule and Agreement registers maintained in the Master Agreement.</w:t>
      </w:r>
    </w:p>
    <w:p>
      <w:pPr>
        <w:ind w:left="504"/>
      </w:pPr>
      <w:r>
        <w:rPr>
          <w:b/>
          <w:color w:val="0000C0"/>
        </w:rPr>
        <w:t xml:space="preserve">[ATTORNEY REVIEW REQUIRED]  </w:t>
      </w:r>
      <w:r>
        <w:rPr>
          <w:i/>
          <w:color w:val="595959"/>
        </w:rPr>
        <w:t>Sovereign immunity and governing-law provisions are stated as bracketed ALTERNATIVES in the Master Agreement and are incorporated by reference; a clear, express, and limited waiver of the Lumbee Tribe's sovereign immunity (if any) must be negotiated and confirmed by counsel and Tribal Council, and nothing in this Agreement waives sovereign immunity by implication.</w:t>
      </w:r>
    </w:p>
    <w:p/>
    <w:p>
      <w:pPr>
        <w:pStyle w:val="Heading1"/>
        <w:spacing w:before="240" w:after="120"/>
      </w:pPr>
      <w:r>
        <w:rPr>
          <w:rFonts w:ascii="Calibri" w:hAnsi="Calibri"/>
          <w:b/>
          <w:color w:val="1F3864"/>
          <w:sz w:val="26"/>
        </w:rPr>
        <w:t>ARTICLE —.  DISCLAIMER</w:t>
      </w:r>
    </w:p>
    <w:p>
      <w:r>
        <w:rPr>
          <w:b w:val="0"/>
          <w:i/>
        </w:rPr>
        <w:t>PRELIMINARY DRAFT – NO CONTROLLING TBCP AWARD OR SOURCE DOCUMENTS SUPPLIED – PROVISIONAL BASELINE: MARCH 2024 AMENDED ROUND 2 NOFO – SUBJECT TO LEGAL, GRANT AND FINANCIAL REVIEW This document is a working draft prepared for discussion and negotiation only. It is not executed, is not a complete or final agreement, and does not constitute legal, financial, tax, regulatory, or grant-compliance advice. All bracketed items, placeholders (highlighted), and flagged provisions must be completed and confirmed by the Parties and their advisors. All terms remain subject to legal, grant, and financial review and to the controlling federal Award once supplied.</w:t>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Execution is subject to Tribal Council authorization, RIVR Tech corporate authorization, confirmation of the controlling Award, and completion of all bracketed and flagged items.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Privacy / Cyber / Continuity Addendum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