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DEFINITIVE AGREEMENT NO. 10</w:t>
      </w:r>
    </w:p>
    <w:p>
      <w:pPr>
        <w:jc w:val="center"/>
      </w:pPr>
      <w:r>
        <w:rPr>
          <w:b/>
          <w:color w:val="1F3864"/>
          <w:sz w:val="48"/>
        </w:rPr>
        <w:t>Continuity, Step-In, Termination Assistance, and Transition Agreement</w:t>
      </w:r>
    </w:p>
    <w:p>
      <w:pPr>
        <w:jc w:val="center"/>
      </w:pPr>
      <w:r>
        <w:rPr>
          <w:color w:val="595959"/>
          <w:sz w:val="28"/>
        </w:rPr>
        <w:t>Continuity, Step-In, Termination Assistance, and Transition</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val="0"/>
        </w:rPr>
        <w:t xml:space="preserve">This Continuity, Step-In, Termination Assistance, and Transition Agreement (this “Agreement”) is entered into as of </w:t>
      </w:r>
      <w:r>
        <w:rPr>
          <w:b w:val="0"/>
          <w:i w:val="0"/>
          <w:color w:val="804000"/>
          <w:highlight w:val="yellow"/>
        </w:rPr>
        <w:t>[■ Effective Date]</w:t>
      </w:r>
      <w:r>
        <w:rPr>
          <w:b w:val="0"/>
          <w:i w:val="0"/>
        </w:rPr>
        <w:t xml:space="preserve"> (the “Effective Date”), by and between Lumbee Tribe of North Carolina (the “Lumbee Tribe”), and LREMC Technologies, LLC d/b/a RIVR Tech (“RIVR Tech”). The Lumbee Tribe and RIVR Tech are each a “Party” and together the “Parties.”</w:t>
      </w:r>
    </w:p>
    <w:p>
      <w:r>
        <w:rPr>
          <w:b w:val="0"/>
          <w:i w:val="0"/>
        </w:rPr>
        <w:t>This Agreement is one of the Definitive Agreements executed under, and is subordinate to, the Master TBCP Partnership and Implementation Agreement. It supports the Tribal Broadband Connectivity Program (TBCP) award administered by the National Telecommunications and Information Administration (NTIA), U.S. Department of Commerce.</w:t>
      </w:r>
    </w:p>
    <w:p>
      <w:pPr>
        <w:ind w:left="504"/>
      </w:pPr>
      <w:r>
        <w:rPr>
          <w:b/>
          <w:color w:val="7F007F"/>
        </w:rPr>
        <w:t xml:space="preserve">[GRANT COMPLIANCE REVIEW REQUIRED]  </w:t>
      </w:r>
      <w:r>
        <w:rPr>
          <w:i/>
          <w:color w:val="595959"/>
        </w:rPr>
        <w:t>No controlling TBCP award or source documents were supplied. Provisional baseline: TBCP Round 2 Notice of Funding Opportunity, as amended March 2024 (PROVISIONAL BASELINE). Round 3 is the live TBCP round as of the version date; the controlling round and executed award must be confirmed before any definitive clause is finalized.</w:t>
      </w:r>
    </w:p>
    <w:p>
      <w:pPr>
        <w:pStyle w:val="Heading1"/>
        <w:spacing w:before="240" w:after="120"/>
      </w:pPr>
      <w:r>
        <w:rPr>
          <w:rFonts w:ascii="Calibri" w:hAnsi="Calibri"/>
          <w:b/>
          <w:color w:val="1F3864"/>
          <w:sz w:val="26"/>
        </w:rPr>
        <w:t>ARTICLE 1.  PURPOSE, SCOPE, AND CROSS-REFERENCES</w:t>
      </w:r>
    </w:p>
    <w:p>
      <w:pPr>
        <w:pStyle w:val="Heading2"/>
        <w:spacing w:before="160" w:after="60"/>
      </w:pPr>
      <w:r>
        <w:rPr>
          <w:rFonts w:ascii="Calibri" w:hAnsi="Calibri"/>
          <w:b/>
          <w:color w:val="000000"/>
          <w:sz w:val="22"/>
        </w:rPr>
        <w:t>1.1  Purpose</w:t>
      </w:r>
    </w:p>
    <w:p>
      <w:r>
        <w:rPr>
          <w:b w:val="0"/>
          <w:i w:val="0"/>
        </w:rPr>
        <w:t>This Agreement provides for continuity of Essential Services, for the Lumbee Tribe's (or its designee's) step-in and substitution rights, and for orderly termination assistance and transition, so that retail broadband service over the Tribal Network and the Grant-Funded Assets continues and the TBCP Award is protected if RIVR Tech cannot or does not perform.</w:t>
      </w:r>
    </w:p>
    <w:p>
      <w:pPr>
        <w:pStyle w:val="Heading2"/>
        <w:spacing w:before="160" w:after="60"/>
      </w:pPr>
      <w:r>
        <w:rPr>
          <w:rFonts w:ascii="Calibri" w:hAnsi="Calibri"/>
          <w:b/>
          <w:color w:val="000000"/>
          <w:sz w:val="22"/>
        </w:rPr>
        <w:t>1.2  Controlling Schedule and Cross-References</w:t>
      </w:r>
    </w:p>
    <w:p>
      <w:r>
        <w:rPr>
          <w:b w:val="0"/>
          <w:i w:val="0"/>
        </w:rPr>
        <w:t>The detailed default, cure, step-in, continuity, transition, and termination-assistance mechanics for this Agreement are set out in Schedule S13 (Default, Cure, Step-In, Continuity, Transition, and Termination Assistance). This Agreement is coordinated with the Master TBCP Partnership and Implementation Agreement, the Network Operations, Maintenance, and Lifecycle Agreement, the Retail Customer Service, Billing, Collections, and Subscriber Revenue Agreement, the Indefeasible Right of Use and Network Access Agreement, and the Data Privacy, Cybersecurity, Supply-Chain Risk, and Business Continuity Addendum.</w:t>
      </w:r>
    </w:p>
    <w:p>
      <w:pPr>
        <w:pStyle w:val="Heading1"/>
        <w:spacing w:before="240" w:after="120"/>
      </w:pPr>
      <w:r>
        <w:rPr>
          <w:rFonts w:ascii="Calibri" w:hAnsi="Calibri"/>
          <w:b/>
          <w:color w:val="1F3864"/>
          <w:sz w:val="26"/>
        </w:rPr>
        <w:t>ARTICLE 2.  DEFINITIONS</w:t>
      </w:r>
    </w:p>
    <w:p>
      <w:r>
        <w:rPr>
          <w:b w:val="0"/>
          <w:i w:val="0"/>
        </w:rPr>
        <w:t>For purposes of this Agreement:</w:t>
      </w:r>
    </w:p>
    <w:p>
      <w:pPr>
        <w:ind w:left="504"/>
      </w:pPr>
      <w:r>
        <w:rPr>
          <w:b/>
        </w:rPr>
        <w:t xml:space="preserve">(a)  </w:t>
      </w:r>
      <w:r>
        <w:rPr>
          <w:b w:val="0"/>
          <w:i w:val="0"/>
        </w:rPr>
        <w:t>“Step-In” means the Lumbee Tribe's (or its designee's or a Substitute Operator's) temporary or permanent assumption of some or all operating functions, proportional to the triggering condition.</w:t>
      </w:r>
    </w:p>
    <w:p>
      <w:pPr>
        <w:ind w:left="504"/>
      </w:pPr>
      <w:r>
        <w:rPr>
          <w:b/>
        </w:rPr>
        <w:t xml:space="preserve">(b)  </w:t>
      </w:r>
      <w:r>
        <w:rPr>
          <w:b w:val="0"/>
          <w:i w:val="0"/>
        </w:rPr>
        <w:t>“Substitute Operator” means a qualified operator engaged to continue service, meeting the standards in Article 5.</w:t>
      </w:r>
    </w:p>
    <w:p>
      <w:pPr>
        <w:ind w:left="504"/>
      </w:pPr>
      <w:r>
        <w:rPr>
          <w:b/>
        </w:rPr>
        <w:t xml:space="preserve">(c)  </w:t>
      </w:r>
      <w:r>
        <w:rPr>
          <w:b w:val="0"/>
          <w:i w:val="0"/>
        </w:rPr>
        <w:t>“Essential Services” means the retail broadband and supporting services necessary to maintain subscriber connectivity, public safety, and Award compliance.</w:t>
      </w:r>
    </w:p>
    <w:p>
      <w:pPr>
        <w:ind w:left="504"/>
      </w:pPr>
      <w:r>
        <w:rPr>
          <w:b/>
        </w:rPr>
        <w:t xml:space="preserve">(d)  </w:t>
      </w:r>
      <w:r>
        <w:rPr>
          <w:b w:val="0"/>
          <w:i w:val="0"/>
        </w:rPr>
        <w:t>“Transition Period” means the period of 12 months of transition assistance described in Article 11, extendable as provided therein.</w:t>
      </w:r>
    </w:p>
    <w:p>
      <w:pPr>
        <w:pStyle w:val="Heading1"/>
        <w:spacing w:before="240" w:after="120"/>
      </w:pPr>
      <w:r>
        <w:rPr>
          <w:rFonts w:ascii="Calibri" w:hAnsi="Calibri"/>
          <w:b/>
          <w:color w:val="1F3864"/>
          <w:sz w:val="26"/>
        </w:rPr>
        <w:t>ARTICLE 3.  DEFAULT AND CURE</w:t>
      </w:r>
    </w:p>
    <w:p>
      <w:pPr>
        <w:pStyle w:val="Heading2"/>
        <w:spacing w:before="160" w:after="60"/>
      </w:pPr>
      <w:r>
        <w:rPr>
          <w:rFonts w:ascii="Calibri" w:hAnsi="Calibri"/>
          <w:b/>
          <w:color w:val="000000"/>
          <w:sz w:val="22"/>
        </w:rPr>
        <w:t>3.1  Monetary Default</w:t>
      </w:r>
    </w:p>
    <w:p>
      <w:r>
        <w:rPr>
          <w:b w:val="0"/>
          <w:i w:val="0"/>
        </w:rPr>
        <w:t>A monetary default occurs if a Party fails to pay an undisputed amount when due and does not cure within 30 days after written notice.</w:t>
      </w:r>
    </w:p>
    <w:p>
      <w:pPr>
        <w:pStyle w:val="Heading2"/>
        <w:spacing w:before="160" w:after="60"/>
      </w:pPr>
      <w:r>
        <w:rPr>
          <w:rFonts w:ascii="Calibri" w:hAnsi="Calibri"/>
          <w:b/>
          <w:color w:val="000000"/>
          <w:sz w:val="22"/>
        </w:rPr>
        <w:t>3.2  Non-Monetary Default</w:t>
      </w:r>
    </w:p>
    <w:p>
      <w:r>
        <w:rPr>
          <w:b w:val="0"/>
          <w:i w:val="0"/>
        </w:rPr>
        <w:t>A non-monetary default occurs if a Party fails to perform a material obligation and does not cure within 60 days after written notice, with an additional sixty (60) days if the breach is not reasonably curable within the initial period and the defaulting Party is diligently pursuing cure.</w:t>
      </w:r>
    </w:p>
    <w:p>
      <w:pPr>
        <w:pStyle w:val="Heading2"/>
        <w:spacing w:before="160" w:after="60"/>
      </w:pPr>
      <w:r>
        <w:rPr>
          <w:rFonts w:ascii="Calibri" w:hAnsi="Calibri"/>
          <w:b/>
          <w:color w:val="000000"/>
          <w:sz w:val="22"/>
        </w:rPr>
        <w:t>3.3  Notice</w:t>
      </w:r>
    </w:p>
    <w:p>
      <w:r>
        <w:rPr>
          <w:b w:val="0"/>
          <w:i w:val="0"/>
        </w:rPr>
        <w:t>Default notices shall be given in accordance with the notice provisions of the Master Agreement, with not less than 30 days' notice where a notice-and-cure period applies.</w:t>
      </w:r>
    </w:p>
    <w:p>
      <w:pPr>
        <w:pStyle w:val="Heading1"/>
        <w:spacing w:before="240" w:after="120"/>
      </w:pPr>
      <w:r>
        <w:rPr>
          <w:rFonts w:ascii="Calibri" w:hAnsi="Calibri"/>
          <w:b/>
          <w:color w:val="1F3864"/>
          <w:sz w:val="26"/>
        </w:rPr>
        <w:t>ARTICLE 4.  STEP-IN TRIGGERS AND LIMITS</w:t>
      </w:r>
    </w:p>
    <w:p>
      <w:pPr>
        <w:pStyle w:val="Heading2"/>
        <w:spacing w:before="160" w:after="60"/>
      </w:pPr>
      <w:r>
        <w:rPr>
          <w:rFonts w:ascii="Calibri" w:hAnsi="Calibri"/>
          <w:b/>
          <w:color w:val="000000"/>
          <w:sz w:val="22"/>
        </w:rPr>
        <w:t>4.1  Triggers</w:t>
      </w:r>
    </w:p>
    <w:p>
      <w:r>
        <w:rPr>
          <w:b w:val="0"/>
          <w:i w:val="0"/>
        </w:rPr>
        <w:t>Subject to the limits in Section 4.2, the Lumbee Tribe (or its designee) may exercise Step-In upon any of the following:</w:t>
      </w:r>
    </w:p>
    <w:p>
      <w:pPr>
        <w:pStyle w:val="ListBullet"/>
      </w:pPr>
      <w:r>
        <w:rPr>
          <w:b w:val="0"/>
          <w:i w:val="0"/>
        </w:rPr>
        <w:t>an uncured default under Article 3 (following expiration of the applicable cure period);</w:t>
      </w:r>
    </w:p>
    <w:p>
      <w:pPr>
        <w:pStyle w:val="ListBullet"/>
      </w:pPr>
      <w:r>
        <w:rPr>
          <w:b w:val="0"/>
          <w:i w:val="0"/>
        </w:rPr>
        <w:t>insolvency, bankruptcy, receivership, or assignment for the benefit of creditors of RIVR Tech;</w:t>
      </w:r>
    </w:p>
    <w:p>
      <w:pPr>
        <w:pStyle w:val="ListBullet"/>
      </w:pPr>
      <w:r>
        <w:rPr>
          <w:b w:val="0"/>
          <w:i w:val="0"/>
        </w:rPr>
        <w:t>abandonment of the operation or discontinuance of Essential Services;</w:t>
      </w:r>
    </w:p>
    <w:p>
      <w:pPr>
        <w:pStyle w:val="ListBullet"/>
      </w:pPr>
      <w:r>
        <w:rPr>
          <w:b w:val="0"/>
          <w:i w:val="0"/>
        </w:rPr>
        <w:t>loss, suspension, or revocation of a license, authorization, or certification necessary to operate;</w:t>
      </w:r>
    </w:p>
    <w:p>
      <w:pPr>
        <w:pStyle w:val="ListBullet"/>
      </w:pPr>
      <w:r>
        <w:rPr>
          <w:b w:val="0"/>
          <w:i w:val="0"/>
        </w:rPr>
        <w:t>chronic or repeated SLA failure as defined in the Network Operations, Maintenance, and Lifecycle Agreement and Schedule S13;</w:t>
      </w:r>
    </w:p>
    <w:p>
      <w:pPr>
        <w:pStyle w:val="ListBullet"/>
      </w:pPr>
      <w:r>
        <w:rPr>
          <w:b w:val="0"/>
          <w:i w:val="0"/>
        </w:rPr>
        <w:t>a grant-compliance failure that threatens the Award, the Federal Interest, or the Tribe's standing as recipient;</w:t>
      </w:r>
    </w:p>
    <w:p>
      <w:pPr>
        <w:pStyle w:val="Heading2"/>
        <w:spacing w:before="160" w:after="60"/>
      </w:pPr>
      <w:r>
        <w:rPr>
          <w:rFonts w:ascii="Calibri" w:hAnsi="Calibri"/>
          <w:b/>
          <w:color w:val="000000"/>
          <w:sz w:val="22"/>
        </w:rPr>
        <w:t>4.2  Limits — Proportionality</w:t>
      </w:r>
    </w:p>
    <w:p>
      <w:r>
        <w:rPr>
          <w:b w:val="0"/>
          <w:i w:val="0"/>
        </w:rPr>
        <w:t>Step-In shall be proportional to the triggering condition and no broader or longer than reasonably necessary to restore continuity, protect public safety, and protect the Award. Emergency Step-In is immediate, upon notice, where continuity of Essential Services, public safety, or compliance with the Award is imminently threatened; non-emergency Step-In follows notice and any applicable cure period. Step-In is limited to the Grant-Funded Assets and the rights necessary for continuity and does not extend to the RIVR Tech Existing Network except as provided in Article 12.</w:t>
      </w:r>
    </w:p>
    <w:p>
      <w:pPr>
        <w:pStyle w:val="Heading2"/>
        <w:spacing w:before="160" w:after="60"/>
      </w:pPr>
      <w:r>
        <w:rPr>
          <w:rFonts w:ascii="Calibri" w:hAnsi="Calibri"/>
          <w:b/>
          <w:color w:val="000000"/>
          <w:sz w:val="22"/>
        </w:rPr>
        <w:t>4.3  Step-In Trigger → Action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1F3864"/>
            <w:vAlign w:val="center"/>
          </w:tcPr>
          <w:p>
            <w:pPr>
              <w:jc w:val="center"/>
            </w:pPr>
            <w:r>
              <w:rPr>
                <w:b/>
                <w:color w:val="FFFFFF"/>
                <w:sz w:val="18"/>
              </w:rPr>
              <w:t>Trigger</w:t>
            </w:r>
          </w:p>
        </w:tc>
        <w:tc>
          <w:tcPr>
            <w:tcW w:type="dxa" w:w="3456"/>
            <w:shd w:val="clear" w:color="auto" w:fill="1F3864"/>
            <w:vAlign w:val="center"/>
          </w:tcPr>
          <w:p>
            <w:pPr>
              <w:jc w:val="center"/>
            </w:pPr>
            <w:r>
              <w:rPr>
                <w:b/>
                <w:color w:val="FFFFFF"/>
                <w:sz w:val="18"/>
              </w:rPr>
              <w:t>Proportional Action</w:t>
            </w:r>
          </w:p>
        </w:tc>
        <w:tc>
          <w:tcPr>
            <w:tcW w:type="dxa" w:w="1584"/>
            <w:shd w:val="clear" w:color="auto" w:fill="1F3864"/>
            <w:vAlign w:val="center"/>
          </w:tcPr>
          <w:p>
            <w:pPr>
              <w:jc w:val="center"/>
            </w:pPr>
            <w:r>
              <w:rPr>
                <w:b/>
                <w:color w:val="FFFFFF"/>
                <w:sz w:val="18"/>
              </w:rPr>
              <w:t>Emergency?</w:t>
            </w:r>
          </w:p>
        </w:tc>
        <w:tc>
          <w:tcPr>
            <w:tcW w:type="dxa" w:w="2304"/>
            <w:shd w:val="clear" w:color="auto" w:fill="1F3864"/>
            <w:vAlign w:val="center"/>
          </w:tcPr>
          <w:p>
            <w:pPr>
              <w:jc w:val="center"/>
            </w:pPr>
            <w:r>
              <w:rPr>
                <w:b/>
                <w:color w:val="FFFFFF"/>
                <w:sz w:val="18"/>
              </w:rPr>
              <w:t>Notice / Cure</w:t>
            </w:r>
          </w:p>
        </w:tc>
      </w:tr>
      <w:tr>
        <w:tc>
          <w:tcPr>
            <w:tcW w:type="dxa" w:w="2736"/>
            <w:vAlign w:val="center"/>
          </w:tcPr>
          <w:p>
            <w:r>
              <w:rPr>
                <w:b w:val="0"/>
                <w:i w:val="0"/>
                <w:sz w:val="18"/>
              </w:rPr>
              <w:t>Uncured monetary default</w:t>
            </w:r>
          </w:p>
        </w:tc>
        <w:tc>
          <w:tcPr>
            <w:tcW w:type="dxa" w:w="3456"/>
            <w:vAlign w:val="center"/>
          </w:tcPr>
          <w:p>
            <w:r>
              <w:rPr>
                <w:b w:val="0"/>
                <w:i w:val="0"/>
                <w:sz w:val="18"/>
              </w:rPr>
              <w:t>Assume billing/collections or withhold; escalate to Substitute Operator if unresolved</w:t>
            </w:r>
          </w:p>
        </w:tc>
        <w:tc>
          <w:tcPr>
            <w:tcW w:type="dxa" w:w="1584"/>
            <w:vAlign w:val="center"/>
          </w:tcPr>
          <w:p>
            <w:pPr>
              <w:jc w:val="center"/>
            </w:pPr>
            <w:r>
              <w:rPr>
                <w:b w:val="0"/>
                <w:i w:val="0"/>
                <w:sz w:val="18"/>
              </w:rPr>
              <w:t>No</w:t>
            </w:r>
          </w:p>
        </w:tc>
        <w:tc>
          <w:tcPr>
            <w:tcW w:type="dxa" w:w="2304"/>
            <w:vAlign w:val="center"/>
          </w:tcPr>
          <w:p>
            <w:r>
              <w:rPr>
                <w:b w:val="0"/>
                <w:i w:val="0"/>
                <w:sz w:val="18"/>
              </w:rPr>
              <w:t>30-day cure after notice</w:t>
            </w:r>
          </w:p>
        </w:tc>
      </w:tr>
      <w:tr>
        <w:tc>
          <w:tcPr>
            <w:tcW w:type="dxa" w:w="2736"/>
            <w:shd w:val="clear" w:color="auto" w:fill="F2F2F2"/>
            <w:vAlign w:val="center"/>
          </w:tcPr>
          <w:p>
            <w:r>
              <w:rPr>
                <w:b w:val="0"/>
                <w:i w:val="0"/>
                <w:sz w:val="18"/>
              </w:rPr>
              <w:t>Uncured non-monetary default</w:t>
            </w:r>
          </w:p>
        </w:tc>
        <w:tc>
          <w:tcPr>
            <w:tcW w:type="dxa" w:w="3456"/>
            <w:shd w:val="clear" w:color="auto" w:fill="F2F2F2"/>
            <w:vAlign w:val="center"/>
          </w:tcPr>
          <w:p>
            <w:r>
              <w:rPr>
                <w:b w:val="0"/>
                <w:i w:val="0"/>
                <w:sz w:val="18"/>
              </w:rPr>
              <w:t>Assume affected function(s); direct cure at operator cost</w:t>
            </w:r>
          </w:p>
        </w:tc>
        <w:tc>
          <w:tcPr>
            <w:tcW w:type="dxa" w:w="1584"/>
            <w:shd w:val="clear" w:color="auto" w:fill="F2F2F2"/>
            <w:vAlign w:val="center"/>
          </w:tcPr>
          <w:p>
            <w:pPr>
              <w:jc w:val="center"/>
            </w:pPr>
            <w:r>
              <w:rPr>
                <w:b w:val="0"/>
                <w:i w:val="0"/>
                <w:sz w:val="18"/>
              </w:rPr>
              <w:t>No</w:t>
            </w:r>
          </w:p>
        </w:tc>
        <w:tc>
          <w:tcPr>
            <w:tcW w:type="dxa" w:w="2304"/>
            <w:shd w:val="clear" w:color="auto" w:fill="F2F2F2"/>
            <w:vAlign w:val="center"/>
          </w:tcPr>
          <w:p>
            <w:r>
              <w:rPr>
                <w:b w:val="0"/>
                <w:i w:val="0"/>
                <w:sz w:val="18"/>
              </w:rPr>
              <w:t>60-day cure (+ extension) after notice</w:t>
            </w:r>
          </w:p>
        </w:tc>
      </w:tr>
      <w:tr>
        <w:tc>
          <w:tcPr>
            <w:tcW w:type="dxa" w:w="2736"/>
            <w:vAlign w:val="center"/>
          </w:tcPr>
          <w:p>
            <w:r>
              <w:rPr>
                <w:b w:val="0"/>
                <w:i w:val="0"/>
                <w:sz w:val="18"/>
              </w:rPr>
              <w:t>Insolvency / bankruptcy</w:t>
            </w:r>
          </w:p>
        </w:tc>
        <w:tc>
          <w:tcPr>
            <w:tcW w:type="dxa" w:w="3456"/>
            <w:vAlign w:val="center"/>
          </w:tcPr>
          <w:p>
            <w:r>
              <w:rPr>
                <w:b w:val="0"/>
                <w:i w:val="0"/>
                <w:sz w:val="18"/>
              </w:rPr>
              <w:t>Immediate protective Step-In of Grant-Funded Assets operations</w:t>
            </w:r>
          </w:p>
        </w:tc>
        <w:tc>
          <w:tcPr>
            <w:tcW w:type="dxa" w:w="1584"/>
            <w:vAlign w:val="center"/>
          </w:tcPr>
          <w:p>
            <w:pPr>
              <w:jc w:val="center"/>
            </w:pPr>
            <w:r>
              <w:rPr>
                <w:b w:val="0"/>
                <w:i w:val="0"/>
                <w:sz w:val="18"/>
              </w:rPr>
              <w:t>Yes</w:t>
            </w:r>
          </w:p>
        </w:tc>
        <w:tc>
          <w:tcPr>
            <w:tcW w:type="dxa" w:w="2304"/>
            <w:vAlign w:val="center"/>
          </w:tcPr>
          <w:p>
            <w:r>
              <w:rPr>
                <w:b w:val="0"/>
                <w:i w:val="0"/>
                <w:sz w:val="18"/>
              </w:rPr>
              <w:t>Immediate upon notice</w:t>
            </w:r>
          </w:p>
        </w:tc>
      </w:tr>
      <w:tr>
        <w:tc>
          <w:tcPr>
            <w:tcW w:type="dxa" w:w="2736"/>
            <w:shd w:val="clear" w:color="auto" w:fill="F2F2F2"/>
            <w:vAlign w:val="center"/>
          </w:tcPr>
          <w:p>
            <w:r>
              <w:rPr>
                <w:b w:val="0"/>
                <w:i w:val="0"/>
                <w:sz w:val="18"/>
              </w:rPr>
              <w:t>Abandonment / service discontinuance</w:t>
            </w:r>
          </w:p>
        </w:tc>
        <w:tc>
          <w:tcPr>
            <w:tcW w:type="dxa" w:w="3456"/>
            <w:shd w:val="clear" w:color="auto" w:fill="F2F2F2"/>
            <w:vAlign w:val="center"/>
          </w:tcPr>
          <w:p>
            <w:r>
              <w:rPr>
                <w:b w:val="0"/>
                <w:i w:val="0"/>
                <w:sz w:val="18"/>
              </w:rPr>
              <w:t>Immediate continuity Step-In; engage Substitute Operator</w:t>
            </w:r>
          </w:p>
        </w:tc>
        <w:tc>
          <w:tcPr>
            <w:tcW w:type="dxa" w:w="1584"/>
            <w:shd w:val="clear" w:color="auto" w:fill="F2F2F2"/>
            <w:vAlign w:val="center"/>
          </w:tcPr>
          <w:p>
            <w:pPr>
              <w:jc w:val="center"/>
            </w:pPr>
            <w:r>
              <w:rPr>
                <w:b w:val="0"/>
                <w:i w:val="0"/>
                <w:sz w:val="18"/>
              </w:rPr>
              <w:t>Yes</w:t>
            </w:r>
          </w:p>
        </w:tc>
        <w:tc>
          <w:tcPr>
            <w:tcW w:type="dxa" w:w="2304"/>
            <w:shd w:val="clear" w:color="auto" w:fill="F2F2F2"/>
            <w:vAlign w:val="center"/>
          </w:tcPr>
          <w:p>
            <w:r>
              <w:rPr>
                <w:b w:val="0"/>
                <w:i w:val="0"/>
                <w:sz w:val="18"/>
              </w:rPr>
              <w:t>Immediate upon notice</w:t>
            </w:r>
          </w:p>
        </w:tc>
      </w:tr>
      <w:tr>
        <w:tc>
          <w:tcPr>
            <w:tcW w:type="dxa" w:w="2736"/>
            <w:vAlign w:val="center"/>
          </w:tcPr>
          <w:p>
            <w:r>
              <w:rPr>
                <w:b w:val="0"/>
                <w:i w:val="0"/>
                <w:sz w:val="18"/>
              </w:rPr>
              <w:t>Loss of authorizations</w:t>
            </w:r>
          </w:p>
        </w:tc>
        <w:tc>
          <w:tcPr>
            <w:tcW w:type="dxa" w:w="3456"/>
            <w:vAlign w:val="center"/>
          </w:tcPr>
          <w:p>
            <w:r>
              <w:rPr>
                <w:b w:val="0"/>
                <w:i w:val="0"/>
                <w:sz w:val="18"/>
              </w:rPr>
              <w:t>Step-In and/or Substitute Operator to preserve lawful operation</w:t>
            </w:r>
          </w:p>
        </w:tc>
        <w:tc>
          <w:tcPr>
            <w:tcW w:type="dxa" w:w="1584"/>
            <w:vAlign w:val="center"/>
          </w:tcPr>
          <w:p>
            <w:pPr>
              <w:jc w:val="center"/>
            </w:pPr>
            <w:r>
              <w:rPr>
                <w:b w:val="0"/>
                <w:i w:val="0"/>
                <w:sz w:val="18"/>
              </w:rPr>
              <w:t>Yes, if service at risk</w:t>
            </w:r>
          </w:p>
        </w:tc>
        <w:tc>
          <w:tcPr>
            <w:tcW w:type="dxa" w:w="2304"/>
            <w:vAlign w:val="center"/>
          </w:tcPr>
          <w:p>
            <w:r>
              <w:rPr>
                <w:b w:val="0"/>
                <w:i w:val="0"/>
                <w:sz w:val="18"/>
              </w:rPr>
              <w:t>Immediate or per cure period as applicable</w:t>
            </w:r>
          </w:p>
        </w:tc>
      </w:tr>
      <w:tr>
        <w:tc>
          <w:tcPr>
            <w:tcW w:type="dxa" w:w="2736"/>
            <w:shd w:val="clear" w:color="auto" w:fill="F2F2F2"/>
            <w:vAlign w:val="center"/>
          </w:tcPr>
          <w:p>
            <w:r>
              <w:rPr>
                <w:b w:val="0"/>
                <w:i w:val="0"/>
                <w:sz w:val="18"/>
              </w:rPr>
              <w:t>Chronic SLA failure</w:t>
            </w:r>
          </w:p>
        </w:tc>
        <w:tc>
          <w:tcPr>
            <w:tcW w:type="dxa" w:w="3456"/>
            <w:shd w:val="clear" w:color="auto" w:fill="F2F2F2"/>
            <w:vAlign w:val="center"/>
          </w:tcPr>
          <w:p>
            <w:r>
              <w:rPr>
                <w:b w:val="0"/>
                <w:i w:val="0"/>
                <w:sz w:val="18"/>
              </w:rPr>
              <w:t>Assume affected operations; performance improvement or substitution</w:t>
            </w:r>
          </w:p>
        </w:tc>
        <w:tc>
          <w:tcPr>
            <w:tcW w:type="dxa" w:w="1584"/>
            <w:shd w:val="clear" w:color="auto" w:fill="F2F2F2"/>
            <w:vAlign w:val="center"/>
          </w:tcPr>
          <w:p>
            <w:pPr>
              <w:jc w:val="center"/>
            </w:pPr>
            <w:r>
              <w:rPr>
                <w:b w:val="0"/>
                <w:i w:val="0"/>
                <w:sz w:val="18"/>
              </w:rPr>
              <w:t>No</w:t>
            </w:r>
          </w:p>
        </w:tc>
        <w:tc>
          <w:tcPr>
            <w:tcW w:type="dxa" w:w="2304"/>
            <w:shd w:val="clear" w:color="auto" w:fill="F2F2F2"/>
            <w:vAlign w:val="center"/>
          </w:tcPr>
          <w:p>
            <w:r>
              <w:rPr>
                <w:b w:val="0"/>
                <w:i w:val="0"/>
                <w:sz w:val="18"/>
              </w:rPr>
              <w:t>Per Schedule S13 thresholds and cure</w:t>
            </w:r>
          </w:p>
        </w:tc>
      </w:tr>
      <w:tr>
        <w:tc>
          <w:tcPr>
            <w:tcW w:type="dxa" w:w="2736"/>
            <w:vAlign w:val="center"/>
          </w:tcPr>
          <w:p>
            <w:r>
              <w:rPr>
                <w:b w:val="0"/>
                <w:i w:val="0"/>
                <w:sz w:val="18"/>
              </w:rPr>
              <w:t>Grant-compliance failure threatening Award</w:t>
            </w:r>
          </w:p>
        </w:tc>
        <w:tc>
          <w:tcPr>
            <w:tcW w:type="dxa" w:w="3456"/>
            <w:vAlign w:val="center"/>
          </w:tcPr>
          <w:p>
            <w:r>
              <w:rPr>
                <w:b w:val="0"/>
                <w:i w:val="0"/>
                <w:sz w:val="18"/>
              </w:rPr>
              <w:t>Protective Step-In limited to restoring compliance and Award standing</w:t>
            </w:r>
          </w:p>
        </w:tc>
        <w:tc>
          <w:tcPr>
            <w:tcW w:type="dxa" w:w="1584"/>
            <w:vAlign w:val="center"/>
          </w:tcPr>
          <w:p>
            <w:pPr>
              <w:jc w:val="center"/>
            </w:pPr>
            <w:r>
              <w:rPr>
                <w:b w:val="0"/>
                <w:i w:val="0"/>
                <w:sz w:val="18"/>
              </w:rPr>
              <w:t>Yes, if Award imminently threatened</w:t>
            </w:r>
          </w:p>
        </w:tc>
        <w:tc>
          <w:tcPr>
            <w:tcW w:type="dxa" w:w="2304"/>
            <w:vAlign w:val="center"/>
          </w:tcPr>
          <w:p>
            <w:r>
              <w:rPr>
                <w:b w:val="0"/>
                <w:i w:val="0"/>
                <w:sz w:val="18"/>
              </w:rPr>
              <w:t>Immediate or per cure period as applicable</w:t>
            </w:r>
          </w:p>
        </w:tc>
      </w:tr>
    </w:tbl>
    <w:p>
      <w:pPr>
        <w:ind w:left="504"/>
      </w:pPr>
      <w:r>
        <w:rPr>
          <w:b/>
          <w:color w:val="0000C0"/>
        </w:rPr>
        <w:t xml:space="preserve">[ATTORNEY REVIEW REQUIRED]  </w:t>
      </w:r>
      <w:r>
        <w:rPr>
          <w:i/>
          <w:color w:val="595959"/>
        </w:rPr>
        <w:t>Step-In triggers, thresholds, and any lender/IRU-holder cure and notice rights must be reconciled with financing documents and with the controlling Award; emergency Step-In must not exceed what is lawful and proportional.</w:t>
      </w:r>
    </w:p>
    <w:p>
      <w:pPr>
        <w:pStyle w:val="Heading1"/>
        <w:spacing w:before="240" w:after="120"/>
      </w:pPr>
      <w:r>
        <w:rPr>
          <w:rFonts w:ascii="Calibri" w:hAnsi="Calibri"/>
          <w:b/>
          <w:color w:val="1F3864"/>
          <w:sz w:val="26"/>
        </w:rPr>
        <w:t>ARTICLE 5.  CONTINUED SERVICE AND SUBSTITUTE-OPERATOR STANDARDS</w:t>
      </w:r>
    </w:p>
    <w:p>
      <w:pPr>
        <w:pStyle w:val="Heading2"/>
        <w:spacing w:before="160" w:after="60"/>
      </w:pPr>
      <w:r>
        <w:rPr>
          <w:rFonts w:ascii="Calibri" w:hAnsi="Calibri"/>
          <w:b/>
          <w:color w:val="000000"/>
          <w:sz w:val="22"/>
        </w:rPr>
        <w:t>5.1  Continued Service</w:t>
      </w:r>
    </w:p>
    <w:p>
      <w:r>
        <w:rPr>
          <w:b w:val="0"/>
          <w:i w:val="0"/>
        </w:rPr>
        <w:t>During any Step-In or transition, Essential Services shall continue without avoidable interruption to subscribers.</w:t>
      </w:r>
    </w:p>
    <w:p>
      <w:pPr>
        <w:pStyle w:val="Heading2"/>
        <w:spacing w:before="160" w:after="60"/>
      </w:pPr>
      <w:r>
        <w:rPr>
          <w:rFonts w:ascii="Calibri" w:hAnsi="Calibri"/>
          <w:b/>
          <w:color w:val="000000"/>
          <w:sz w:val="22"/>
        </w:rPr>
        <w:t>5.2  Substitute-Operator Standards</w:t>
      </w:r>
    </w:p>
    <w:p>
      <w:r>
        <w:rPr>
          <w:b w:val="0"/>
          <w:i w:val="0"/>
        </w:rPr>
        <w:t>Any Substitute Operator shall meet the operational, technical, financial, insurance, and compliance standards required of RIVR Tech under the Definitive Agreements and shall be acceptable under the Award. Selection of a Substitute Operator shall comply with applicable procurement standards (2 CFR 200.317–200.327 (Procurement standards)).</w:t>
      </w:r>
    </w:p>
    <w:p>
      <w:pPr>
        <w:pStyle w:val="Heading1"/>
        <w:spacing w:before="240" w:after="120"/>
      </w:pPr>
      <w:r>
        <w:rPr>
          <w:rFonts w:ascii="Calibri" w:hAnsi="Calibri"/>
          <w:b/>
          <w:color w:val="1F3864"/>
          <w:sz w:val="26"/>
        </w:rPr>
        <w:t>ARTICLE 6.  ACCESS TO FACILITIES AND SYSTEMS; EMERGENCY LICENSES</w:t>
      </w:r>
    </w:p>
    <w:p>
      <w:pPr>
        <w:pStyle w:val="Heading2"/>
        <w:spacing w:before="160" w:after="60"/>
      </w:pPr>
      <w:r>
        <w:rPr>
          <w:rFonts w:ascii="Calibri" w:hAnsi="Calibri"/>
          <w:b/>
          <w:color w:val="000000"/>
          <w:sz w:val="22"/>
        </w:rPr>
        <w:t>6.1  Access</w:t>
      </w:r>
    </w:p>
    <w:p>
      <w:r>
        <w:rPr>
          <w:b w:val="0"/>
          <w:i w:val="0"/>
        </w:rPr>
        <w:t>Upon a Step-In or transition event, RIVR Tech shall provide the Lumbee Tribe, its designee, or the Substitute Operator with access to the Grant-Funded Assets, associated facilities, systems, and records necessary for continuity, subject to security and confidentiality obligations.</w:t>
      </w:r>
    </w:p>
    <w:p>
      <w:pPr>
        <w:pStyle w:val="Heading2"/>
        <w:spacing w:before="160" w:after="60"/>
      </w:pPr>
      <w:r>
        <w:rPr>
          <w:rFonts w:ascii="Calibri" w:hAnsi="Calibri"/>
          <w:b/>
          <w:color w:val="000000"/>
          <w:sz w:val="22"/>
        </w:rPr>
        <w:t>6.2  Emergency Licenses</w:t>
      </w:r>
    </w:p>
    <w:p>
      <w:r>
        <w:rPr>
          <w:b w:val="0"/>
          <w:i w:val="0"/>
        </w:rPr>
        <w:t>RIVR Tech hereby grants, effective upon an emergency Step-In event and for the duration reasonably necessary for continuity, a non-exclusive, royalty-bearing (cost-based per Article 10) license to use software, configurations, and documentation solely as required to operate the Grant-Funded Assets and provide Essential Services, subject to third-party license terms and Article 9.</w:t>
      </w:r>
    </w:p>
    <w:p>
      <w:pPr>
        <w:pStyle w:val="Heading1"/>
        <w:spacing w:before="240" w:after="120"/>
      </w:pPr>
      <w:r>
        <w:rPr>
          <w:rFonts w:ascii="Calibri" w:hAnsi="Calibri"/>
          <w:b/>
          <w:color w:val="1F3864"/>
          <w:sz w:val="26"/>
        </w:rPr>
        <w:t>ARTICLE 7.  CUSTOMER COMMUNICATIONS AND NUMBER PORTABILITY</w:t>
      </w:r>
    </w:p>
    <w:p>
      <w:pPr>
        <w:pStyle w:val="Heading2"/>
        <w:spacing w:before="160" w:after="60"/>
      </w:pPr>
      <w:r>
        <w:rPr>
          <w:rFonts w:ascii="Calibri" w:hAnsi="Calibri"/>
          <w:b/>
          <w:color w:val="000000"/>
          <w:sz w:val="22"/>
        </w:rPr>
        <w:t>7.1  Customer Communications</w:t>
      </w:r>
    </w:p>
    <w:p>
      <w:r>
        <w:rPr>
          <w:b w:val="0"/>
          <w:i w:val="0"/>
        </w:rPr>
        <w:t>The Parties shall coordinate subscriber communications during Step-In or transition to minimize confusion and service disruption, consistent with the Retail Customer Service, Billing, Collections, and Subscriber Revenue Agreement.</w:t>
      </w:r>
    </w:p>
    <w:p>
      <w:pPr>
        <w:pStyle w:val="Heading2"/>
        <w:spacing w:before="160" w:after="60"/>
      </w:pPr>
      <w:r>
        <w:rPr>
          <w:rFonts w:ascii="Calibri" w:hAnsi="Calibri"/>
          <w:b/>
          <w:color w:val="000000"/>
          <w:sz w:val="22"/>
        </w:rPr>
        <w:t>7.2  Number Portability</w:t>
      </w:r>
    </w:p>
    <w:p>
      <w:r>
        <w:rPr>
          <w:b w:val="0"/>
          <w:i w:val="0"/>
        </w:rPr>
        <w:t>Where telephone numbers are provided, the Parties shall support number portability and porting of subscriber numbers to the extent applicable and legally permitted, subject to Article 14.</w:t>
      </w:r>
    </w:p>
    <w:p>
      <w:pPr>
        <w:pStyle w:val="Heading1"/>
        <w:spacing w:before="240" w:after="120"/>
      </w:pPr>
      <w:r>
        <w:rPr>
          <w:rFonts w:ascii="Calibri" w:hAnsi="Calibri"/>
          <w:b/>
          <w:color w:val="1F3864"/>
          <w:sz w:val="26"/>
        </w:rPr>
        <w:t>ARTICLE 8.  DATA, BILLING, CONFIGURATION, AND ASSET RECORDS</w:t>
      </w:r>
    </w:p>
    <w:p>
      <w:pPr>
        <w:pStyle w:val="Heading2"/>
        <w:spacing w:before="160" w:after="60"/>
      </w:pPr>
      <w:r>
        <w:rPr>
          <w:rFonts w:ascii="Calibri" w:hAnsi="Calibri"/>
          <w:b/>
          <w:color w:val="000000"/>
          <w:sz w:val="22"/>
        </w:rPr>
        <w:t>8.1  Data and Billing Exports</w:t>
      </w:r>
    </w:p>
    <w:p>
      <w:r>
        <w:rPr>
          <w:b w:val="0"/>
          <w:i w:val="0"/>
        </w:rPr>
        <w:t>RIVR Tech shall provide secure, complete, and usable exports of Project Data, billing data, and subscriber records necessary for continuity, in accordance with the Data Privacy, Cybersecurity, Supply-Chain Risk, and Business Continuity Addendum and subject to legal permissibility for Customer Personal Data (Article 14).</w:t>
      </w:r>
    </w:p>
    <w:p>
      <w:pPr>
        <w:pStyle w:val="Heading2"/>
        <w:spacing w:before="160" w:after="60"/>
      </w:pPr>
      <w:r>
        <w:rPr>
          <w:rFonts w:ascii="Calibri" w:hAnsi="Calibri"/>
          <w:b/>
          <w:color w:val="000000"/>
          <w:sz w:val="22"/>
        </w:rPr>
        <w:t>8.2  Configuration and Asset Records</w:t>
      </w:r>
    </w:p>
    <w:p>
      <w:r>
        <w:rPr>
          <w:b w:val="0"/>
          <w:i w:val="0"/>
        </w:rPr>
        <w:t>RIVR Tech shall provide current configuration records, network documentation, and asset records for the Grant-Funded Assets sufficient to operate and maintain them.</w:t>
      </w:r>
    </w:p>
    <w:p>
      <w:pPr>
        <w:pStyle w:val="Heading1"/>
        <w:spacing w:before="240" w:after="120"/>
      </w:pPr>
      <w:r>
        <w:rPr>
          <w:rFonts w:ascii="Calibri" w:hAnsi="Calibri"/>
          <w:b/>
          <w:color w:val="1F3864"/>
          <w:sz w:val="26"/>
        </w:rPr>
        <w:t>ARTICLE 9.  SPARES, OPEN ITEMS, RECEIVABLES, IP LICENSES, AND TRAINING</w:t>
      </w:r>
    </w:p>
    <w:p>
      <w:pPr>
        <w:pStyle w:val="Heading2"/>
        <w:spacing w:before="160" w:after="60"/>
      </w:pPr>
      <w:r>
        <w:rPr>
          <w:rFonts w:ascii="Calibri" w:hAnsi="Calibri"/>
          <w:b/>
          <w:color w:val="000000"/>
          <w:sz w:val="22"/>
        </w:rPr>
        <w:t>9.1  Spares</w:t>
      </w:r>
    </w:p>
    <w:p>
      <w:r>
        <w:rPr>
          <w:b w:val="0"/>
          <w:i w:val="0"/>
        </w:rPr>
        <w:t>Spares and consumables allocable to the Grant-Funded Assets shall be inventoried and made available for continuity, with cost reconciliation under Article 15.</w:t>
      </w:r>
    </w:p>
    <w:p>
      <w:pPr>
        <w:pStyle w:val="Heading2"/>
        <w:spacing w:before="160" w:after="60"/>
      </w:pPr>
      <w:r>
        <w:rPr>
          <w:rFonts w:ascii="Calibri" w:hAnsi="Calibri"/>
          <w:b/>
          <w:color w:val="000000"/>
          <w:sz w:val="22"/>
        </w:rPr>
        <w:t>9.2  Open Trouble Tickets</w:t>
      </w:r>
    </w:p>
    <w:p>
      <w:r>
        <w:rPr>
          <w:b w:val="0"/>
          <w:i w:val="0"/>
        </w:rPr>
        <w:t>Open trouble tickets and maintenance items shall be documented and handed over with status, so continuity is not disrupted.</w:t>
      </w:r>
    </w:p>
    <w:p>
      <w:pPr>
        <w:pStyle w:val="Heading2"/>
        <w:spacing w:before="160" w:after="60"/>
      </w:pPr>
      <w:r>
        <w:rPr>
          <w:rFonts w:ascii="Calibri" w:hAnsi="Calibri"/>
          <w:b/>
          <w:color w:val="000000"/>
          <w:sz w:val="22"/>
        </w:rPr>
        <w:t>9.3  Accounts Receivable and Deposits</w:t>
      </w:r>
    </w:p>
    <w:p>
      <w:r>
        <w:rPr>
          <w:b w:val="0"/>
          <w:i w:val="0"/>
        </w:rPr>
        <w:t>Accounts receivable, customer deposits, and prepayments shall be identified, reconciled, and allocated in the final reconciliation under Article 15, consistent with the Retail Customer Service, Billing, Collections, and Subscriber Revenue Agreement and program-income accounting.</w:t>
      </w:r>
    </w:p>
    <w:p>
      <w:pPr>
        <w:pStyle w:val="Heading2"/>
        <w:spacing w:before="160" w:after="60"/>
      </w:pPr>
      <w:r>
        <w:rPr>
          <w:rFonts w:ascii="Calibri" w:hAnsi="Calibri"/>
          <w:b/>
          <w:color w:val="000000"/>
          <w:sz w:val="22"/>
        </w:rPr>
        <w:t>9.4  IP Licenses</w:t>
      </w:r>
    </w:p>
    <w:p>
      <w:r>
        <w:rPr>
          <w:b w:val="0"/>
          <w:i w:val="0"/>
        </w:rPr>
        <w:t>To the extent necessary for continuity, RIVR Tech shall license or assist in obtaining licenses to intellectual property used to operate the Grant-Funded Assets, subject to third-party terms; RIVR Tech's proprietary and pre-existing IP remains RIVR Tech's.</w:t>
      </w:r>
    </w:p>
    <w:p>
      <w:pPr>
        <w:pStyle w:val="Heading2"/>
        <w:spacing w:before="160" w:after="60"/>
      </w:pPr>
      <w:r>
        <w:rPr>
          <w:rFonts w:ascii="Calibri" w:hAnsi="Calibri"/>
          <w:b/>
          <w:color w:val="000000"/>
          <w:sz w:val="22"/>
        </w:rPr>
        <w:t>9.5  Training</w:t>
      </w:r>
    </w:p>
    <w:p>
      <w:r>
        <w:rPr>
          <w:b w:val="0"/>
          <w:i w:val="0"/>
        </w:rPr>
        <w:t>RIVR Tech shall provide reasonable training and knowledge transfer to the Lumbee Tribe, its designee, or the Substitute Operator during the Transition Period.</w:t>
      </w:r>
    </w:p>
    <w:p>
      <w:pPr>
        <w:pStyle w:val="Heading1"/>
        <w:spacing w:before="240" w:after="120"/>
      </w:pPr>
      <w:r>
        <w:rPr>
          <w:rFonts w:ascii="Calibri" w:hAnsi="Calibri"/>
          <w:b/>
          <w:color w:val="1F3864"/>
          <w:sz w:val="26"/>
        </w:rPr>
        <w:t>ARTICLE 10.  TRANSITION PRICING</w:t>
      </w:r>
    </w:p>
    <w:p>
      <w:pPr>
        <w:pStyle w:val="Heading2"/>
        <w:spacing w:before="160" w:after="60"/>
      </w:pPr>
      <w:r>
        <w:rPr>
          <w:rFonts w:ascii="Calibri" w:hAnsi="Calibri"/>
          <w:b/>
          <w:color w:val="000000"/>
          <w:sz w:val="22"/>
        </w:rPr>
        <w:t>10.1  Cost-Based and Capped</w:t>
      </w:r>
    </w:p>
    <w:p>
      <w:r>
        <w:rPr>
          <w:b w:val="0"/>
          <w:i w:val="0"/>
        </w:rPr>
        <w:t xml:space="preserve">Transition assistance and emergency-license fees shall be cost-based (documented, reasonable, allocable costs without profit mark-up) and capped at </w:t>
      </w:r>
      <w:r>
        <w:rPr>
          <w:b w:val="0"/>
          <w:i w:val="0"/>
          <w:color w:val="804000"/>
          <w:highlight w:val="yellow"/>
        </w:rPr>
        <w:t>[■ transition-pricing cap amount or methodology]</w:t>
      </w:r>
      <w:r>
        <w:rPr>
          <w:b w:val="0"/>
          <w:i w:val="0"/>
        </w:rPr>
        <w:t>. Charges shall be itemized and subject to the Lumbee Tribe's reasonable review and audit.</w:t>
      </w:r>
    </w:p>
    <w:p>
      <w:pPr>
        <w:ind w:left="504"/>
      </w:pPr>
      <w:r>
        <w:rPr>
          <w:b/>
          <w:color w:val="C00000"/>
        </w:rPr>
        <w:t xml:space="preserve">[BUSINESS DECISION REQUIRED]  </w:t>
      </w:r>
      <w:r>
        <w:rPr>
          <w:i/>
          <w:color w:val="595959"/>
        </w:rPr>
        <w:t>The transition-pricing cap amount or methodology is a business decision; set a not-to-exceed figure or a rate schedule so continuity is not held up by pricing disputes.</w:t>
      </w:r>
    </w:p>
    <w:p>
      <w:pPr>
        <w:pStyle w:val="Heading1"/>
        <w:spacing w:before="240" w:after="120"/>
      </w:pPr>
      <w:r>
        <w:rPr>
          <w:rFonts w:ascii="Calibri" w:hAnsi="Calibri"/>
          <w:b/>
          <w:color w:val="1F3864"/>
          <w:sz w:val="26"/>
        </w:rPr>
        <w:t>ARTICLE 11.  TRANSITION PERIOD</w:t>
      </w:r>
    </w:p>
    <w:p>
      <w:pPr>
        <w:pStyle w:val="Heading2"/>
        <w:spacing w:before="160" w:after="60"/>
      </w:pPr>
      <w:r>
        <w:rPr>
          <w:rFonts w:ascii="Calibri" w:hAnsi="Calibri"/>
          <w:b/>
          <w:color w:val="000000"/>
          <w:sz w:val="22"/>
        </w:rPr>
        <w:t>11.1  Duration</w:t>
      </w:r>
    </w:p>
    <w:p>
      <w:r>
        <w:rPr>
          <w:b w:val="0"/>
          <w:i w:val="0"/>
        </w:rPr>
        <w:t>The Transition Period is 12 months, extendable by written agreement (or as reasonably necessary and Award-permitted to complete an orderly transition and protect continuity).</w:t>
      </w:r>
    </w:p>
    <w:p>
      <w:pPr>
        <w:pStyle w:val="Heading2"/>
        <w:spacing w:before="160" w:after="60"/>
      </w:pPr>
      <w:r>
        <w:rPr>
          <w:rFonts w:ascii="Calibri" w:hAnsi="Calibri"/>
          <w:b/>
          <w:color w:val="000000"/>
          <w:sz w:val="22"/>
        </w:rPr>
        <w:t>11.2  Transition Checklist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1F3864"/>
            <w:vAlign w:val="center"/>
          </w:tcPr>
          <w:p>
            <w:pPr>
              <w:jc w:val="center"/>
            </w:pPr>
            <w:r>
              <w:rPr>
                <w:b/>
                <w:color w:val="FFFFFF"/>
                <w:sz w:val="18"/>
              </w:rPr>
              <w:t>#</w:t>
            </w:r>
          </w:p>
        </w:tc>
        <w:tc>
          <w:tcPr>
            <w:tcW w:type="dxa" w:w="3744"/>
            <w:shd w:val="clear" w:color="auto" w:fill="1F3864"/>
            <w:vAlign w:val="center"/>
          </w:tcPr>
          <w:p>
            <w:pPr>
              <w:jc w:val="center"/>
            </w:pPr>
            <w:r>
              <w:rPr>
                <w:b/>
                <w:color w:val="FFFFFF"/>
                <w:sz w:val="18"/>
              </w:rPr>
              <w:t>Transition Item</w:t>
            </w:r>
          </w:p>
        </w:tc>
        <w:tc>
          <w:tcPr>
            <w:tcW w:type="dxa" w:w="2448"/>
            <w:shd w:val="clear" w:color="auto" w:fill="1F3864"/>
            <w:vAlign w:val="center"/>
          </w:tcPr>
          <w:p>
            <w:pPr>
              <w:jc w:val="center"/>
            </w:pPr>
            <w:r>
              <w:rPr>
                <w:b/>
                <w:color w:val="FFFFFF"/>
                <w:sz w:val="18"/>
              </w:rPr>
              <w:t>Responsible</w:t>
            </w:r>
          </w:p>
        </w:tc>
        <w:tc>
          <w:tcPr>
            <w:tcW w:type="dxa" w:w="3312"/>
            <w:shd w:val="clear" w:color="auto" w:fill="1F3864"/>
            <w:vAlign w:val="center"/>
          </w:tcPr>
          <w:p>
            <w:pPr>
              <w:jc w:val="center"/>
            </w:pPr>
            <w:r>
              <w:rPr>
                <w:b/>
                <w:color w:val="FFFFFF"/>
                <w:sz w:val="18"/>
              </w:rPr>
              <w:t>Legal-Permissibility Gate</w:t>
            </w:r>
          </w:p>
        </w:tc>
      </w:tr>
      <w:tr>
        <w:tc>
          <w:tcPr>
            <w:tcW w:type="dxa" w:w="576"/>
            <w:vAlign w:val="center"/>
          </w:tcPr>
          <w:p>
            <w:pPr>
              <w:jc w:val="center"/>
            </w:pPr>
            <w:r>
              <w:rPr>
                <w:b w:val="0"/>
                <w:i w:val="0"/>
                <w:sz w:val="18"/>
              </w:rPr>
              <w:t>1</w:t>
            </w:r>
          </w:p>
        </w:tc>
        <w:tc>
          <w:tcPr>
            <w:tcW w:type="dxa" w:w="3744"/>
            <w:vAlign w:val="center"/>
          </w:tcPr>
          <w:p>
            <w:r>
              <w:rPr>
                <w:b w:val="0"/>
                <w:i w:val="0"/>
                <w:sz w:val="18"/>
              </w:rPr>
              <w:t>Continuity of Essential Services confirmed</w:t>
            </w:r>
          </w:p>
        </w:tc>
        <w:tc>
          <w:tcPr>
            <w:tcW w:type="dxa" w:w="2448"/>
            <w:vAlign w:val="center"/>
          </w:tcPr>
          <w:p>
            <w:r>
              <w:rPr>
                <w:b w:val="0"/>
                <w:i w:val="0"/>
                <w:sz w:val="18"/>
              </w:rPr>
              <w:t>RIVR Tech → Substitute Operator</w:t>
            </w:r>
          </w:p>
        </w:tc>
        <w:tc>
          <w:tcPr>
            <w:tcW w:type="dxa" w:w="3312"/>
            <w:vAlign w:val="center"/>
          </w:tcPr>
          <w:p>
            <w:r>
              <w:rPr>
                <w:b w:val="0"/>
                <w:i w:val="0"/>
                <w:sz w:val="18"/>
              </w:rPr>
              <w:t>—</w:t>
            </w:r>
          </w:p>
        </w:tc>
      </w:tr>
      <w:tr>
        <w:tc>
          <w:tcPr>
            <w:tcW w:type="dxa" w:w="576"/>
            <w:shd w:val="clear" w:color="auto" w:fill="F2F2F2"/>
            <w:vAlign w:val="center"/>
          </w:tcPr>
          <w:p>
            <w:pPr>
              <w:jc w:val="center"/>
            </w:pPr>
            <w:r>
              <w:rPr>
                <w:b w:val="0"/>
                <w:i w:val="0"/>
                <w:sz w:val="18"/>
              </w:rPr>
              <w:t>2</w:t>
            </w:r>
          </w:p>
        </w:tc>
        <w:tc>
          <w:tcPr>
            <w:tcW w:type="dxa" w:w="3744"/>
            <w:shd w:val="clear" w:color="auto" w:fill="F2F2F2"/>
            <w:vAlign w:val="center"/>
          </w:tcPr>
          <w:p>
            <w:r>
              <w:rPr>
                <w:b w:val="0"/>
                <w:i w:val="0"/>
                <w:sz w:val="18"/>
              </w:rPr>
              <w:t>Data and billing exports delivered (Article 8.1)</w:t>
            </w:r>
          </w:p>
        </w:tc>
        <w:tc>
          <w:tcPr>
            <w:tcW w:type="dxa" w:w="2448"/>
            <w:shd w:val="clear" w:color="auto" w:fill="F2F2F2"/>
            <w:vAlign w:val="center"/>
          </w:tcPr>
          <w:p>
            <w:r>
              <w:rPr>
                <w:b w:val="0"/>
                <w:i w:val="0"/>
                <w:sz w:val="18"/>
              </w:rPr>
              <w:t>RIVR Tech</w:t>
            </w:r>
          </w:p>
        </w:tc>
        <w:tc>
          <w:tcPr>
            <w:tcW w:type="dxa" w:w="3312"/>
            <w:shd w:val="clear" w:color="auto" w:fill="F2F2F2"/>
            <w:vAlign w:val="center"/>
          </w:tcPr>
          <w:p>
            <w:r>
              <w:rPr>
                <w:b w:val="0"/>
                <w:i w:val="0"/>
                <w:sz w:val="18"/>
              </w:rPr>
              <w:t>Customer Personal Data only if legally permitted (Art. 14)</w:t>
            </w:r>
          </w:p>
        </w:tc>
      </w:tr>
      <w:tr>
        <w:tc>
          <w:tcPr>
            <w:tcW w:type="dxa" w:w="576"/>
            <w:vAlign w:val="center"/>
          </w:tcPr>
          <w:p>
            <w:pPr>
              <w:jc w:val="center"/>
            </w:pPr>
            <w:r>
              <w:rPr>
                <w:b w:val="0"/>
                <w:i w:val="0"/>
                <w:sz w:val="18"/>
              </w:rPr>
              <w:t>3</w:t>
            </w:r>
          </w:p>
        </w:tc>
        <w:tc>
          <w:tcPr>
            <w:tcW w:type="dxa" w:w="3744"/>
            <w:vAlign w:val="center"/>
          </w:tcPr>
          <w:p>
            <w:r>
              <w:rPr>
                <w:b w:val="0"/>
                <w:i w:val="0"/>
                <w:sz w:val="18"/>
              </w:rPr>
              <w:t>Configuration and asset records delivered (Article 8.2)</w:t>
            </w:r>
          </w:p>
        </w:tc>
        <w:tc>
          <w:tcPr>
            <w:tcW w:type="dxa" w:w="2448"/>
            <w:vAlign w:val="center"/>
          </w:tcPr>
          <w:p>
            <w:r>
              <w:rPr>
                <w:b w:val="0"/>
                <w:i w:val="0"/>
                <w:sz w:val="18"/>
              </w:rPr>
              <w:t>RIVR Tech</w:t>
            </w:r>
          </w:p>
        </w:tc>
        <w:tc>
          <w:tcPr>
            <w:tcW w:type="dxa" w:w="3312"/>
            <w:vAlign w:val="center"/>
          </w:tcPr>
          <w:p>
            <w:r>
              <w:rPr>
                <w:b w:val="0"/>
                <w:i w:val="0"/>
                <w:sz w:val="18"/>
              </w:rPr>
              <w:t>—</w:t>
            </w:r>
          </w:p>
        </w:tc>
      </w:tr>
      <w:tr>
        <w:tc>
          <w:tcPr>
            <w:tcW w:type="dxa" w:w="576"/>
            <w:shd w:val="clear" w:color="auto" w:fill="F2F2F2"/>
            <w:vAlign w:val="center"/>
          </w:tcPr>
          <w:p>
            <w:pPr>
              <w:jc w:val="center"/>
            </w:pPr>
            <w:r>
              <w:rPr>
                <w:b w:val="0"/>
                <w:i w:val="0"/>
                <w:sz w:val="18"/>
              </w:rPr>
              <w:t>4</w:t>
            </w:r>
          </w:p>
        </w:tc>
        <w:tc>
          <w:tcPr>
            <w:tcW w:type="dxa" w:w="3744"/>
            <w:shd w:val="clear" w:color="auto" w:fill="F2F2F2"/>
            <w:vAlign w:val="center"/>
          </w:tcPr>
          <w:p>
            <w:r>
              <w:rPr>
                <w:b w:val="0"/>
                <w:i w:val="0"/>
                <w:sz w:val="18"/>
              </w:rPr>
              <w:t>Customer contracts transfer</w:t>
            </w:r>
          </w:p>
        </w:tc>
        <w:tc>
          <w:tcPr>
            <w:tcW w:type="dxa" w:w="2448"/>
            <w:shd w:val="clear" w:color="auto" w:fill="F2F2F2"/>
            <w:vAlign w:val="center"/>
          </w:tcPr>
          <w:p>
            <w:r>
              <w:rPr>
                <w:b w:val="0"/>
                <w:i w:val="0"/>
                <w:sz w:val="18"/>
              </w:rPr>
              <w:t>Parties</w:t>
            </w:r>
          </w:p>
        </w:tc>
        <w:tc>
          <w:tcPr>
            <w:tcW w:type="dxa" w:w="3312"/>
            <w:shd w:val="clear" w:color="auto" w:fill="F2F2F2"/>
            <w:vAlign w:val="center"/>
          </w:tcPr>
          <w:p>
            <w:r>
              <w:rPr>
                <w:b w:val="0"/>
                <w:i w:val="0"/>
                <w:sz w:val="18"/>
              </w:rPr>
              <w:t>Only when legally permitted (Art. 14)</w:t>
            </w:r>
          </w:p>
        </w:tc>
      </w:tr>
      <w:tr>
        <w:tc>
          <w:tcPr>
            <w:tcW w:type="dxa" w:w="576"/>
            <w:vAlign w:val="center"/>
          </w:tcPr>
          <w:p>
            <w:pPr>
              <w:jc w:val="center"/>
            </w:pPr>
            <w:r>
              <w:rPr>
                <w:b w:val="0"/>
                <w:i w:val="0"/>
                <w:sz w:val="18"/>
              </w:rPr>
              <w:t>5</w:t>
            </w:r>
          </w:p>
        </w:tc>
        <w:tc>
          <w:tcPr>
            <w:tcW w:type="dxa" w:w="3744"/>
            <w:vAlign w:val="center"/>
          </w:tcPr>
          <w:p>
            <w:r>
              <w:rPr>
                <w:b w:val="0"/>
                <w:i w:val="0"/>
                <w:sz w:val="18"/>
              </w:rPr>
              <w:t>Telephone numbers ported</w:t>
            </w:r>
          </w:p>
        </w:tc>
        <w:tc>
          <w:tcPr>
            <w:tcW w:type="dxa" w:w="2448"/>
            <w:vAlign w:val="center"/>
          </w:tcPr>
          <w:p>
            <w:r>
              <w:rPr>
                <w:b w:val="0"/>
                <w:i w:val="0"/>
                <w:sz w:val="18"/>
              </w:rPr>
              <w:t>Parties</w:t>
            </w:r>
          </w:p>
        </w:tc>
        <w:tc>
          <w:tcPr>
            <w:tcW w:type="dxa" w:w="3312"/>
            <w:vAlign w:val="center"/>
          </w:tcPr>
          <w:p>
            <w:r>
              <w:rPr>
                <w:b w:val="0"/>
                <w:i w:val="0"/>
                <w:sz w:val="18"/>
              </w:rPr>
              <w:t>Only when applicable and legally permitted (Art. 14)</w:t>
            </w:r>
          </w:p>
        </w:tc>
      </w:tr>
      <w:tr>
        <w:tc>
          <w:tcPr>
            <w:tcW w:type="dxa" w:w="576"/>
            <w:shd w:val="clear" w:color="auto" w:fill="F2F2F2"/>
            <w:vAlign w:val="center"/>
          </w:tcPr>
          <w:p>
            <w:pPr>
              <w:jc w:val="center"/>
            </w:pPr>
            <w:r>
              <w:rPr>
                <w:b w:val="0"/>
                <w:i w:val="0"/>
                <w:sz w:val="18"/>
              </w:rPr>
              <w:t>6</w:t>
            </w:r>
          </w:p>
        </w:tc>
        <w:tc>
          <w:tcPr>
            <w:tcW w:type="dxa" w:w="3744"/>
            <w:shd w:val="clear" w:color="auto" w:fill="F2F2F2"/>
            <w:vAlign w:val="center"/>
          </w:tcPr>
          <w:p>
            <w:r>
              <w:rPr>
                <w:b w:val="0"/>
                <w:i w:val="0"/>
                <w:sz w:val="18"/>
              </w:rPr>
              <w:t>Licenses / authorizations transferred or reissued</w:t>
            </w:r>
          </w:p>
        </w:tc>
        <w:tc>
          <w:tcPr>
            <w:tcW w:type="dxa" w:w="2448"/>
            <w:shd w:val="clear" w:color="auto" w:fill="F2F2F2"/>
            <w:vAlign w:val="center"/>
          </w:tcPr>
          <w:p>
            <w:r>
              <w:rPr>
                <w:b w:val="0"/>
                <w:i w:val="0"/>
                <w:sz w:val="18"/>
              </w:rPr>
              <w:t>Parties</w:t>
            </w:r>
          </w:p>
        </w:tc>
        <w:tc>
          <w:tcPr>
            <w:tcW w:type="dxa" w:w="3312"/>
            <w:shd w:val="clear" w:color="auto" w:fill="F2F2F2"/>
            <w:vAlign w:val="center"/>
          </w:tcPr>
          <w:p>
            <w:r>
              <w:rPr>
                <w:b w:val="0"/>
                <w:i w:val="0"/>
                <w:sz w:val="18"/>
              </w:rPr>
              <w:t>Only when legally permitted; regulator consent (Art. 14)</w:t>
            </w:r>
          </w:p>
        </w:tc>
      </w:tr>
      <w:tr>
        <w:tc>
          <w:tcPr>
            <w:tcW w:type="dxa" w:w="576"/>
            <w:vAlign w:val="center"/>
          </w:tcPr>
          <w:p>
            <w:pPr>
              <w:jc w:val="center"/>
            </w:pPr>
            <w:r>
              <w:rPr>
                <w:b w:val="0"/>
                <w:i w:val="0"/>
                <w:sz w:val="18"/>
              </w:rPr>
              <w:t>7</w:t>
            </w:r>
          </w:p>
        </w:tc>
        <w:tc>
          <w:tcPr>
            <w:tcW w:type="dxa" w:w="3744"/>
            <w:vAlign w:val="center"/>
          </w:tcPr>
          <w:p>
            <w:r>
              <w:rPr>
                <w:b w:val="0"/>
                <w:i w:val="0"/>
                <w:sz w:val="18"/>
              </w:rPr>
              <w:t>Customer personal information transfer</w:t>
            </w:r>
          </w:p>
        </w:tc>
        <w:tc>
          <w:tcPr>
            <w:tcW w:type="dxa" w:w="2448"/>
            <w:vAlign w:val="center"/>
          </w:tcPr>
          <w:p>
            <w:r>
              <w:rPr>
                <w:b w:val="0"/>
                <w:i w:val="0"/>
                <w:sz w:val="18"/>
              </w:rPr>
              <w:t>RIVR Tech</w:t>
            </w:r>
          </w:p>
        </w:tc>
        <w:tc>
          <w:tcPr>
            <w:tcW w:type="dxa" w:w="3312"/>
            <w:vAlign w:val="center"/>
          </w:tcPr>
          <w:p>
            <w:r>
              <w:rPr>
                <w:b w:val="0"/>
                <w:i w:val="0"/>
                <w:sz w:val="18"/>
              </w:rPr>
              <w:t>Only when legally permitted (Art. 14)</w:t>
            </w:r>
          </w:p>
        </w:tc>
      </w:tr>
      <w:tr>
        <w:tc>
          <w:tcPr>
            <w:tcW w:type="dxa" w:w="576"/>
            <w:shd w:val="clear" w:color="auto" w:fill="F2F2F2"/>
            <w:vAlign w:val="center"/>
          </w:tcPr>
          <w:p>
            <w:pPr>
              <w:jc w:val="center"/>
            </w:pPr>
            <w:r>
              <w:rPr>
                <w:b w:val="0"/>
                <w:i w:val="0"/>
                <w:sz w:val="18"/>
              </w:rPr>
              <w:t>8</w:t>
            </w:r>
          </w:p>
        </w:tc>
        <w:tc>
          <w:tcPr>
            <w:tcW w:type="dxa" w:w="3744"/>
            <w:shd w:val="clear" w:color="auto" w:fill="F2F2F2"/>
            <w:vAlign w:val="center"/>
          </w:tcPr>
          <w:p>
            <w:r>
              <w:rPr>
                <w:b w:val="0"/>
                <w:i w:val="0"/>
                <w:sz w:val="18"/>
              </w:rPr>
              <w:t>Spares, open tickets, AR, deposits reconciled (Article 9)</w:t>
            </w:r>
          </w:p>
        </w:tc>
        <w:tc>
          <w:tcPr>
            <w:tcW w:type="dxa" w:w="2448"/>
            <w:shd w:val="clear" w:color="auto" w:fill="F2F2F2"/>
            <w:vAlign w:val="center"/>
          </w:tcPr>
          <w:p>
            <w:r>
              <w:rPr>
                <w:b w:val="0"/>
                <w:i w:val="0"/>
                <w:sz w:val="18"/>
              </w:rPr>
              <w:t>Parties</w:t>
            </w:r>
          </w:p>
        </w:tc>
        <w:tc>
          <w:tcPr>
            <w:tcW w:type="dxa" w:w="3312"/>
            <w:shd w:val="clear" w:color="auto" w:fill="F2F2F2"/>
            <w:vAlign w:val="center"/>
          </w:tcPr>
          <w:p>
            <w:r>
              <w:rPr>
                <w:b w:val="0"/>
                <w:i w:val="0"/>
                <w:sz w:val="18"/>
              </w:rPr>
              <w:t>—</w:t>
            </w:r>
          </w:p>
        </w:tc>
      </w:tr>
      <w:tr>
        <w:tc>
          <w:tcPr>
            <w:tcW w:type="dxa" w:w="576"/>
            <w:vAlign w:val="center"/>
          </w:tcPr>
          <w:p>
            <w:pPr>
              <w:jc w:val="center"/>
            </w:pPr>
            <w:r>
              <w:rPr>
                <w:b w:val="0"/>
                <w:i w:val="0"/>
                <w:sz w:val="18"/>
              </w:rPr>
              <w:t>9</w:t>
            </w:r>
          </w:p>
        </w:tc>
        <w:tc>
          <w:tcPr>
            <w:tcW w:type="dxa" w:w="3744"/>
            <w:vAlign w:val="center"/>
          </w:tcPr>
          <w:p>
            <w:r>
              <w:rPr>
                <w:b w:val="0"/>
                <w:i w:val="0"/>
                <w:sz w:val="18"/>
              </w:rPr>
              <w:t>IP licenses / emergency licenses confirmed (Arts. 6, 9)</w:t>
            </w:r>
          </w:p>
        </w:tc>
        <w:tc>
          <w:tcPr>
            <w:tcW w:type="dxa" w:w="2448"/>
            <w:vAlign w:val="center"/>
          </w:tcPr>
          <w:p>
            <w:r>
              <w:rPr>
                <w:b w:val="0"/>
                <w:i w:val="0"/>
                <w:sz w:val="18"/>
              </w:rPr>
              <w:t>RIVR Tech</w:t>
            </w:r>
          </w:p>
        </w:tc>
        <w:tc>
          <w:tcPr>
            <w:tcW w:type="dxa" w:w="3312"/>
            <w:vAlign w:val="center"/>
          </w:tcPr>
          <w:p>
            <w:r>
              <w:rPr>
                <w:b w:val="0"/>
                <w:i w:val="0"/>
                <w:sz w:val="18"/>
              </w:rPr>
              <w:t>Subject to third-party terms</w:t>
            </w:r>
          </w:p>
        </w:tc>
      </w:tr>
      <w:tr>
        <w:tc>
          <w:tcPr>
            <w:tcW w:type="dxa" w:w="576"/>
            <w:shd w:val="clear" w:color="auto" w:fill="F2F2F2"/>
            <w:vAlign w:val="center"/>
          </w:tcPr>
          <w:p>
            <w:pPr>
              <w:jc w:val="center"/>
            </w:pPr>
            <w:r>
              <w:rPr>
                <w:b w:val="0"/>
                <w:i w:val="0"/>
                <w:sz w:val="18"/>
              </w:rPr>
              <w:t>10</w:t>
            </w:r>
          </w:p>
        </w:tc>
        <w:tc>
          <w:tcPr>
            <w:tcW w:type="dxa" w:w="3744"/>
            <w:shd w:val="clear" w:color="auto" w:fill="F2F2F2"/>
            <w:vAlign w:val="center"/>
          </w:tcPr>
          <w:p>
            <w:r>
              <w:rPr>
                <w:b w:val="0"/>
                <w:i w:val="0"/>
                <w:sz w:val="18"/>
              </w:rPr>
              <w:t>Training / knowledge transfer completed (Article 9.5)</w:t>
            </w:r>
          </w:p>
        </w:tc>
        <w:tc>
          <w:tcPr>
            <w:tcW w:type="dxa" w:w="2448"/>
            <w:shd w:val="clear" w:color="auto" w:fill="F2F2F2"/>
            <w:vAlign w:val="center"/>
          </w:tcPr>
          <w:p>
            <w:r>
              <w:rPr>
                <w:b w:val="0"/>
                <w:i w:val="0"/>
                <w:sz w:val="18"/>
              </w:rPr>
              <w:t>RIVR Tech</w:t>
            </w:r>
          </w:p>
        </w:tc>
        <w:tc>
          <w:tcPr>
            <w:tcW w:type="dxa" w:w="3312"/>
            <w:shd w:val="clear" w:color="auto" w:fill="F2F2F2"/>
            <w:vAlign w:val="center"/>
          </w:tcPr>
          <w:p>
            <w:r>
              <w:rPr>
                <w:b w:val="0"/>
                <w:i w:val="0"/>
                <w:sz w:val="18"/>
              </w:rPr>
              <w:t>—</w:t>
            </w:r>
          </w:p>
        </w:tc>
      </w:tr>
      <w:tr>
        <w:tc>
          <w:tcPr>
            <w:tcW w:type="dxa" w:w="576"/>
            <w:vAlign w:val="center"/>
          </w:tcPr>
          <w:p>
            <w:pPr>
              <w:jc w:val="center"/>
            </w:pPr>
            <w:r>
              <w:rPr>
                <w:b w:val="0"/>
                <w:i w:val="0"/>
                <w:sz w:val="18"/>
              </w:rPr>
              <w:t>11</w:t>
            </w:r>
          </w:p>
        </w:tc>
        <w:tc>
          <w:tcPr>
            <w:tcW w:type="dxa" w:w="3744"/>
            <w:vAlign w:val="center"/>
          </w:tcPr>
          <w:p>
            <w:r>
              <w:rPr>
                <w:b w:val="0"/>
                <w:i w:val="0"/>
                <w:sz w:val="18"/>
              </w:rPr>
              <w:t>Final reconciliation and true-up (Article 15)</w:t>
            </w:r>
          </w:p>
        </w:tc>
        <w:tc>
          <w:tcPr>
            <w:tcW w:type="dxa" w:w="2448"/>
            <w:vAlign w:val="center"/>
          </w:tcPr>
          <w:p>
            <w:r>
              <w:rPr>
                <w:b w:val="0"/>
                <w:i w:val="0"/>
                <w:sz w:val="18"/>
              </w:rPr>
              <w:t>Parties</w:t>
            </w:r>
          </w:p>
        </w:tc>
        <w:tc>
          <w:tcPr>
            <w:tcW w:type="dxa" w:w="3312"/>
            <w:vAlign w:val="center"/>
          </w:tcPr>
          <w:p>
            <w:r>
              <w:rPr>
                <w:b w:val="0"/>
                <w:i w:val="0"/>
                <w:sz w:val="18"/>
              </w:rPr>
              <w:t>Program-income accounting (200.307)</w:t>
            </w:r>
          </w:p>
        </w:tc>
      </w:tr>
      <w:tr>
        <w:tc>
          <w:tcPr>
            <w:tcW w:type="dxa" w:w="576"/>
            <w:shd w:val="clear" w:color="auto" w:fill="F2F2F2"/>
            <w:vAlign w:val="center"/>
          </w:tcPr>
          <w:p>
            <w:pPr>
              <w:jc w:val="center"/>
            </w:pPr>
            <w:r>
              <w:rPr>
                <w:b w:val="0"/>
                <w:i w:val="0"/>
                <w:sz w:val="18"/>
              </w:rPr>
              <w:t>12</w:t>
            </w:r>
          </w:p>
        </w:tc>
        <w:tc>
          <w:tcPr>
            <w:tcW w:type="dxa" w:w="3744"/>
            <w:shd w:val="clear" w:color="auto" w:fill="F2F2F2"/>
            <w:vAlign w:val="center"/>
          </w:tcPr>
          <w:p>
            <w:r>
              <w:rPr>
                <w:b w:val="0"/>
                <w:i w:val="0"/>
                <w:sz w:val="18"/>
              </w:rPr>
              <w:t>Asset return; confidentiality wind-down (Article 16)</w:t>
            </w:r>
          </w:p>
        </w:tc>
        <w:tc>
          <w:tcPr>
            <w:tcW w:type="dxa" w:w="2448"/>
            <w:shd w:val="clear" w:color="auto" w:fill="F2F2F2"/>
            <w:vAlign w:val="center"/>
          </w:tcPr>
          <w:p>
            <w:r>
              <w:rPr>
                <w:b w:val="0"/>
                <w:i w:val="0"/>
                <w:sz w:val="18"/>
              </w:rPr>
              <w:t>RIVR Tech</w:t>
            </w:r>
          </w:p>
        </w:tc>
        <w:tc>
          <w:tcPr>
            <w:tcW w:type="dxa" w:w="3312"/>
            <w:shd w:val="clear" w:color="auto" w:fill="F2F2F2"/>
            <w:vAlign w:val="center"/>
          </w:tcPr>
          <w:p>
            <w:r>
              <w:rPr>
                <w:b w:val="0"/>
                <w:i w:val="0"/>
                <w:sz w:val="18"/>
              </w:rPr>
              <w:t>—</w:t>
            </w:r>
          </w:p>
        </w:tc>
      </w:tr>
    </w:tbl>
    <w:p>
      <w:pPr>
        <w:pStyle w:val="Heading1"/>
        <w:spacing w:before="240" w:after="120"/>
      </w:pPr>
      <w:r>
        <w:rPr>
          <w:rFonts w:ascii="Calibri" w:hAnsi="Calibri"/>
          <w:b/>
          <w:color w:val="1F3864"/>
          <w:sz w:val="26"/>
        </w:rPr>
        <w:t>ARTICLE 12.  PROTECTION OF RIVR TECH-OWNED INFRASTRUCTURE</w:t>
      </w:r>
    </w:p>
    <w:p>
      <w:pPr>
        <w:pStyle w:val="Heading2"/>
        <w:spacing w:before="160" w:after="60"/>
      </w:pPr>
      <w:r>
        <w:rPr>
          <w:rFonts w:ascii="Calibri" w:hAnsi="Calibri"/>
          <w:b/>
          <w:color w:val="000000"/>
          <w:sz w:val="22"/>
        </w:rPr>
        <w:t>12.1  Retained Ownership</w:t>
      </w:r>
    </w:p>
    <w:p>
      <w:r>
        <w:rPr>
          <w:b w:val="0"/>
          <w:i w:val="0"/>
        </w:rPr>
        <w:t>RIVR Tech retains ownership of the RIVR Tech Existing Network and its pre-existing systems. Step-In and transition rights are limited to the Grant-Funded Assets and to the rights reasonably necessary for continuity, and do not transfer ownership of, or a permanent right in, the RIVR Tech Existing Network.</w:t>
      </w:r>
    </w:p>
    <w:p>
      <w:pPr>
        <w:pStyle w:val="Heading2"/>
        <w:spacing w:before="160" w:after="60"/>
      </w:pPr>
      <w:r>
        <w:rPr>
          <w:rFonts w:ascii="Calibri" w:hAnsi="Calibri"/>
          <w:b/>
          <w:color w:val="000000"/>
          <w:sz w:val="22"/>
        </w:rPr>
        <w:t>12.2  Continuity Rights Over Existing Network</w:t>
      </w:r>
    </w:p>
    <w:p>
      <w:r>
        <w:rPr>
          <w:b w:val="0"/>
          <w:i w:val="0"/>
        </w:rPr>
        <w:t>Where continuity of Essential Services depends on interconnection with, or transport over, the RIVR Tech Existing Network, RIVR Tech shall provide continued access on the terms of the Network Interconnection, Transport, Equipment, and Shared Facilities Agreement and any applicable IRU, at cost-based rates, for the duration necessary for continuity.</w:t>
      </w:r>
    </w:p>
    <w:p>
      <w:pPr>
        <w:pStyle w:val="Heading2"/>
        <w:spacing w:before="160" w:after="60"/>
      </w:pPr>
      <w:r>
        <w:rPr>
          <w:rFonts w:ascii="Calibri" w:hAnsi="Calibri"/>
          <w:b/>
          <w:color w:val="000000"/>
          <w:sz w:val="22"/>
        </w:rPr>
        <w:t>12.3  IRU Cure and Lender Rights</w:t>
      </w:r>
    </w:p>
    <w:p>
      <w:r>
        <w:rPr>
          <w:b w:val="0"/>
          <w:i w:val="0"/>
        </w:rPr>
        <w:t>Where an indefeasible right of use (IRU) over RIVR Tech or LREMC facilities is implicated, the holder and its lenders shall have reasonable cure and notice rights, and any lender rights shall be honored to the extent lawful and consistent with the Award and 2 CFR 200.311 (Real property — use, encumbrance, and disposition).</w:t>
      </w:r>
    </w:p>
    <w:p>
      <w:pPr>
        <w:ind w:left="504"/>
      </w:pPr>
      <w:r>
        <w:rPr>
          <w:b/>
          <w:color w:val="0000C0"/>
        </w:rPr>
        <w:t xml:space="preserve">[ATTORNEY REVIEW REQUIRED]  </w:t>
      </w:r>
      <w:r>
        <w:rPr>
          <w:i/>
          <w:color w:val="595959"/>
        </w:rPr>
        <w:t>Confirm that continuity access to the RIVR Tech Existing Network and any LREMC-owned facilities is supported by the interconnection/IRU instruments and owner consents; LREMC facilities require a separate owner-approved agreement or joinder.</w:t>
      </w:r>
    </w:p>
    <w:p>
      <w:pPr>
        <w:pStyle w:val="Heading1"/>
        <w:spacing w:before="240" w:after="120"/>
      </w:pPr>
      <w:r>
        <w:rPr>
          <w:rFonts w:ascii="Calibri" w:hAnsi="Calibri"/>
          <w:b/>
          <w:color w:val="1F3864"/>
          <w:sz w:val="26"/>
        </w:rPr>
        <w:t>ARTICLE 13.  PROTECTION OF TRIBAL AND GRANT-FUNDED ASSETS</w:t>
      </w:r>
    </w:p>
    <w:p>
      <w:pPr>
        <w:pStyle w:val="Heading2"/>
        <w:spacing w:before="160" w:after="60"/>
      </w:pPr>
      <w:r>
        <w:rPr>
          <w:rFonts w:ascii="Calibri" w:hAnsi="Calibri"/>
          <w:b/>
          <w:color w:val="000000"/>
          <w:sz w:val="22"/>
        </w:rPr>
        <w:t>13.1  Tribal Ownership</w:t>
      </w:r>
    </w:p>
    <w:p>
      <w:r>
        <w:rPr>
          <w:b w:val="0"/>
          <w:i w:val="0"/>
        </w:rPr>
        <w:t>The Grant-Funded Assets remain the property of the Lumbee Tribe. No Step-In, transition, or substitution transfers ownership of the Grant-Funded Assets to RIVR Tech or any Substitute Operator.</w:t>
      </w:r>
    </w:p>
    <w:p>
      <w:pPr>
        <w:pStyle w:val="Heading2"/>
        <w:spacing w:before="160" w:after="60"/>
      </w:pPr>
      <w:r>
        <w:rPr>
          <w:rFonts w:ascii="Calibri" w:hAnsi="Calibri"/>
          <w:b/>
          <w:color w:val="000000"/>
          <w:sz w:val="22"/>
        </w:rPr>
        <w:t>13.2  No Contrary Encumbrance</w:t>
      </w:r>
    </w:p>
    <w:p>
      <w:r>
        <w:rPr>
          <w:b w:val="0"/>
          <w:i w:val="0"/>
        </w:rPr>
        <w:t>No successor, Substitute Operator, or other person may encumber, pledge, or dispose of the Grant-Funded Assets contrary to 2 CFR 200.311 (Real property — use, encumbrance, and disposition) or the Federal Interest, and any purported encumbrance in violation of this Section is void.</w:t>
      </w:r>
    </w:p>
    <w:p>
      <w:pPr>
        <w:pStyle w:val="Heading2"/>
        <w:spacing w:before="160" w:after="60"/>
      </w:pPr>
      <w:r>
        <w:rPr>
          <w:rFonts w:ascii="Calibri" w:hAnsi="Calibri"/>
          <w:b/>
          <w:color w:val="000000"/>
          <w:sz w:val="22"/>
        </w:rPr>
        <w:t>13.3  No Attachment Against Protected Assets</w:t>
      </w:r>
    </w:p>
    <w:p>
      <w:r>
        <w:rPr>
          <w:b w:val="0"/>
          <w:i w:val="0"/>
        </w:rPr>
        <w:t>There shall be no attachment, lien, levy, or execution against trust, restricted, or Federal-Interest assets, and continuity rights shall not be construed to permit any such attachment. Real-property use, encumbrance, and disposition are governed by 2 CFR 200.311 (Real property — use, encumbrance, and disposition).</w:t>
      </w:r>
    </w:p>
    <w:p>
      <w:pPr>
        <w:ind w:left="504"/>
      </w:pPr>
      <w:r>
        <w:rPr>
          <w:b/>
          <w:color w:val="7F007F"/>
        </w:rPr>
        <w:t xml:space="preserve">[GRANT COMPLIANCE REVIEW REQUIRED]  </w:t>
      </w:r>
      <w:r>
        <w:rPr>
          <w:i/>
          <w:color w:val="595959"/>
        </w:rPr>
        <w:t>Encumbrance and disposition limits must be confirmed against the controlling Award, the Federal Interest period, and 2 CFR 200.311; where trust/restricted land is involved, 25 CFR Parts 162/169 and BIA approval may apply.</w:t>
      </w:r>
    </w:p>
    <w:p>
      <w:pPr>
        <w:pStyle w:val="Heading1"/>
        <w:spacing w:before="240" w:after="120"/>
      </w:pPr>
      <w:r>
        <w:rPr>
          <w:rFonts w:ascii="Calibri" w:hAnsi="Calibri"/>
          <w:b/>
          <w:color w:val="1F3864"/>
          <w:sz w:val="26"/>
        </w:rPr>
        <w:t>ARTICLE 14.  TRANSFER OF CUSTOMER CONTRACTS, NUMBERS, LICENSES, AND PERSONAL INFORMATION</w:t>
      </w:r>
    </w:p>
    <w:p>
      <w:pPr>
        <w:pStyle w:val="Heading2"/>
        <w:spacing w:before="160" w:after="60"/>
      </w:pPr>
      <w:r>
        <w:rPr>
          <w:rFonts w:ascii="Calibri" w:hAnsi="Calibri"/>
          <w:b/>
          <w:color w:val="000000"/>
          <w:sz w:val="22"/>
        </w:rPr>
        <w:t>14.1  Permissibility Gate</w:t>
      </w:r>
    </w:p>
    <w:p>
      <w:r>
        <w:rPr>
          <w:b w:val="0"/>
          <w:i w:val="0"/>
        </w:rPr>
        <w:t>Customer contracts, telephone numbers, licenses and authorizations, and customer personal information shall be transferred ONLY when, and to the extent, legally permitted, and subject to any required subscriber, regulatory, or third-party consent. Where a transfer is not legally permitted, the Parties shall implement the least-disruptive lawful alternative to preserve continuity.</w:t>
      </w:r>
    </w:p>
    <w:p>
      <w:pPr>
        <w:pStyle w:val="Heading2"/>
        <w:spacing w:before="160" w:after="60"/>
      </w:pPr>
      <w:r>
        <w:rPr>
          <w:rFonts w:ascii="Calibri" w:hAnsi="Calibri"/>
          <w:b/>
          <w:color w:val="000000"/>
          <w:sz w:val="22"/>
        </w:rPr>
        <w:t>14.2  Privacy Compliance</w:t>
      </w:r>
    </w:p>
    <w:p>
      <w:r>
        <w:rPr>
          <w:b w:val="0"/>
          <w:i w:val="0"/>
        </w:rPr>
        <w:t>Transfers of customer personal information shall comply with the Data Privacy, Cybersecurity, Supply-Chain Risk, and Business Continuity Addendum, applicable privacy law, and CPNI requirements (47 U.S.C. § 222 and 47 CFR §§ 64.2001–64.2011 (Customer Proprietary Network Information)).</w:t>
      </w:r>
    </w:p>
    <w:p>
      <w:pPr>
        <w:pStyle w:val="Heading1"/>
        <w:spacing w:before="240" w:after="120"/>
      </w:pPr>
      <w:r>
        <w:rPr>
          <w:rFonts w:ascii="Calibri" w:hAnsi="Calibri"/>
          <w:b/>
          <w:color w:val="1F3864"/>
          <w:sz w:val="26"/>
        </w:rPr>
        <w:t>ARTICLE 15.  FINAL RECONCILIATION</w:t>
      </w:r>
    </w:p>
    <w:p>
      <w:pPr>
        <w:pStyle w:val="Heading2"/>
        <w:spacing w:before="160" w:after="60"/>
      </w:pPr>
      <w:r>
        <w:rPr>
          <w:rFonts w:ascii="Calibri" w:hAnsi="Calibri"/>
          <w:b/>
          <w:color w:val="000000"/>
          <w:sz w:val="22"/>
        </w:rPr>
        <w:t>15.1  True-Up and Reserves</w:t>
      </w:r>
    </w:p>
    <w:p>
      <w:r>
        <w:rPr>
          <w:b w:val="0"/>
          <w:i w:val="0"/>
        </w:rPr>
        <w:t>Upon transition, the Parties shall perform a final reconciliation and true-up of amounts owed, including per-Active-Subscriber payments ($[X] per Active Subscriber per month), receivables, deposits, prepayments, spares, and reserves.</w:t>
      </w:r>
    </w:p>
    <w:p>
      <w:pPr>
        <w:pStyle w:val="Heading2"/>
        <w:spacing w:before="160" w:after="60"/>
      </w:pPr>
      <w:r>
        <w:rPr>
          <w:rFonts w:ascii="Calibri" w:hAnsi="Calibri"/>
          <w:b/>
          <w:color w:val="000000"/>
          <w:sz w:val="22"/>
        </w:rPr>
        <w:t>15.2  Program-Income Accounting</w:t>
      </w:r>
    </w:p>
    <w:p>
      <w:r>
        <w:rPr>
          <w:b w:val="0"/>
          <w:i w:val="0"/>
        </w:rPr>
        <w:t>Any program income shall be accounted for and treated in accordance with 2 CFR 200.307 (Program income); characterization is subject to the controlling Award and any written NTIA determination, not the label used by the Parties.</w:t>
      </w:r>
    </w:p>
    <w:p>
      <w:pPr>
        <w:pStyle w:val="Heading2"/>
        <w:spacing w:before="160" w:after="60"/>
      </w:pPr>
      <w:r>
        <w:rPr>
          <w:rFonts w:ascii="Calibri" w:hAnsi="Calibri"/>
          <w:b/>
          <w:color w:val="000000"/>
          <w:sz w:val="22"/>
        </w:rPr>
        <w:t>15.3  Records and Audit</w:t>
      </w:r>
    </w:p>
    <w:p>
      <w:r>
        <w:rPr>
          <w:b w:val="0"/>
          <w:i w:val="0"/>
        </w:rPr>
        <w:t>The Parties shall retain reconciliation records for not less than 3 years consistent with 2 CFR 200.334–200.337 (Record retention and access; three-year retention), subject to audit access.</w:t>
      </w:r>
    </w:p>
    <w:p>
      <w:pPr>
        <w:pStyle w:val="Heading1"/>
        <w:spacing w:before="240" w:after="120"/>
      </w:pPr>
      <w:r>
        <w:rPr>
          <w:rFonts w:ascii="Calibri" w:hAnsi="Calibri"/>
          <w:b/>
          <w:color w:val="1F3864"/>
          <w:sz w:val="26"/>
        </w:rPr>
        <w:t>ARTICLE 16.  CONFIDENTIALITY, SECURITY, ASSET RETURN, AND SURVIVAL</w:t>
      </w:r>
    </w:p>
    <w:p>
      <w:pPr>
        <w:pStyle w:val="Heading2"/>
        <w:spacing w:before="160" w:after="60"/>
      </w:pPr>
      <w:r>
        <w:rPr>
          <w:rFonts w:ascii="Calibri" w:hAnsi="Calibri"/>
          <w:b/>
          <w:color w:val="000000"/>
          <w:sz w:val="22"/>
        </w:rPr>
        <w:t>16.1  Confidentiality and Security</w:t>
      </w:r>
    </w:p>
    <w:p>
      <w:r>
        <w:rPr>
          <w:b w:val="0"/>
          <w:i w:val="0"/>
        </w:rPr>
        <w:t>During and after any Step-In or transition, the Parties shall maintain confidentiality and the security controls of the Data Privacy, Cybersecurity, Supply-Chain Risk, and Business Continuity Addendum and Schedule S11.</w:t>
      </w:r>
    </w:p>
    <w:p>
      <w:pPr>
        <w:pStyle w:val="Heading2"/>
        <w:spacing w:before="160" w:after="60"/>
      </w:pPr>
      <w:r>
        <w:rPr>
          <w:rFonts w:ascii="Calibri" w:hAnsi="Calibri"/>
          <w:b/>
          <w:color w:val="000000"/>
          <w:sz w:val="22"/>
        </w:rPr>
        <w:t>16.2  Asset Return</w:t>
      </w:r>
    </w:p>
    <w:p>
      <w:r>
        <w:rPr>
          <w:b w:val="0"/>
          <w:i w:val="0"/>
        </w:rPr>
        <w:t>Upon completion of transition, each Party shall return or securely dispose of the other Party's confidential information and shall return the Grant-Funded Assets and related records to the Lumbee Tribe or its designee.</w:t>
      </w:r>
    </w:p>
    <w:p>
      <w:pPr>
        <w:pStyle w:val="Heading2"/>
        <w:spacing w:before="160" w:after="60"/>
      </w:pPr>
      <w:r>
        <w:rPr>
          <w:rFonts w:ascii="Calibri" w:hAnsi="Calibri"/>
          <w:b/>
          <w:color w:val="000000"/>
          <w:sz w:val="22"/>
        </w:rPr>
        <w:t>16.3  Survival</w:t>
      </w:r>
    </w:p>
    <w:p>
      <w:r>
        <w:rPr>
          <w:b w:val="0"/>
          <w:i w:val="0"/>
        </w:rPr>
        <w:t>Provisions concerning ownership, confidentiality, data protection, indemnification, records retention, program income, asset protection, and dispute resolution survive termination or expiration.</w:t>
      </w:r>
    </w:p>
    <w:p>
      <w:pPr>
        <w:pStyle w:val="Heading1"/>
        <w:spacing w:before="240" w:after="120"/>
      </w:pPr>
      <w:r>
        <w:rPr>
          <w:rFonts w:ascii="Calibri" w:hAnsi="Calibri"/>
          <w:b/>
          <w:color w:val="1F3864"/>
          <w:sz w:val="26"/>
        </w:rPr>
        <w:t>ARTICLE 17.  ORDER OF PRECEDENCE, SHARED DEFINITIONS, AND INTERPRETATION</w:t>
      </w:r>
    </w:p>
    <w:p>
      <w:pPr>
        <w:pStyle w:val="Heading2"/>
        <w:spacing w:before="160" w:after="60"/>
      </w:pPr>
      <w:r>
        <w:rPr>
          <w:rFonts w:ascii="Calibri" w:hAnsi="Calibri"/>
          <w:b/>
          <w:color w:val="000000"/>
          <w:sz w:val="22"/>
        </w:rPr>
        <w:t>17.1  Order of Precedence</w:t>
      </w:r>
    </w:p>
    <w:p>
      <w:r>
        <w:rPr>
          <w:b w:val="0"/>
          <w:i w:val="0"/>
        </w:rPr>
        <w:t>In the event of any conflict, ambiguity, or inconsistency among the instruments governing this transaction, the following order of precedence applies, from highest to lowest:</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pStyle w:val="Heading2"/>
        <w:spacing w:before="160" w:after="60"/>
      </w:pPr>
      <w:r>
        <w:rPr>
          <w:rFonts w:ascii="Calibri" w:hAnsi="Calibri"/>
          <w:b/>
          <w:color w:val="000000"/>
          <w:sz w:val="22"/>
        </w:rPr>
        <w:t>17.2  Shared Definitions</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r>
        <w:rPr>
          <w:b w:val="0"/>
          <w:i w:val="0"/>
        </w:rPr>
        <w:t>This Agreement is the Continuity, Step-In, Termination Assistance, and Transition Agreement referenced in that definitions source, and capitalized terms defined in this Agreement have the meanings given here for purposes of this Agreement.</w:t>
      </w:r>
    </w:p>
    <w:p>
      <w:pPr>
        <w:pStyle w:val="Heading2"/>
        <w:spacing w:before="160" w:after="60"/>
      </w:pPr>
      <w:r>
        <w:rPr>
          <w:rFonts w:ascii="Calibri" w:hAnsi="Calibri"/>
          <w:b/>
          <w:color w:val="000000"/>
          <w:sz w:val="22"/>
        </w:rPr>
        <w:t>17.3  Interpretation</w:t>
      </w:r>
    </w:p>
    <w:p>
      <w:r>
        <w:rPr>
          <w:b w:val="0"/>
          <w:i w:val="0"/>
        </w:rPr>
        <w:t>Headings are for convenience only. References to statutes and regulations include successor provisions. “Including” means “including without limitation.” Cross-references to Schedules and other Definitive Agreements are to the instruments named in the Schedule and Agreement registers maintained in the Master Agreement.</w:t>
      </w:r>
    </w:p>
    <w:p>
      <w:pPr>
        <w:ind w:left="504"/>
      </w:pPr>
      <w:r>
        <w:rPr>
          <w:b/>
          <w:color w:val="0000C0"/>
        </w:rPr>
        <w:t xml:space="preserve">[ATTORNEY REVIEW REQUIRED]  </w:t>
      </w:r>
      <w:r>
        <w:rPr>
          <w:i/>
          <w:color w:val="595959"/>
        </w:rPr>
        <w:t>Sovereign immunity and governing-law provisions are stated as bracketed ALTERNATIVES in the Master Agreement and are incorporated by reference; a clear, express, and limited waiver of the Lumbee Tribe's sovereign immunity (if any) must be negotiated and confirmed by counsel and Tribal Council, and nothing in this Agreement waives sovereign immunity by implication.</w:t>
      </w:r>
    </w:p>
    <w:p/>
    <w:p>
      <w:pPr>
        <w:pStyle w:val="Heading1"/>
        <w:spacing w:before="240" w:after="120"/>
      </w:pPr>
      <w:r>
        <w:rPr>
          <w:rFonts w:ascii="Calibri" w:hAnsi="Calibri"/>
          <w:b/>
          <w:color w:val="1F3864"/>
          <w:sz w:val="26"/>
        </w:rPr>
        <w:t>ARTICLE —.  DISCLAIMER</w:t>
      </w:r>
    </w:p>
    <w:p>
      <w:r>
        <w:rPr>
          <w:b w:val="0"/>
          <w:i/>
        </w:rPr>
        <w:t>PRELIMINARY DRAFT – NO CONTROLLING TBCP AWARD OR SOURCE DOCUMENTS SUPPLIED – PROVISIONAL BASELINE: MARCH 2024 AMENDED ROUND 2 NOFO – SUBJECT TO LEGAL, GRANT AND FINANCIAL REVIEW This document is a working draft prepared for discussion and negotiation only. It is not executed, is not a complete or final agreement, and does not constitute legal, financial, tax, regulatory, or grant-compliance advice. All bracketed items, placeholders (highlighted), and flagged provisions must be completed and confirmed by the Parties and their advisors. All terms remain subject to legal, grant, and financial review and to the controlling federal Award once supplied.</w:t>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Execution is subject to Tribal Council authorization, RIVR Tech corporate authorization, any required lender / IRU-holder and LREMC owner consents, confirmation of the controlling Award, and completion of all bracketed and flagged items.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Continuity / Step-In / Transition Agreement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