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00 · START HERE — DOCUMENT 02</w:t>
      </w:r>
    </w:p>
    <w:p>
      <w:pPr>
        <w:jc w:val="center"/>
      </w:pPr>
      <w:r>
        <w:rPr>
          <w:b/>
          <w:color w:val="1F3864"/>
          <w:sz w:val="48"/>
        </w:rPr>
        <w:t>Agreement Register and Signing Sequence</w:t>
      </w:r>
    </w:p>
    <w:p>
      <w:pPr>
        <w:jc w:val="center"/>
      </w:pPr>
      <w:r>
        <w:rPr>
          <w:color w:val="595959"/>
          <w:sz w:val="28"/>
        </w:rPr>
        <w:t>Coordinated TBCP Fiber Agreement Package — Lumbee Tribe of North Carolina and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pStyle w:val="Heading1"/>
        <w:spacing w:before="240" w:after="120"/>
      </w:pPr>
      <w:r>
        <w:rPr>
          <w:rFonts w:ascii="Calibri" w:hAnsi="Calibri"/>
          <w:b/>
          <w:color w:val="1F3864"/>
          <w:sz w:val="26"/>
        </w:rPr>
        <w:t>ARTICLE 1.  PURPOSE</w:t>
      </w:r>
    </w:p>
    <w:p>
      <w:r>
        <w:rPr>
          <w:b w:val="0"/>
          <w:i w:val="0"/>
        </w:rPr>
        <w:t xml:space="preserve">This register lists each Definitive Agreement and Governance/Authorization document, its parties, purpose, place in the signing sequence, conditions precedent, and the Schedules it requires. Document names and Schedule numbers are used verbatim from the canonical register. </w:t>
      </w:r>
      <w:r>
        <w:rPr>
          <w:b/>
          <w:i w:val="0"/>
          <w:color w:val="0000C0"/>
        </w:rPr>
        <w:t>[ATTORNEY REVIEW REQUIRED]</w:t>
      </w:r>
      <w:r>
        <w:rPr>
          <w:b w:val="0"/>
          <w:i w:val="0"/>
        </w:rPr>
        <w:t xml:space="preserve"> </w:t>
      </w:r>
      <w:r>
        <w:rPr>
          <w:b/>
          <w:i w:val="0"/>
          <w:color w:val="7F007F"/>
        </w:rPr>
        <w:t>[GRANT COMPLIANCE REVIEW REQUIRED]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vAlign w:val="center"/>
          </w:tcPr>
          <w:p>
            <w:pPr>
              <w:jc w:val="center"/>
            </w:pPr>
            <w:r>
              <w:rPr>
                <w:b/>
                <w:color w:val="FFFFFF"/>
                <w:sz w:val="16"/>
              </w:rPr>
              <w:t>Document</w:t>
            </w:r>
          </w:p>
        </w:tc>
        <w:tc>
          <w:tcPr>
            <w:tcW w:type="dxa" w:w="1656"/>
            <w:shd w:val="clear" w:color="auto" w:fill="1F3864"/>
            <w:vAlign w:val="center"/>
          </w:tcPr>
          <w:p>
            <w:pPr>
              <w:jc w:val="center"/>
            </w:pPr>
            <w:r>
              <w:rPr>
                <w:b/>
                <w:color w:val="FFFFFF"/>
                <w:sz w:val="16"/>
              </w:rPr>
              <w:t>Parties</w:t>
            </w:r>
          </w:p>
        </w:tc>
        <w:tc>
          <w:tcPr>
            <w:tcW w:type="dxa" w:w="2232"/>
            <w:shd w:val="clear" w:color="auto" w:fill="1F3864"/>
            <w:vAlign w:val="center"/>
          </w:tcPr>
          <w:p>
            <w:pPr>
              <w:jc w:val="center"/>
            </w:pPr>
            <w:r>
              <w:rPr>
                <w:b/>
                <w:color w:val="FFFFFF"/>
                <w:sz w:val="16"/>
              </w:rPr>
              <w:t>Purpose</w:t>
            </w:r>
          </w:p>
        </w:tc>
        <w:tc>
          <w:tcPr>
            <w:tcW w:type="dxa" w:w="648"/>
            <w:shd w:val="clear" w:color="auto" w:fill="1F3864"/>
            <w:vAlign w:val="center"/>
          </w:tcPr>
          <w:p>
            <w:pPr>
              <w:jc w:val="center"/>
            </w:pPr>
            <w:r>
              <w:rPr>
                <w:b/>
                <w:color w:val="FFFFFF"/>
                <w:sz w:val="16"/>
              </w:rPr>
              <w:t>Seq #</w:t>
            </w:r>
          </w:p>
        </w:tc>
        <w:tc>
          <w:tcPr>
            <w:tcW w:type="dxa" w:w="1944"/>
            <w:shd w:val="clear" w:color="auto" w:fill="1F3864"/>
            <w:vAlign w:val="center"/>
          </w:tcPr>
          <w:p>
            <w:pPr>
              <w:jc w:val="center"/>
            </w:pPr>
            <w:r>
              <w:rPr>
                <w:b/>
                <w:color w:val="FFFFFF"/>
                <w:sz w:val="16"/>
              </w:rPr>
              <w:t>Conditions Precedent</w:t>
            </w:r>
          </w:p>
        </w:tc>
        <w:tc>
          <w:tcPr>
            <w:tcW w:type="dxa" w:w="1296"/>
            <w:shd w:val="clear" w:color="auto" w:fill="1F3864"/>
            <w:vAlign w:val="center"/>
          </w:tcPr>
          <w:p>
            <w:pPr>
              <w:jc w:val="center"/>
            </w:pPr>
            <w:r>
              <w:rPr>
                <w:b/>
                <w:color w:val="FFFFFF"/>
                <w:sz w:val="16"/>
              </w:rPr>
              <w:t>Required Schedules</w:t>
            </w:r>
          </w:p>
        </w:tc>
      </w:tr>
      <w:tr>
        <w:tc>
          <w:tcPr>
            <w:tcW w:type="dxa" w:w="2736"/>
            <w:vAlign w:val="center"/>
          </w:tcPr>
          <w:p>
            <w:r>
              <w:rPr>
                <w:b w:val="0"/>
                <w:i w:val="0"/>
                <w:sz w:val="16"/>
              </w:rPr>
              <w:t>Master TBCP Partnership and Implementation Agreement</w:t>
            </w:r>
          </w:p>
        </w:tc>
        <w:tc>
          <w:tcPr>
            <w:tcW w:type="dxa" w:w="1656"/>
            <w:vAlign w:val="center"/>
          </w:tcPr>
          <w:p>
            <w:r>
              <w:rPr>
                <w:b w:val="0"/>
                <w:i w:val="0"/>
                <w:sz w:val="16"/>
              </w:rPr>
              <w:t>Lumbee Tribe; RIVR Tech</w:t>
            </w:r>
          </w:p>
        </w:tc>
        <w:tc>
          <w:tcPr>
            <w:tcW w:type="dxa" w:w="2232"/>
            <w:vAlign w:val="center"/>
          </w:tcPr>
          <w:p>
            <w:r>
              <w:rPr>
                <w:b w:val="0"/>
                <w:i w:val="0"/>
                <w:sz w:val="16"/>
              </w:rPr>
              <w:t>Umbrella framework, shared definitions, precedence, governance</w:t>
            </w:r>
          </w:p>
        </w:tc>
        <w:tc>
          <w:tcPr>
            <w:tcW w:type="dxa" w:w="648"/>
            <w:vAlign w:val="center"/>
          </w:tcPr>
          <w:p>
            <w:r>
              <w:rPr>
                <w:b w:val="0"/>
                <w:i w:val="0"/>
                <w:sz w:val="16"/>
              </w:rPr>
              <w:t>3</w:t>
            </w:r>
          </w:p>
        </w:tc>
        <w:tc>
          <w:tcPr>
            <w:tcW w:type="dxa" w:w="1944"/>
            <w:vAlign w:val="center"/>
          </w:tcPr>
          <w:p>
            <w:r>
              <w:rPr>
                <w:b w:val="0"/>
                <w:i w:val="0"/>
                <w:sz w:val="16"/>
              </w:rPr>
              <w:t>Governance authorizations executed; award confirmed</w:t>
            </w:r>
          </w:p>
        </w:tc>
        <w:tc>
          <w:tcPr>
            <w:tcW w:type="dxa" w:w="1296"/>
            <w:vAlign w:val="center"/>
          </w:tcPr>
          <w:p>
            <w:r>
              <w:rPr>
                <w:b w:val="0"/>
                <w:i w:val="0"/>
                <w:sz w:val="16"/>
              </w:rPr>
              <w:t>S1, S2, S3, S14</w:t>
            </w:r>
          </w:p>
        </w:tc>
      </w:tr>
      <w:tr>
        <w:tc>
          <w:tcPr>
            <w:tcW w:type="dxa" w:w="2736"/>
            <w:shd w:val="clear" w:color="auto" w:fill="F2F2F2"/>
            <w:vAlign w:val="center"/>
          </w:tcPr>
          <w:p>
            <w:r>
              <w:rPr>
                <w:b w:val="0"/>
                <w:i w:val="0"/>
                <w:sz w:val="16"/>
              </w:rPr>
              <w:t>Design, Engineering, Procurement, and Construction Agreement</w:t>
            </w:r>
          </w:p>
        </w:tc>
        <w:tc>
          <w:tcPr>
            <w:tcW w:type="dxa" w:w="1656"/>
            <w:shd w:val="clear" w:color="auto" w:fill="F2F2F2"/>
            <w:vAlign w:val="center"/>
          </w:tcPr>
          <w:p>
            <w:r>
              <w:rPr>
                <w:b w:val="0"/>
                <w:i w:val="0"/>
                <w:sz w:val="16"/>
              </w:rPr>
              <w:t>Lumbee Tribe; RIVR Tech</w:t>
            </w:r>
          </w:p>
        </w:tc>
        <w:tc>
          <w:tcPr>
            <w:tcW w:type="dxa" w:w="2232"/>
            <w:shd w:val="clear" w:color="auto" w:fill="F2F2F2"/>
            <w:vAlign w:val="center"/>
          </w:tcPr>
          <w:p>
            <w:r>
              <w:rPr>
                <w:b w:val="0"/>
                <w:i w:val="0"/>
                <w:sz w:val="16"/>
              </w:rPr>
              <w:t>Design, engineering, procurement, construction of Grant-Funded Assets</w:t>
            </w:r>
          </w:p>
        </w:tc>
        <w:tc>
          <w:tcPr>
            <w:tcW w:type="dxa" w:w="648"/>
            <w:shd w:val="clear" w:color="auto" w:fill="F2F2F2"/>
            <w:vAlign w:val="center"/>
          </w:tcPr>
          <w:p>
            <w:r>
              <w:rPr>
                <w:b w:val="0"/>
                <w:i w:val="0"/>
                <w:sz w:val="16"/>
              </w:rPr>
              <w:t>4</w:t>
            </w:r>
          </w:p>
        </w:tc>
        <w:tc>
          <w:tcPr>
            <w:tcW w:type="dxa" w:w="1944"/>
            <w:shd w:val="clear" w:color="auto" w:fill="F2F2F2"/>
            <w:vAlign w:val="center"/>
          </w:tcPr>
          <w:p>
            <w:r>
              <w:rPr>
                <w:b w:val="0"/>
                <w:i w:val="0"/>
                <w:sz w:val="16"/>
              </w:rPr>
              <w:t>Master executed; environmental/NHPA clearances</w:t>
            </w:r>
          </w:p>
        </w:tc>
        <w:tc>
          <w:tcPr>
            <w:tcW w:type="dxa" w:w="1296"/>
            <w:shd w:val="clear" w:color="auto" w:fill="F2F2F2"/>
            <w:vAlign w:val="center"/>
          </w:tcPr>
          <w:p>
            <w:r>
              <w:rPr>
                <w:b w:val="0"/>
                <w:i w:val="0"/>
                <w:sz w:val="16"/>
              </w:rPr>
              <w:t>S2, S4, S5</w:t>
            </w:r>
          </w:p>
        </w:tc>
      </w:tr>
      <w:tr>
        <w:tc>
          <w:tcPr>
            <w:tcW w:type="dxa" w:w="2736"/>
            <w:vAlign w:val="center"/>
          </w:tcPr>
          <w:p>
            <w:r>
              <w:rPr>
                <w:b w:val="0"/>
                <w:i w:val="0"/>
                <w:sz w:val="16"/>
              </w:rPr>
              <w:t>Indefeasible Right of Use and Network Access Agreement</w:t>
            </w:r>
          </w:p>
        </w:tc>
        <w:tc>
          <w:tcPr>
            <w:tcW w:type="dxa" w:w="1656"/>
            <w:vAlign w:val="center"/>
          </w:tcPr>
          <w:p>
            <w:r>
              <w:rPr>
                <w:b w:val="0"/>
                <w:i w:val="0"/>
                <w:sz w:val="16"/>
              </w:rPr>
              <w:t>Lumbee Tribe; RIVR Tech</w:t>
            </w:r>
          </w:p>
        </w:tc>
        <w:tc>
          <w:tcPr>
            <w:tcW w:type="dxa" w:w="2232"/>
            <w:vAlign w:val="center"/>
          </w:tcPr>
          <w:p>
            <w:r>
              <w:rPr>
                <w:b w:val="0"/>
                <w:i w:val="0"/>
                <w:sz w:val="16"/>
              </w:rPr>
              <w:t>Grants RIVR Tech the IRU and network-access/retail rights</w:t>
            </w:r>
          </w:p>
        </w:tc>
        <w:tc>
          <w:tcPr>
            <w:tcW w:type="dxa" w:w="648"/>
            <w:vAlign w:val="center"/>
          </w:tcPr>
          <w:p>
            <w:r>
              <w:rPr>
                <w:b w:val="0"/>
                <w:i w:val="0"/>
                <w:sz w:val="16"/>
              </w:rPr>
              <w:t>5</w:t>
            </w:r>
          </w:p>
        </w:tc>
        <w:tc>
          <w:tcPr>
            <w:tcW w:type="dxa" w:w="1944"/>
            <w:vAlign w:val="center"/>
          </w:tcPr>
          <w:p>
            <w:r>
              <w:rPr>
                <w:b w:val="0"/>
                <w:i w:val="0"/>
                <w:sz w:val="16"/>
              </w:rPr>
              <w:t>Master executed; asset register (S3) settled</w:t>
            </w:r>
          </w:p>
        </w:tc>
        <w:tc>
          <w:tcPr>
            <w:tcW w:type="dxa" w:w="1296"/>
            <w:vAlign w:val="center"/>
          </w:tcPr>
          <w:p>
            <w:r>
              <w:rPr>
                <w:b w:val="0"/>
                <w:i w:val="0"/>
                <w:sz w:val="16"/>
              </w:rPr>
              <w:t>S3, S10</w:t>
            </w:r>
          </w:p>
        </w:tc>
      </w:tr>
      <w:tr>
        <w:tc>
          <w:tcPr>
            <w:tcW w:type="dxa" w:w="2736"/>
            <w:shd w:val="clear" w:color="auto" w:fill="F2F2F2"/>
            <w:vAlign w:val="center"/>
          </w:tcPr>
          <w:p>
            <w:r>
              <w:rPr>
                <w:b w:val="0"/>
                <w:i w:val="0"/>
                <w:sz w:val="16"/>
              </w:rPr>
              <w:t>Network Interconnection, Transport, Equipment, and Shared Facilities Agreement</w:t>
            </w:r>
          </w:p>
        </w:tc>
        <w:tc>
          <w:tcPr>
            <w:tcW w:type="dxa" w:w="1656"/>
            <w:shd w:val="clear" w:color="auto" w:fill="F2F2F2"/>
            <w:vAlign w:val="center"/>
          </w:tcPr>
          <w:p>
            <w:r>
              <w:rPr>
                <w:b w:val="0"/>
                <w:i w:val="0"/>
                <w:sz w:val="16"/>
              </w:rPr>
              <w:t>Lumbee Tribe; RIVR Tech</w:t>
            </w:r>
          </w:p>
        </w:tc>
        <w:tc>
          <w:tcPr>
            <w:tcW w:type="dxa" w:w="2232"/>
            <w:shd w:val="clear" w:color="auto" w:fill="F2F2F2"/>
            <w:vAlign w:val="center"/>
          </w:tcPr>
          <w:p>
            <w:r>
              <w:rPr>
                <w:b w:val="0"/>
                <w:i w:val="0"/>
                <w:sz w:val="16"/>
              </w:rPr>
              <w:t>Interconnection, transport, equipment, shared facilities</w:t>
            </w:r>
          </w:p>
        </w:tc>
        <w:tc>
          <w:tcPr>
            <w:tcW w:type="dxa" w:w="648"/>
            <w:shd w:val="clear" w:color="auto" w:fill="F2F2F2"/>
            <w:vAlign w:val="center"/>
          </w:tcPr>
          <w:p>
            <w:r>
              <w:rPr>
                <w:b w:val="0"/>
                <w:i w:val="0"/>
                <w:sz w:val="16"/>
              </w:rPr>
              <w:t>6</w:t>
            </w:r>
          </w:p>
        </w:tc>
        <w:tc>
          <w:tcPr>
            <w:tcW w:type="dxa" w:w="1944"/>
            <w:shd w:val="clear" w:color="auto" w:fill="F2F2F2"/>
            <w:vAlign w:val="center"/>
          </w:tcPr>
          <w:p>
            <w:r>
              <w:rPr>
                <w:b w:val="0"/>
                <w:i w:val="0"/>
                <w:sz w:val="16"/>
              </w:rPr>
              <w:t>IRU executed; demarcation (S4) fixed</w:t>
            </w:r>
          </w:p>
        </w:tc>
        <w:tc>
          <w:tcPr>
            <w:tcW w:type="dxa" w:w="1296"/>
            <w:shd w:val="clear" w:color="auto" w:fill="F2F2F2"/>
            <w:vAlign w:val="center"/>
          </w:tcPr>
          <w:p>
            <w:r>
              <w:rPr>
                <w:b w:val="0"/>
                <w:i w:val="0"/>
                <w:sz w:val="16"/>
              </w:rPr>
              <w:t>S4, S9, S10</w:t>
            </w:r>
          </w:p>
        </w:tc>
      </w:tr>
      <w:tr>
        <w:tc>
          <w:tcPr>
            <w:tcW w:type="dxa" w:w="2736"/>
            <w:vAlign w:val="center"/>
          </w:tcPr>
          <w:p>
            <w:r>
              <w:rPr>
                <w:b w:val="0"/>
                <w:i w:val="0"/>
                <w:sz w:val="16"/>
              </w:rPr>
              <w:t>Network Operations, Maintenance, and Lifecycle Agreement</w:t>
            </w:r>
          </w:p>
        </w:tc>
        <w:tc>
          <w:tcPr>
            <w:tcW w:type="dxa" w:w="1656"/>
            <w:vAlign w:val="center"/>
          </w:tcPr>
          <w:p>
            <w:r>
              <w:rPr>
                <w:b w:val="0"/>
                <w:i w:val="0"/>
                <w:sz w:val="16"/>
              </w:rPr>
              <w:t>Lumbee Tribe; RIVR Tech</w:t>
            </w:r>
          </w:p>
        </w:tc>
        <w:tc>
          <w:tcPr>
            <w:tcW w:type="dxa" w:w="2232"/>
            <w:vAlign w:val="center"/>
          </w:tcPr>
          <w:p>
            <w:r>
              <w:rPr>
                <w:b w:val="0"/>
                <w:i w:val="0"/>
                <w:sz w:val="16"/>
              </w:rPr>
              <w:t>Operations, maintenance, lifecycle, service levels</w:t>
            </w:r>
          </w:p>
        </w:tc>
        <w:tc>
          <w:tcPr>
            <w:tcW w:type="dxa" w:w="648"/>
            <w:vAlign w:val="center"/>
          </w:tcPr>
          <w:p>
            <w:r>
              <w:rPr>
                <w:b w:val="0"/>
                <w:i w:val="0"/>
                <w:sz w:val="16"/>
              </w:rPr>
              <w:t>7</w:t>
            </w:r>
          </w:p>
        </w:tc>
        <w:tc>
          <w:tcPr>
            <w:tcW w:type="dxa" w:w="1944"/>
            <w:vAlign w:val="center"/>
          </w:tcPr>
          <w:p>
            <w:r>
              <w:rPr>
                <w:b w:val="0"/>
                <w:i w:val="0"/>
                <w:sz w:val="16"/>
              </w:rPr>
              <w:t>IRU executed; SLA schedule (S6) agreed</w:t>
            </w:r>
          </w:p>
        </w:tc>
        <w:tc>
          <w:tcPr>
            <w:tcW w:type="dxa" w:w="1296"/>
            <w:vAlign w:val="center"/>
          </w:tcPr>
          <w:p>
            <w:r>
              <w:rPr>
                <w:b w:val="0"/>
                <w:i w:val="0"/>
                <w:sz w:val="16"/>
              </w:rPr>
              <w:t>S6, S12</w:t>
            </w:r>
          </w:p>
        </w:tc>
      </w:tr>
      <w:tr>
        <w:tc>
          <w:tcPr>
            <w:tcW w:type="dxa" w:w="2736"/>
            <w:shd w:val="clear" w:color="auto" w:fill="F2F2F2"/>
            <w:vAlign w:val="center"/>
          </w:tcPr>
          <w:p>
            <w:r>
              <w:rPr>
                <w:b w:val="0"/>
                <w:i w:val="0"/>
                <w:sz w:val="16"/>
              </w:rPr>
              <w:t>Retail Customer Service, Billing, Collections, and Subscriber Revenue Agreement</w:t>
            </w:r>
          </w:p>
        </w:tc>
        <w:tc>
          <w:tcPr>
            <w:tcW w:type="dxa" w:w="1656"/>
            <w:shd w:val="clear" w:color="auto" w:fill="F2F2F2"/>
            <w:vAlign w:val="center"/>
          </w:tcPr>
          <w:p>
            <w:r>
              <w:rPr>
                <w:b w:val="0"/>
                <w:i w:val="0"/>
                <w:sz w:val="16"/>
              </w:rPr>
              <w:t>Lumbee Tribe; RIVR Tech</w:t>
            </w:r>
          </w:p>
        </w:tc>
        <w:tc>
          <w:tcPr>
            <w:tcW w:type="dxa" w:w="2232"/>
            <w:shd w:val="clear" w:color="auto" w:fill="F2F2F2"/>
            <w:vAlign w:val="center"/>
          </w:tcPr>
          <w:p>
            <w:r>
              <w:rPr>
                <w:b w:val="0"/>
                <w:i w:val="0"/>
                <w:sz w:val="16"/>
              </w:rPr>
              <w:t>Retail service, billing, collections, subscriber revenue</w:t>
            </w:r>
          </w:p>
        </w:tc>
        <w:tc>
          <w:tcPr>
            <w:tcW w:type="dxa" w:w="648"/>
            <w:shd w:val="clear" w:color="auto" w:fill="F2F2F2"/>
            <w:vAlign w:val="center"/>
          </w:tcPr>
          <w:p>
            <w:r>
              <w:rPr>
                <w:b w:val="0"/>
                <w:i w:val="0"/>
                <w:sz w:val="16"/>
              </w:rPr>
              <w:t>8</w:t>
            </w:r>
          </w:p>
        </w:tc>
        <w:tc>
          <w:tcPr>
            <w:tcW w:type="dxa" w:w="1944"/>
            <w:shd w:val="clear" w:color="auto" w:fill="F2F2F2"/>
            <w:vAlign w:val="center"/>
          </w:tcPr>
          <w:p>
            <w:r>
              <w:rPr>
                <w:b w:val="0"/>
                <w:i w:val="0"/>
                <w:sz w:val="16"/>
              </w:rPr>
              <w:t>IRU executed; provider-of-record terms (S7) set</w:t>
            </w:r>
          </w:p>
        </w:tc>
        <w:tc>
          <w:tcPr>
            <w:tcW w:type="dxa" w:w="1296"/>
            <w:shd w:val="clear" w:color="auto" w:fill="F2F2F2"/>
            <w:vAlign w:val="center"/>
          </w:tcPr>
          <w:p>
            <w:r>
              <w:rPr>
                <w:b w:val="0"/>
                <w:i w:val="0"/>
                <w:sz w:val="16"/>
              </w:rPr>
              <w:t>S7, S8</w:t>
            </w:r>
          </w:p>
        </w:tc>
      </w:tr>
      <w:tr>
        <w:tc>
          <w:tcPr>
            <w:tcW w:type="dxa" w:w="2736"/>
            <w:vAlign w:val="center"/>
          </w:tcPr>
          <w:p>
            <w:r>
              <w:rPr>
                <w:b w:val="0"/>
                <w:i w:val="0"/>
                <w:sz w:val="16"/>
              </w:rPr>
              <w:t>Grant Finance, Reimbursement, Program Income, and Audit Agreement</w:t>
            </w:r>
          </w:p>
        </w:tc>
        <w:tc>
          <w:tcPr>
            <w:tcW w:type="dxa" w:w="1656"/>
            <w:vAlign w:val="center"/>
          </w:tcPr>
          <w:p>
            <w:r>
              <w:rPr>
                <w:b w:val="0"/>
                <w:i w:val="0"/>
                <w:sz w:val="16"/>
              </w:rPr>
              <w:t>Lumbee Tribe; RIVR Tech</w:t>
            </w:r>
          </w:p>
        </w:tc>
        <w:tc>
          <w:tcPr>
            <w:tcW w:type="dxa" w:w="2232"/>
            <w:vAlign w:val="center"/>
          </w:tcPr>
          <w:p>
            <w:r>
              <w:rPr>
                <w:b w:val="0"/>
                <w:i w:val="0"/>
                <w:sz w:val="16"/>
              </w:rPr>
              <w:t>Grant finance, reimbursement, program income, audit</w:t>
            </w:r>
          </w:p>
        </w:tc>
        <w:tc>
          <w:tcPr>
            <w:tcW w:type="dxa" w:w="648"/>
            <w:vAlign w:val="center"/>
          </w:tcPr>
          <w:p>
            <w:r>
              <w:rPr>
                <w:b w:val="0"/>
                <w:i w:val="0"/>
                <w:sz w:val="16"/>
              </w:rPr>
              <w:t>9</w:t>
            </w:r>
          </w:p>
        </w:tc>
        <w:tc>
          <w:tcPr>
            <w:tcW w:type="dxa" w:w="1944"/>
            <w:vAlign w:val="center"/>
          </w:tcPr>
          <w:p>
            <w:r>
              <w:rPr>
                <w:b w:val="0"/>
                <w:i w:val="0"/>
                <w:sz w:val="16"/>
              </w:rPr>
              <w:t>Master executed; contractor/subrecipient determination</w:t>
            </w:r>
          </w:p>
        </w:tc>
        <w:tc>
          <w:tcPr>
            <w:tcW w:type="dxa" w:w="1296"/>
            <w:vAlign w:val="center"/>
          </w:tcPr>
          <w:p>
            <w:r>
              <w:rPr>
                <w:b w:val="0"/>
                <w:i w:val="0"/>
                <w:sz w:val="16"/>
              </w:rPr>
              <w:t>S1, S8</w:t>
            </w:r>
          </w:p>
        </w:tc>
      </w:tr>
      <w:tr>
        <w:tc>
          <w:tcPr>
            <w:tcW w:type="dxa" w:w="2736"/>
            <w:shd w:val="clear" w:color="auto" w:fill="F2F2F2"/>
            <w:vAlign w:val="center"/>
          </w:tcPr>
          <w:p>
            <w:r>
              <w:rPr>
                <w:b w:val="0"/>
                <w:i w:val="0"/>
                <w:sz w:val="16"/>
              </w:rPr>
              <w:t>Land, Easement, Right-of-Way, Pole, Site, Power, and Facility Instruments</w:t>
            </w:r>
          </w:p>
        </w:tc>
        <w:tc>
          <w:tcPr>
            <w:tcW w:type="dxa" w:w="1656"/>
            <w:shd w:val="clear" w:color="auto" w:fill="F2F2F2"/>
            <w:vAlign w:val="center"/>
          </w:tcPr>
          <w:p>
            <w:r>
              <w:rPr>
                <w:b w:val="0"/>
                <w:i w:val="0"/>
                <w:sz w:val="16"/>
              </w:rPr>
              <w:t>Lumbee Tribe; RIVR Tech; LREMC (consent/joinder)</w:t>
            </w:r>
          </w:p>
        </w:tc>
        <w:tc>
          <w:tcPr>
            <w:tcW w:type="dxa" w:w="2232"/>
            <w:shd w:val="clear" w:color="auto" w:fill="F2F2F2"/>
            <w:vAlign w:val="center"/>
          </w:tcPr>
          <w:p>
            <w:r>
              <w:rPr>
                <w:b w:val="0"/>
                <w:i w:val="0"/>
                <w:sz w:val="16"/>
              </w:rPr>
              <w:t>Land, easement, ROW, pole, site, power, facility instruments</w:t>
            </w:r>
          </w:p>
        </w:tc>
        <w:tc>
          <w:tcPr>
            <w:tcW w:type="dxa" w:w="648"/>
            <w:shd w:val="clear" w:color="auto" w:fill="F2F2F2"/>
            <w:vAlign w:val="center"/>
          </w:tcPr>
          <w:p>
            <w:r>
              <w:rPr>
                <w:b w:val="0"/>
                <w:i w:val="0"/>
                <w:sz w:val="16"/>
              </w:rPr>
              <w:t>10</w:t>
            </w:r>
          </w:p>
        </w:tc>
        <w:tc>
          <w:tcPr>
            <w:tcW w:type="dxa" w:w="1944"/>
            <w:shd w:val="clear" w:color="auto" w:fill="F2F2F2"/>
            <w:vAlign w:val="center"/>
          </w:tcPr>
          <w:p>
            <w:r>
              <w:rPr>
                <w:b w:val="0"/>
                <w:i w:val="0"/>
                <w:sz w:val="16"/>
              </w:rPr>
              <w:t>LREMC consent; BIA/ROW approvals where applicable</w:t>
            </w:r>
          </w:p>
        </w:tc>
        <w:tc>
          <w:tcPr>
            <w:tcW w:type="dxa" w:w="1296"/>
            <w:shd w:val="clear" w:color="auto" w:fill="F2F2F2"/>
            <w:vAlign w:val="center"/>
          </w:tcPr>
          <w:p>
            <w:r>
              <w:rPr>
                <w:b w:val="0"/>
                <w:i w:val="0"/>
                <w:sz w:val="16"/>
              </w:rPr>
              <w:t>S9, S14</w:t>
            </w:r>
          </w:p>
        </w:tc>
      </w:tr>
      <w:tr>
        <w:tc>
          <w:tcPr>
            <w:tcW w:type="dxa" w:w="2736"/>
            <w:vAlign w:val="center"/>
          </w:tcPr>
          <w:p>
            <w:r>
              <w:rPr>
                <w:b w:val="0"/>
                <w:i w:val="0"/>
                <w:sz w:val="16"/>
              </w:rPr>
              <w:t>Data Privacy, Cybersecurity, Supply-Chain Risk, and Business Continuity Addendum</w:t>
            </w:r>
          </w:p>
        </w:tc>
        <w:tc>
          <w:tcPr>
            <w:tcW w:type="dxa" w:w="1656"/>
            <w:vAlign w:val="center"/>
          </w:tcPr>
          <w:p>
            <w:r>
              <w:rPr>
                <w:b w:val="0"/>
                <w:i w:val="0"/>
                <w:sz w:val="16"/>
              </w:rPr>
              <w:t>Lumbee Tribe; RIVR Tech</w:t>
            </w:r>
          </w:p>
        </w:tc>
        <w:tc>
          <w:tcPr>
            <w:tcW w:type="dxa" w:w="2232"/>
            <w:vAlign w:val="center"/>
          </w:tcPr>
          <w:p>
            <w:r>
              <w:rPr>
                <w:b w:val="0"/>
                <w:i w:val="0"/>
                <w:sz w:val="16"/>
              </w:rPr>
              <w:t>Data privacy, cybersecurity, supply-chain risk, continuity</w:t>
            </w:r>
          </w:p>
        </w:tc>
        <w:tc>
          <w:tcPr>
            <w:tcW w:type="dxa" w:w="648"/>
            <w:vAlign w:val="center"/>
          </w:tcPr>
          <w:p>
            <w:r>
              <w:rPr>
                <w:b w:val="0"/>
                <w:i w:val="0"/>
                <w:sz w:val="16"/>
              </w:rPr>
              <w:t>11</w:t>
            </w:r>
          </w:p>
        </w:tc>
        <w:tc>
          <w:tcPr>
            <w:tcW w:type="dxa" w:w="1944"/>
            <w:vAlign w:val="center"/>
          </w:tcPr>
          <w:p>
            <w:r>
              <w:rPr>
                <w:b w:val="0"/>
                <w:i w:val="0"/>
                <w:sz w:val="16"/>
              </w:rPr>
              <w:t>Retail and O&amp;M executed</w:t>
            </w:r>
          </w:p>
        </w:tc>
        <w:tc>
          <w:tcPr>
            <w:tcW w:type="dxa" w:w="1296"/>
            <w:vAlign w:val="center"/>
          </w:tcPr>
          <w:p>
            <w:r>
              <w:rPr>
                <w:b w:val="0"/>
                <w:i w:val="0"/>
                <w:sz w:val="16"/>
              </w:rPr>
              <w:t>S11</w:t>
            </w:r>
          </w:p>
        </w:tc>
      </w:tr>
      <w:tr>
        <w:tc>
          <w:tcPr>
            <w:tcW w:type="dxa" w:w="2736"/>
            <w:shd w:val="clear" w:color="auto" w:fill="F2F2F2"/>
            <w:vAlign w:val="center"/>
          </w:tcPr>
          <w:p>
            <w:r>
              <w:rPr>
                <w:b w:val="0"/>
                <w:i w:val="0"/>
                <w:sz w:val="16"/>
              </w:rPr>
              <w:t>Continuity, Step-In, Termination Assistance, and Transition Agreement</w:t>
            </w:r>
          </w:p>
        </w:tc>
        <w:tc>
          <w:tcPr>
            <w:tcW w:type="dxa" w:w="1656"/>
            <w:shd w:val="clear" w:color="auto" w:fill="F2F2F2"/>
            <w:vAlign w:val="center"/>
          </w:tcPr>
          <w:p>
            <w:r>
              <w:rPr>
                <w:b w:val="0"/>
                <w:i w:val="0"/>
                <w:sz w:val="16"/>
              </w:rPr>
              <w:t>Lumbee Tribe; RIVR Tech</w:t>
            </w:r>
          </w:p>
        </w:tc>
        <w:tc>
          <w:tcPr>
            <w:tcW w:type="dxa" w:w="2232"/>
            <w:shd w:val="clear" w:color="auto" w:fill="F2F2F2"/>
            <w:vAlign w:val="center"/>
          </w:tcPr>
          <w:p>
            <w:r>
              <w:rPr>
                <w:b w:val="0"/>
                <w:i w:val="0"/>
                <w:sz w:val="16"/>
              </w:rPr>
              <w:t>Continuity, step-in, termination assistance, transition</w:t>
            </w:r>
          </w:p>
        </w:tc>
        <w:tc>
          <w:tcPr>
            <w:tcW w:type="dxa" w:w="648"/>
            <w:shd w:val="clear" w:color="auto" w:fill="F2F2F2"/>
            <w:vAlign w:val="center"/>
          </w:tcPr>
          <w:p>
            <w:r>
              <w:rPr>
                <w:b w:val="0"/>
                <w:i w:val="0"/>
                <w:sz w:val="16"/>
              </w:rPr>
              <w:t>12</w:t>
            </w:r>
          </w:p>
        </w:tc>
        <w:tc>
          <w:tcPr>
            <w:tcW w:type="dxa" w:w="1944"/>
            <w:shd w:val="clear" w:color="auto" w:fill="F2F2F2"/>
            <w:vAlign w:val="center"/>
          </w:tcPr>
          <w:p>
            <w:r>
              <w:rPr>
                <w:b w:val="0"/>
                <w:i w:val="0"/>
                <w:sz w:val="16"/>
              </w:rPr>
              <w:t>Master and O&amp;M executed</w:t>
            </w:r>
          </w:p>
        </w:tc>
        <w:tc>
          <w:tcPr>
            <w:tcW w:type="dxa" w:w="1296"/>
            <w:shd w:val="clear" w:color="auto" w:fill="F2F2F2"/>
            <w:vAlign w:val="center"/>
          </w:tcPr>
          <w:p>
            <w:r>
              <w:rPr>
                <w:b w:val="0"/>
                <w:i w:val="0"/>
                <w:sz w:val="16"/>
              </w:rPr>
              <w:t>S13</w:t>
            </w:r>
          </w:p>
        </w:tc>
      </w:tr>
      <w:tr>
        <w:tc>
          <w:tcPr>
            <w:tcW w:type="dxa" w:w="2736"/>
            <w:vAlign w:val="center"/>
          </w:tcPr>
          <w:p>
            <w:r>
              <w:rPr>
                <w:b w:val="0"/>
                <w:i w:val="0"/>
                <w:sz w:val="16"/>
              </w:rPr>
              <w:t>Lumbee Tribal Council Resolution</w:t>
            </w:r>
          </w:p>
        </w:tc>
        <w:tc>
          <w:tcPr>
            <w:tcW w:type="dxa" w:w="1656"/>
            <w:vAlign w:val="center"/>
          </w:tcPr>
          <w:p>
            <w:r>
              <w:rPr>
                <w:b w:val="0"/>
                <w:i w:val="0"/>
                <w:sz w:val="16"/>
              </w:rPr>
              <w:t>Lumbee Tribe</w:t>
            </w:r>
          </w:p>
        </w:tc>
        <w:tc>
          <w:tcPr>
            <w:tcW w:type="dxa" w:w="2232"/>
            <w:vAlign w:val="center"/>
          </w:tcPr>
          <w:p>
            <w:r>
              <w:rPr>
                <w:b w:val="0"/>
                <w:i w:val="0"/>
                <w:sz w:val="16"/>
              </w:rPr>
              <w:t>Authorizes TBCP application/acceptance, asset ownership, execution of all Definitive Agreements, and signatories; sovereign-immunity waiver reserved</w:t>
            </w:r>
          </w:p>
        </w:tc>
        <w:tc>
          <w:tcPr>
            <w:tcW w:type="dxa" w:w="648"/>
            <w:vAlign w:val="center"/>
          </w:tcPr>
          <w:p>
            <w:r>
              <w:rPr>
                <w:b w:val="0"/>
                <w:i w:val="0"/>
                <w:sz w:val="16"/>
              </w:rPr>
              <w:t>1</w:t>
            </w:r>
          </w:p>
        </w:tc>
        <w:tc>
          <w:tcPr>
            <w:tcW w:type="dxa" w:w="1944"/>
            <w:vAlign w:val="center"/>
          </w:tcPr>
          <w:p>
            <w:r>
              <w:rPr>
                <w:b w:val="0"/>
                <w:i w:val="0"/>
                <w:sz w:val="16"/>
              </w:rPr>
              <w:t>Award/round confirmed; eligibility opinion</w:t>
            </w:r>
          </w:p>
        </w:tc>
        <w:tc>
          <w:tcPr>
            <w:tcW w:type="dxa" w:w="1296"/>
            <w:vAlign w:val="center"/>
          </w:tcPr>
          <w:p>
            <w:r>
              <w:rPr>
                <w:b w:val="0"/>
                <w:i w:val="0"/>
                <w:sz w:val="16"/>
              </w:rPr>
              <w:t>S1</w:t>
            </w:r>
          </w:p>
        </w:tc>
      </w:tr>
      <w:tr>
        <w:tc>
          <w:tcPr>
            <w:tcW w:type="dxa" w:w="2736"/>
            <w:shd w:val="clear" w:color="auto" w:fill="F2F2F2"/>
            <w:vAlign w:val="center"/>
          </w:tcPr>
          <w:p>
            <w:r>
              <w:rPr>
                <w:b w:val="0"/>
                <w:i w:val="0"/>
                <w:sz w:val="16"/>
              </w:rPr>
              <w:t>RIVR Tech Member/Manager Authorization</w:t>
            </w:r>
          </w:p>
        </w:tc>
        <w:tc>
          <w:tcPr>
            <w:tcW w:type="dxa" w:w="1656"/>
            <w:shd w:val="clear" w:color="auto" w:fill="F2F2F2"/>
            <w:vAlign w:val="center"/>
          </w:tcPr>
          <w:p>
            <w:r>
              <w:rPr>
                <w:b w:val="0"/>
                <w:i w:val="0"/>
                <w:sz w:val="16"/>
              </w:rPr>
              <w:t>RIVR Tech</w:t>
            </w:r>
          </w:p>
        </w:tc>
        <w:tc>
          <w:tcPr>
            <w:tcW w:type="dxa" w:w="2232"/>
            <w:shd w:val="clear" w:color="auto" w:fill="F2F2F2"/>
            <w:vAlign w:val="center"/>
          </w:tcPr>
          <w:p>
            <w:r>
              <w:rPr>
                <w:b w:val="0"/>
                <w:i w:val="0"/>
                <w:sz w:val="16"/>
              </w:rPr>
              <w:t>RIVR Tech member/manager authorization of the transaction and signatories</w:t>
            </w:r>
          </w:p>
        </w:tc>
        <w:tc>
          <w:tcPr>
            <w:tcW w:type="dxa" w:w="648"/>
            <w:shd w:val="clear" w:color="auto" w:fill="F2F2F2"/>
            <w:vAlign w:val="center"/>
          </w:tcPr>
          <w:p>
            <w:r>
              <w:rPr>
                <w:b w:val="0"/>
                <w:i w:val="0"/>
                <w:sz w:val="16"/>
              </w:rPr>
              <w:t>1</w:t>
            </w:r>
          </w:p>
        </w:tc>
        <w:tc>
          <w:tcPr>
            <w:tcW w:type="dxa" w:w="1944"/>
            <w:shd w:val="clear" w:color="auto" w:fill="F2F2F2"/>
            <w:vAlign w:val="center"/>
          </w:tcPr>
          <w:p>
            <w:r>
              <w:rPr>
                <w:b w:val="0"/>
                <w:i w:val="0"/>
                <w:sz w:val="16"/>
              </w:rPr>
              <w:t>Corporate records current</w:t>
            </w:r>
          </w:p>
        </w:tc>
        <w:tc>
          <w:tcPr>
            <w:tcW w:type="dxa" w:w="1296"/>
            <w:shd w:val="clear" w:color="auto" w:fill="F2F2F2"/>
            <w:vAlign w:val="center"/>
          </w:tcPr>
          <w:p>
            <w:r>
              <w:rPr>
                <w:b w:val="0"/>
                <w:i w:val="0"/>
                <w:sz w:val="16"/>
              </w:rPr>
              <w:t>S1</w:t>
            </w:r>
          </w:p>
        </w:tc>
      </w:tr>
      <w:tr>
        <w:tc>
          <w:tcPr>
            <w:tcW w:type="dxa" w:w="2736"/>
            <w:vAlign w:val="center"/>
          </w:tcPr>
          <w:p>
            <w:r>
              <w:rPr>
                <w:b w:val="0"/>
                <w:i w:val="0"/>
                <w:sz w:val="16"/>
              </w:rPr>
              <w:t>LREMC Consent and Joinder</w:t>
            </w:r>
          </w:p>
        </w:tc>
        <w:tc>
          <w:tcPr>
            <w:tcW w:type="dxa" w:w="1656"/>
            <w:vAlign w:val="center"/>
          </w:tcPr>
          <w:p>
            <w:r>
              <w:rPr>
                <w:b w:val="0"/>
                <w:i w:val="0"/>
                <w:sz w:val="16"/>
              </w:rPr>
              <w:t>LREMC</w:t>
            </w:r>
          </w:p>
        </w:tc>
        <w:tc>
          <w:tcPr>
            <w:tcW w:type="dxa" w:w="2232"/>
            <w:vAlign w:val="center"/>
          </w:tcPr>
          <w:p>
            <w:r>
              <w:rPr>
                <w:b w:val="0"/>
                <w:i w:val="0"/>
                <w:sz w:val="16"/>
              </w:rPr>
              <w:t>LREMC consent and joinder, limited to use of LREMC Facilities</w:t>
            </w:r>
          </w:p>
        </w:tc>
        <w:tc>
          <w:tcPr>
            <w:tcW w:type="dxa" w:w="648"/>
            <w:vAlign w:val="center"/>
          </w:tcPr>
          <w:p>
            <w:r>
              <w:rPr>
                <w:b w:val="0"/>
                <w:i w:val="0"/>
                <w:sz w:val="16"/>
              </w:rPr>
              <w:t>2</w:t>
            </w:r>
          </w:p>
        </w:tc>
        <w:tc>
          <w:tcPr>
            <w:tcW w:type="dxa" w:w="1944"/>
            <w:vAlign w:val="center"/>
          </w:tcPr>
          <w:p>
            <w:r>
              <w:rPr>
                <w:b w:val="0"/>
                <w:i w:val="0"/>
                <w:sz w:val="16"/>
              </w:rPr>
              <w:t>Facility inventory (S9) identified</w:t>
            </w:r>
          </w:p>
        </w:tc>
        <w:tc>
          <w:tcPr>
            <w:tcW w:type="dxa" w:w="1296"/>
            <w:vAlign w:val="center"/>
          </w:tcPr>
          <w:p>
            <w:r>
              <w:rPr>
                <w:b w:val="0"/>
                <w:i w:val="0"/>
                <w:sz w:val="16"/>
              </w:rPr>
              <w:t>S9, S14</w:t>
            </w:r>
          </w:p>
        </w:tc>
      </w:tr>
      <w:tr>
        <w:tc>
          <w:tcPr>
            <w:tcW w:type="dxa" w:w="2736"/>
            <w:shd w:val="clear" w:color="auto" w:fill="F2F2F2"/>
            <w:vAlign w:val="center"/>
          </w:tcPr>
          <w:p>
            <w:r>
              <w:rPr>
                <w:b w:val="0"/>
                <w:i w:val="0"/>
                <w:sz w:val="16"/>
              </w:rPr>
              <w:t>Limited Waiver of Sovereign Immunity (bracketed alternatives — FOR COUNSEL)</w:t>
            </w:r>
          </w:p>
        </w:tc>
        <w:tc>
          <w:tcPr>
            <w:tcW w:type="dxa" w:w="1656"/>
            <w:shd w:val="clear" w:color="auto" w:fill="F2F2F2"/>
            <w:vAlign w:val="center"/>
          </w:tcPr>
          <w:p>
            <w:r>
              <w:rPr>
                <w:b w:val="0"/>
                <w:i w:val="0"/>
                <w:sz w:val="16"/>
              </w:rPr>
              <w:t>Lumbee Tribe</w:t>
            </w:r>
          </w:p>
        </w:tc>
        <w:tc>
          <w:tcPr>
            <w:tcW w:type="dxa" w:w="2232"/>
            <w:shd w:val="clear" w:color="auto" w:fill="F2F2F2"/>
            <w:vAlign w:val="center"/>
          </w:tcPr>
          <w:p>
            <w:r>
              <w:rPr>
                <w:b w:val="0"/>
                <w:i w:val="0"/>
                <w:sz w:val="16"/>
              </w:rPr>
              <w:t>Limited express waiver of sovereign immunity (bracketed alternatives — for counsel)</w:t>
            </w:r>
          </w:p>
        </w:tc>
        <w:tc>
          <w:tcPr>
            <w:tcW w:type="dxa" w:w="648"/>
            <w:shd w:val="clear" w:color="auto" w:fill="F2F2F2"/>
            <w:vAlign w:val="center"/>
          </w:tcPr>
          <w:p>
            <w:r>
              <w:rPr>
                <w:b w:val="0"/>
                <w:i w:val="0"/>
                <w:sz w:val="16"/>
              </w:rPr>
              <w:t>2</w:t>
            </w:r>
          </w:p>
        </w:tc>
        <w:tc>
          <w:tcPr>
            <w:tcW w:type="dxa" w:w="1944"/>
            <w:shd w:val="clear" w:color="auto" w:fill="F2F2F2"/>
            <w:vAlign w:val="center"/>
          </w:tcPr>
          <w:p>
            <w:r>
              <w:rPr>
                <w:b w:val="0"/>
                <w:i w:val="0"/>
                <w:sz w:val="16"/>
              </w:rPr>
              <w:t>Scope of waiver approved by Tribal Council</w:t>
            </w:r>
          </w:p>
        </w:tc>
        <w:tc>
          <w:tcPr>
            <w:tcW w:type="dxa" w:w="1296"/>
            <w:shd w:val="clear" w:color="auto" w:fill="F2F2F2"/>
            <w:vAlign w:val="center"/>
          </w:tcPr>
          <w:p>
            <w:r>
              <w:rPr>
                <w:b w:val="0"/>
                <w:i w:val="0"/>
                <w:sz w:val="16"/>
              </w:rPr>
              <w:t>S1, S13</w:t>
            </w:r>
          </w:p>
        </w:tc>
      </w:tr>
      <w:tr>
        <w:tc>
          <w:tcPr>
            <w:tcW w:type="dxa" w:w="2736"/>
            <w:vAlign w:val="center"/>
          </w:tcPr>
          <w:p>
            <w:r>
              <w:rPr>
                <w:b w:val="0"/>
                <w:i w:val="0"/>
                <w:sz w:val="16"/>
              </w:rPr>
              <w:t>Tax, TERO, Permitting, and Regulatory Schedule</w:t>
            </w:r>
          </w:p>
        </w:tc>
        <w:tc>
          <w:tcPr>
            <w:tcW w:type="dxa" w:w="1656"/>
            <w:vAlign w:val="center"/>
          </w:tcPr>
          <w:p>
            <w:r>
              <w:rPr>
                <w:b w:val="0"/>
                <w:i w:val="0"/>
                <w:sz w:val="16"/>
              </w:rPr>
              <w:t>Lumbee Tribe; RIVR Tech</w:t>
            </w:r>
          </w:p>
        </w:tc>
        <w:tc>
          <w:tcPr>
            <w:tcW w:type="dxa" w:w="2232"/>
            <w:vAlign w:val="center"/>
          </w:tcPr>
          <w:p>
            <w:r>
              <w:rPr>
                <w:b w:val="0"/>
                <w:i w:val="0"/>
                <w:sz w:val="16"/>
              </w:rPr>
              <w:t>Tax, TERO, permitting, and regulatory requirements schedule (workbook)</w:t>
            </w:r>
          </w:p>
        </w:tc>
        <w:tc>
          <w:tcPr>
            <w:tcW w:type="dxa" w:w="648"/>
            <w:vAlign w:val="center"/>
          </w:tcPr>
          <w:p>
            <w:r>
              <w:rPr>
                <w:b w:val="0"/>
                <w:i w:val="0"/>
                <w:sz w:val="16"/>
              </w:rPr>
              <w:t>2</w:t>
            </w:r>
          </w:p>
        </w:tc>
        <w:tc>
          <w:tcPr>
            <w:tcW w:type="dxa" w:w="1944"/>
            <w:vAlign w:val="center"/>
          </w:tcPr>
          <w:p>
            <w:r>
              <w:rPr>
                <w:b w:val="0"/>
                <w:i w:val="0"/>
                <w:sz w:val="16"/>
              </w:rPr>
              <w:t>Regulatory/TERO applicability confirmed by counsel</w:t>
            </w:r>
          </w:p>
        </w:tc>
        <w:tc>
          <w:tcPr>
            <w:tcW w:type="dxa" w:w="1296"/>
            <w:vAlign w:val="center"/>
          </w:tcPr>
          <w:p>
            <w:r>
              <w:rPr>
                <w:b w:val="0"/>
                <w:i w:val="0"/>
                <w:sz w:val="16"/>
              </w:rPr>
              <w:t>S8, S14</w:t>
            </w:r>
          </w:p>
        </w:tc>
      </w:tr>
      <w:tr>
        <w:tc>
          <w:tcPr>
            <w:tcW w:type="dxa" w:w="2736"/>
            <w:shd w:val="clear" w:color="auto" w:fill="F2F2F2"/>
            <w:vAlign w:val="center"/>
          </w:tcPr>
          <w:p>
            <w:r>
              <w:rPr>
                <w:b w:val="0"/>
                <w:i w:val="0"/>
                <w:sz w:val="16"/>
              </w:rPr>
              <w:t>Insurance Schedule</w:t>
            </w:r>
          </w:p>
        </w:tc>
        <w:tc>
          <w:tcPr>
            <w:tcW w:type="dxa" w:w="1656"/>
            <w:shd w:val="clear" w:color="auto" w:fill="F2F2F2"/>
            <w:vAlign w:val="center"/>
          </w:tcPr>
          <w:p>
            <w:r>
              <w:rPr>
                <w:b w:val="0"/>
                <w:i w:val="0"/>
                <w:sz w:val="16"/>
              </w:rPr>
              <w:t>Lumbee Tribe; RIVR Tech</w:t>
            </w:r>
          </w:p>
        </w:tc>
        <w:tc>
          <w:tcPr>
            <w:tcW w:type="dxa" w:w="2232"/>
            <w:shd w:val="clear" w:color="auto" w:fill="F2F2F2"/>
            <w:vAlign w:val="center"/>
          </w:tcPr>
          <w:p>
            <w:r>
              <w:rPr>
                <w:b w:val="0"/>
                <w:i w:val="0"/>
                <w:sz w:val="16"/>
              </w:rPr>
              <w:t>Insurance coverages, limits, and evidence schedule (workbook)</w:t>
            </w:r>
          </w:p>
        </w:tc>
        <w:tc>
          <w:tcPr>
            <w:tcW w:type="dxa" w:w="648"/>
            <w:shd w:val="clear" w:color="auto" w:fill="F2F2F2"/>
            <w:vAlign w:val="center"/>
          </w:tcPr>
          <w:p>
            <w:r>
              <w:rPr>
                <w:b w:val="0"/>
                <w:i w:val="0"/>
                <w:sz w:val="16"/>
              </w:rPr>
              <w:t>2</w:t>
            </w:r>
          </w:p>
        </w:tc>
        <w:tc>
          <w:tcPr>
            <w:tcW w:type="dxa" w:w="1944"/>
            <w:shd w:val="clear" w:color="auto" w:fill="F2F2F2"/>
            <w:vAlign w:val="center"/>
          </w:tcPr>
          <w:p>
            <w:r>
              <w:rPr>
                <w:b w:val="0"/>
                <w:i w:val="0"/>
                <w:sz w:val="16"/>
              </w:rPr>
              <w:t>Coverages bound; certificates issued</w:t>
            </w:r>
          </w:p>
        </w:tc>
        <w:tc>
          <w:tcPr>
            <w:tcW w:type="dxa" w:w="1296"/>
            <w:shd w:val="clear" w:color="auto" w:fill="F2F2F2"/>
            <w:vAlign w:val="center"/>
          </w:tcPr>
          <w:p>
            <w:r>
              <w:rPr>
                <w:b w:val="0"/>
                <w:i w:val="0"/>
                <w:sz w:val="16"/>
              </w:rPr>
              <w:t>S12</w:t>
            </w:r>
          </w:p>
        </w:tc>
      </w:tr>
      <w:tr>
        <w:tc>
          <w:tcPr>
            <w:tcW w:type="dxa" w:w="2736"/>
            <w:vAlign w:val="center"/>
          </w:tcPr>
          <w:p>
            <w:r>
              <w:rPr>
                <w:b w:val="0"/>
                <w:i w:val="0"/>
                <w:sz w:val="16"/>
              </w:rPr>
              <w:t>Service Level Schedule</w:t>
            </w:r>
          </w:p>
        </w:tc>
        <w:tc>
          <w:tcPr>
            <w:tcW w:type="dxa" w:w="1656"/>
            <w:vAlign w:val="center"/>
          </w:tcPr>
          <w:p>
            <w:r>
              <w:rPr>
                <w:b w:val="0"/>
                <w:i w:val="0"/>
                <w:sz w:val="16"/>
              </w:rPr>
              <w:t>Lumbee Tribe; RIVR Tech</w:t>
            </w:r>
          </w:p>
        </w:tc>
        <w:tc>
          <w:tcPr>
            <w:tcW w:type="dxa" w:w="2232"/>
            <w:vAlign w:val="center"/>
          </w:tcPr>
          <w:p>
            <w:r>
              <w:rPr>
                <w:b w:val="0"/>
                <w:i w:val="0"/>
                <w:sz w:val="16"/>
              </w:rPr>
              <w:t>Service level targets and remedies schedule</w:t>
            </w:r>
          </w:p>
        </w:tc>
        <w:tc>
          <w:tcPr>
            <w:tcW w:type="dxa" w:w="648"/>
            <w:vAlign w:val="center"/>
          </w:tcPr>
          <w:p>
            <w:r>
              <w:rPr>
                <w:b w:val="0"/>
                <w:i w:val="0"/>
                <w:sz w:val="16"/>
              </w:rPr>
              <w:t>2</w:t>
            </w:r>
          </w:p>
        </w:tc>
        <w:tc>
          <w:tcPr>
            <w:tcW w:type="dxa" w:w="1944"/>
            <w:vAlign w:val="center"/>
          </w:tcPr>
          <w:p>
            <w:r>
              <w:rPr>
                <w:b w:val="0"/>
                <w:i w:val="0"/>
                <w:sz w:val="16"/>
              </w:rPr>
              <w:t>SLA targets agreed with O&amp;M</w:t>
            </w:r>
          </w:p>
        </w:tc>
        <w:tc>
          <w:tcPr>
            <w:tcW w:type="dxa" w:w="1296"/>
            <w:vAlign w:val="center"/>
          </w:tcPr>
          <w:p>
            <w:r>
              <w:rPr>
                <w:b w:val="0"/>
                <w:i w:val="0"/>
                <w:sz w:val="16"/>
              </w:rPr>
              <w:t>S6</w:t>
            </w:r>
          </w:p>
        </w:tc>
      </w:tr>
    </w:tbl>
    <w:p>
      <w:pPr>
        <w:pStyle w:val="Heading1"/>
        <w:spacing w:before="240" w:after="120"/>
      </w:pPr>
      <w:r>
        <w:rPr>
          <w:rFonts w:ascii="Calibri" w:hAnsi="Calibri"/>
          <w:b/>
          <w:color w:val="1F3864"/>
          <w:sz w:val="26"/>
        </w:rPr>
        <w:t>ARTICLE 2.  SIGNING-SEQUENCE NARRATIVE</w:t>
      </w:r>
    </w:p>
    <w:p>
      <w:r>
        <w:rPr>
          <w:b w:val="0"/>
          <w:i w:val="0"/>
        </w:rPr>
        <w:t>The sequence numbers above group the closing into ordered stages. No commercial agreement is signed before the authority to sign it exists, and no segment goes live before the compliance predicates are satisfied.</w:t>
      </w:r>
    </w:p>
    <w:p>
      <w:pPr>
        <w:pStyle w:val="Heading2"/>
        <w:spacing w:before="160" w:after="60"/>
      </w:pPr>
      <w:r>
        <w:rPr>
          <w:rFonts w:ascii="Calibri" w:hAnsi="Calibri"/>
          <w:b/>
          <w:color w:val="000000"/>
          <w:sz w:val="22"/>
        </w:rPr>
        <w:t>2.1  Stage 1 — Resolutions and Authorizations First</w:t>
      </w:r>
    </w:p>
    <w:p>
      <w:r>
        <w:rPr>
          <w:b w:val="0"/>
          <w:i w:val="0"/>
        </w:rPr>
        <w:t xml:space="preserve">The Lumbee Tribal Council Resolution (G1) and the RIVR Tech Member/Manager Authorization (G2) come first. These establish who may bind each party and confirm the threshold eligibility and award posture. </w:t>
      </w:r>
      <w:r>
        <w:rPr>
          <w:b/>
          <w:i w:val="0"/>
          <w:color w:val="0000C0"/>
        </w:rPr>
        <w:t>[ATTORNEY REVIEW REQUIRED]</w:t>
      </w:r>
    </w:p>
    <w:p>
      <w:pPr>
        <w:pStyle w:val="Heading2"/>
        <w:spacing w:before="160" w:after="60"/>
      </w:pPr>
      <w:r>
        <w:rPr>
          <w:rFonts w:ascii="Calibri" w:hAnsi="Calibri"/>
          <w:b/>
          <w:color w:val="000000"/>
          <w:sz w:val="22"/>
        </w:rPr>
        <w:t>2.2  Stage 2 — Consents, Waiver, and Supporting Schedules</w:t>
      </w:r>
    </w:p>
    <w:p>
      <w:r>
        <w:rPr>
          <w:b w:val="0"/>
          <w:i w:val="0"/>
        </w:rPr>
        <w:t>The LREMC Consent and Joinder (G3, limited to LREMC Facilities) and the Limited Waiver of Sovereign Immunity (bracketed alternatives — FOR COUNSEL) (G4) are settled next, because later agreements depend on LREMC Facility access and enforceable remedies. The supporting schedules — the Tax, TERO, Permitting, and Regulatory Schedule (G5), the Insurance Schedule (G6), and the Service Level Schedule (G7) — are finalized in this stage to feed the definitive agreements they support.</w:t>
      </w:r>
    </w:p>
    <w:p>
      <w:pPr>
        <w:pStyle w:val="Heading2"/>
        <w:spacing w:before="160" w:after="60"/>
      </w:pPr>
      <w:r>
        <w:rPr>
          <w:rFonts w:ascii="Calibri" w:hAnsi="Calibri"/>
          <w:b/>
          <w:color w:val="000000"/>
          <w:sz w:val="22"/>
        </w:rPr>
        <w:t>2.3  Stage 3 — Master Agreement</w:t>
      </w:r>
    </w:p>
    <w:p>
      <w:r>
        <w:rPr>
          <w:b w:val="0"/>
          <w:i w:val="0"/>
        </w:rPr>
        <w:t>The Master TBCP Partnership and Implementation Agreement is executed next (sequence 3). It supplies the shared definitions, order of precedence, and governance that every downstream agreement incorporates.</w:t>
      </w:r>
    </w:p>
    <w:p>
      <w:pPr>
        <w:pStyle w:val="Heading2"/>
        <w:spacing w:before="160" w:after="60"/>
      </w:pPr>
      <w:r>
        <w:rPr>
          <w:rFonts w:ascii="Calibri" w:hAnsi="Calibri"/>
          <w:b/>
          <w:color w:val="000000"/>
          <w:sz w:val="22"/>
        </w:rPr>
        <w:t>2.4  Stage 4 — The Remaining Definitive Agreements</w:t>
      </w:r>
    </w:p>
    <w:p>
      <w:r>
        <w:rPr>
          <w:b w:val="0"/>
          <w:i w:val="0"/>
        </w:rPr>
        <w:t>The DEPC, IRU, Interconnection, O&amp;M, Retail, Grant Finance, Land Instruments, and Privacy/Cyber agreements are executed in dependency order (sequences 4–11): construction and the IRU precede operations, retail, and finance, which precede the privacy addendum.</w:t>
      </w:r>
    </w:p>
    <w:p>
      <w:pPr>
        <w:pStyle w:val="Heading2"/>
        <w:spacing w:before="160" w:after="60"/>
      </w:pPr>
      <w:r>
        <w:rPr>
          <w:rFonts w:ascii="Calibri" w:hAnsi="Calibri"/>
          <w:b/>
          <w:color w:val="000000"/>
          <w:sz w:val="22"/>
        </w:rPr>
        <w:t>2.5  Stage 5 — LREMC Consent Confirmed and Land Instruments</w:t>
      </w:r>
    </w:p>
    <w:p>
      <w:r>
        <w:rPr>
          <w:b w:val="0"/>
          <w:i w:val="0"/>
        </w:rPr>
        <w:t xml:space="preserve">LREMC consent is confirmed in force and the Land Instruments (sequence 10) are recorded, together with any BIA/ROW approvals required where trust/restricted land is used or crossed. </w:t>
      </w:r>
      <w:r>
        <w:rPr>
          <w:b/>
          <w:i w:val="0"/>
          <w:color w:val="7F007F"/>
        </w:rPr>
        <w:t>[GRANT COMPLIANCE REVIEW REQUIRED]</w:t>
      </w:r>
    </w:p>
    <w:p>
      <w:pPr>
        <w:pStyle w:val="Heading2"/>
        <w:spacing w:before="160" w:after="60"/>
      </w:pPr>
      <w:r>
        <w:rPr>
          <w:rFonts w:ascii="Calibri" w:hAnsi="Calibri"/>
          <w:b/>
          <w:color w:val="000000"/>
          <w:sz w:val="22"/>
        </w:rPr>
        <w:t>2.6  Stage 6 — Segment NTP, Acceptance, and Activation Last</w:t>
      </w:r>
    </w:p>
    <w:p>
      <w:r>
        <w:rPr>
          <w:b w:val="0"/>
          <w:i w:val="0"/>
        </w:rPr>
        <w:t xml:space="preserve">Notice to Proceed, segment acceptance, and subscriber activation occur last, once the controlling award, eligibility, environmental/NHPA clearances, and all approvals are confirmed. The 20-year term runs from acceptance of each Network segment. </w:t>
      </w:r>
      <w:r>
        <w:rPr>
          <w:b/>
          <w:i w:val="0"/>
          <w:color w:val="7F007F"/>
        </w:rPr>
        <w:t>[GRANT COMPLIANCE REVIEW REQUIRED]</w:t>
      </w:r>
    </w:p>
    <w:p/>
    <w:p>
      <w:pPr>
        <w:jc w:val="center"/>
      </w:pPr>
      <w:r>
        <w:rPr>
          <w:b/>
          <w:color w:val="C00000"/>
          <w:highlight w:val="yellow"/>
        </w:rPr>
        <w:t>PRELIMINARY DRAFT – NO CONTROLLING TBCP AWARD OR SOURCE DOCUMENTS SUPPLIED – PROVISIONAL BASELINE: MARCH 2024 AMENDED ROUND 2 NOFO – SUBJECT TO LEGAL, GRANT AND FINANCIAL REVIEW</w:t>
      </w:r>
    </w:p>
    <w:p>
      <w:r>
        <w:rPr>
          <w:i/>
          <w:color w:val="595959"/>
          <w:sz w:val="18"/>
        </w:rPr>
        <w:t>This document is a preliminary working draft prepared for discussion only. It is not final legal, grant, or financial advice and creates no binding obligation on any party. No controlling TBCP award, Notice of Funding Opportunity in executed form, Specific Award Conditions, or other source documents were supplied; the provisional baseline is the March 2024 amended Round 2 NOFO, and the controlling round and executed award must be confirmed before any provision is finalized. All party names, defined terms, economics, dates, and citations are subject to legal, grant, and financial review. Capitalized terms used and not otherwise defined have the meanings given in Article 2 (Definitions) of the Master TBCP Partnership and Implementation Agreement, the single shared definitions source for the package. Nothing herein should be relied upon as fact where marked as a placeholder or flagged for review.</w:t>
      </w:r>
    </w:p>
    <w:p>
      <w:r>
        <w:rPr>
          <w:i/>
          <w:color w:val="595959"/>
          <w:sz w:val="18"/>
        </w:rPr>
        <w:t>CONFIDENTIAL – ATTORNEY WORK PRODUCT / SUBJECT TO COMMON-INTEREST PRIVILEGE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Agreement Register &amp; Signing Sequence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