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0000"/>
          <w:sz w:val="22"/>
          <w:highlight w:val="yellow"/>
        </w:rPr>
        <w:t>PRELIMINARY DRAFT – NO CONTROLLING TBCP AWARD OR SOURCE DOCUMENTS SUPPLIED – PROVISIONAL BASELINE: MARCH 2024 AMENDED ROUND 2 NOFO – SUBJECT TO LEGAL, GRANT AND FINANCIAL REVIEW</w:t>
      </w:r>
    </w:p>
    <w:p/>
    <w:p/>
    <w:p/>
    <w:p>
      <w:pPr>
        <w:jc w:val="center"/>
      </w:pPr>
      <w:r>
        <w:rPr>
          <w:b/>
          <w:color w:val="595959"/>
          <w:sz w:val="24"/>
        </w:rPr>
        <w:t>GOVERNANCE &amp; AUTHORIZATION 03-02</w:t>
      </w:r>
    </w:p>
    <w:p>
      <w:pPr>
        <w:jc w:val="center"/>
      </w:pPr>
      <w:r>
        <w:rPr>
          <w:b/>
          <w:color w:val="1F3864"/>
          <w:sz w:val="48"/>
        </w:rPr>
        <w:t>RIVR Tech Member Authorization</w:t>
      </w:r>
    </w:p>
    <w:p>
      <w:pPr>
        <w:jc w:val="center"/>
      </w:pPr>
      <w:r>
        <w:rPr>
          <w:color w:val="595959"/>
          <w:sz w:val="28"/>
        </w:rPr>
        <w:t>Written Consent of the Members and Managers of LREMC Technologies, LLC d/b/a RIVR Tech</w:t>
      </w:r>
    </w:p>
    <w:p/>
    <w:p/>
    <w:p>
      <w:pPr>
        <w:jc w:val="center"/>
      </w:pPr>
      <w:r>
        <w:rPr>
          <w:i/>
          <w:sz w:val="22"/>
        </w:rPr>
        <w:t>by and between</w:t>
      </w:r>
    </w:p>
    <w:p>
      <w:pPr>
        <w:jc w:val="center"/>
      </w:pPr>
      <w:r>
        <w:rPr>
          <w:b/>
          <w:i w:val="0"/>
          <w:color w:val="1F3864"/>
          <w:sz w:val="28"/>
        </w:rPr>
        <w:t>Lumbee Tribe of North Carolina</w:t>
      </w:r>
    </w:p>
    <w:p>
      <w:pPr>
        <w:jc w:val="center"/>
      </w:pPr>
      <w:r>
        <w:rPr>
          <w:b w:val="0"/>
          <w:i/>
          <w:sz w:val="22"/>
        </w:rPr>
        <w:t>and</w:t>
      </w:r>
    </w:p>
    <w:p>
      <w:pPr>
        <w:jc w:val="center"/>
      </w:pPr>
      <w:r>
        <w:rPr>
          <w:b/>
          <w:i w:val="0"/>
          <w:color w:val="1F3864"/>
          <w:sz w:val="28"/>
        </w:rPr>
        <w:t>LREMC Technologies, LLC d/b/a RIVR Tech</w:t>
      </w:r>
    </w:p>
    <w:p/>
    <w:p/>
    <w:p/>
    <w:p/>
    <w:p>
      <w:pPr>
        <w:jc w:val="center"/>
      </w:pPr>
      <w:r>
        <w:rPr>
          <w:b/>
          <w:sz w:val="20"/>
        </w:rPr>
        <w:t xml:space="preserve">Version:  </w:t>
      </w:r>
      <w:r>
        <w:rPr>
          <w:sz w:val="20"/>
        </w:rPr>
        <w:t>Preliminary Draft v0.1</w:t>
      </w:r>
    </w:p>
    <w:p>
      <w:pPr>
        <w:jc w:val="center"/>
      </w:pPr>
      <w:r>
        <w:rPr>
          <w:b/>
          <w:sz w:val="20"/>
        </w:rPr>
        <w:t xml:space="preserve">Version Date:  </w:t>
      </w:r>
      <w:r>
        <w:rPr>
          <w:sz w:val="20"/>
        </w:rPr>
        <w:t>September 26, 2026</w:t>
      </w:r>
    </w:p>
    <w:p>
      <w:pPr>
        <w:jc w:val="center"/>
      </w:pPr>
      <w:r>
        <w:rPr>
          <w:b/>
          <w:sz w:val="20"/>
        </w:rPr>
        <w:t xml:space="preserve">Document Status:  </w:t>
      </w:r>
      <w:r>
        <w:rPr>
          <w:sz w:val="20"/>
        </w:rPr>
        <w:t>Working draft — not executed; not final legal advice</w:t>
      </w:r>
    </w:p>
    <w:p>
      <w:pPr>
        <w:jc w:val="center"/>
      </w:pPr>
      <w:r>
        <w:rPr>
          <w:b/>
          <w:sz w:val="20"/>
        </w:rPr>
        <w:t xml:space="preserve">Program:  </w:t>
      </w:r>
      <w:r>
        <w:rPr>
          <w:sz w:val="20"/>
        </w:rPr>
        <w:t>Tribal Broadband Connectivity Program (TBCP), National Telecommunications and Information Administration (NTIA)</w:t>
      </w:r>
    </w:p>
    <w:p/>
    <w:p/>
    <w:p>
      <w:pPr>
        <w:jc w:val="center"/>
      </w:pPr>
      <w:r>
        <w:rPr>
          <w:i/>
          <w:color w:val="595959"/>
          <w:sz w:val="18"/>
        </w:rPr>
        <w:t>CONFIDENTIAL – ATTORNEY WORK PRODUCT / SUBJECT TO COMMON-INTEREST PRIVILEGE</w:t>
      </w:r>
    </w:p>
    <w:p>
      <w:r>
        <w:br w:type="page"/>
      </w:r>
    </w:p>
    <w:p>
      <w:pPr>
        <w:jc w:val="center"/>
      </w:pPr>
      <w:r>
        <w:rPr>
          <w:b/>
          <w:color w:val="C00000"/>
          <w:highlight w:val="yellow"/>
        </w:rPr>
        <w:t>PRELIMINARY DRAFT – NO CONTROLLING TBCP AWARD OR SOURCE DOCUMENTS SUPPLIED – PROVISIONAL BASELINE: MARCH 2024 AMENDED ROUND 2 NOFO – SUBJECT TO LEGAL, GRANT AND FINANCIAL REVIEW</w:t>
      </w:r>
    </w:p>
    <w:p/>
    <w:p>
      <w:pPr>
        <w:jc w:val="center"/>
      </w:pPr>
      <w:r>
        <w:rPr>
          <w:b/>
          <w:color w:val="1F3864"/>
          <w:sz w:val="26"/>
        </w:rPr>
        <w:t>WRITTEN CONSENT OF THE MEMBERS AND MANAGERS OF LREMC TECHNOLOGIES, LLC D/B/A RIVR TECH</w:t>
      </w:r>
    </w:p>
    <w:p>
      <w:r>
        <w:rPr>
          <w:b w:val="0"/>
          <w:i w:val="0"/>
        </w:rPr>
        <w:t xml:space="preserve">The undersigned, constituting the members and managers of LREMC Technologies, LLC d/b/a RIVR Tech (“RIVR Tech”), a limited liability company, acting by written consent in lieu of a meeting to the extent permitted by the company's operating agreement and applicable law, hereby adopt the following authorizations. </w:t>
      </w:r>
      <w:r>
        <w:rPr>
          <w:b/>
          <w:i w:val="0"/>
          <w:color w:val="0000C0"/>
        </w:rPr>
        <w:t>[ATTORNEY REVIEW REQUIRED]</w:t>
      </w:r>
    </w:p>
    <w:p>
      <w:pPr>
        <w:spacing w:before="200" w:after="80"/>
      </w:pPr>
      <w:r>
        <w:rPr>
          <w:b/>
          <w:color w:val="1F3864"/>
          <w:sz w:val="24"/>
        </w:rPr>
        <w:t>RECITALS</w:t>
      </w:r>
    </w:p>
    <w:p>
      <w:r>
        <w:rPr>
          <w:b w:val="0"/>
          <w:i w:val="0"/>
        </w:rPr>
        <w:t>The parties and entities referenced in this instrument are: (i) the Lumbee Tribe of North Carolina (the “Lumbee Tribe”), the prospective TBCP award recipient, steward, and owner of the Grant-Funded Assets and the Tribal Network; (ii) LREMC Technologies, LLC d/b/a RIVR Tech (“RIVR Tech”), the prospective operator/partner; and (iii) Lumbee River Electric Membership Corporation d/b/a Lumbee River EMC (“LREMC”), the separate owner of the LREMC Facilities (poles, conduit, fiber, easements, huts, power, and land), whose participation is by limited consent and joinder only. RIVR Tech and LREMC are distinct entities and this instrument does not treat the LREMC Facilities as owned or controlled by RIVR Tech.</w:t>
      </w:r>
    </w:p>
    <w:p>
      <w:r>
        <w:rPr>
          <w:b/>
        </w:rPr>
        <w:t xml:space="preserve">WHEREAS, </w:t>
      </w:r>
      <w:r>
        <w:rPr>
          <w:b w:val="0"/>
          <w:i w:val="0"/>
        </w:rPr>
        <w:t>RIVR Tech intends to serve as the operator/partner of the Lumbee Tribe for the design, construction, operation, maintenance, and retail service of the Tribal Network under the TBCP;</w:t>
      </w:r>
    </w:p>
    <w:p>
      <w:r>
        <w:rPr>
          <w:b/>
        </w:rPr>
        <w:t xml:space="preserve">WHEREAS, </w:t>
      </w:r>
      <w:r>
        <w:rPr>
          <w:b w:val="0"/>
          <w:i w:val="0"/>
        </w:rPr>
        <w:t>RIVR Tech is a separate entity from Lumbee River Electric Membership Corporation d/b/a Lumbee River EMC (“LREMC”), and the LREMC Facilities are the subject of a separate consent and joinder by LREMC;</w:t>
      </w:r>
    </w:p>
    <w:p>
      <w:r>
        <w:rPr>
          <w:b/>
        </w:rPr>
        <w:t xml:space="preserve">WHEREAS, </w:t>
      </w:r>
      <w:r>
        <w:rPr>
          <w:b w:val="0"/>
          <w:i w:val="0"/>
        </w:rPr>
        <w:t>the compensation model contemplated by the Definitive Agreements is $[X] per Active Subscriber per month, over an initial term of 20 years from acceptance of each Network segment plus two (2) optional renewal terms of five (5) years each;</w:t>
      </w:r>
    </w:p>
    <w:p>
      <w:pPr>
        <w:spacing w:before="200" w:after="80"/>
      </w:pPr>
      <w:r>
        <w:rPr>
          <w:b/>
          <w:color w:val="1F3864"/>
          <w:sz w:val="24"/>
        </w:rPr>
        <w:t>AUTHORIZATIONS</w:t>
      </w:r>
    </w:p>
    <w:p>
      <w:r>
        <w:rPr>
          <w:b/>
          <w:i w:val="0"/>
        </w:rPr>
        <w:t>NOW, THEREFORE, the members and managers RESOLVE as follows:</w:t>
      </w:r>
    </w:p>
    <w:p>
      <w:pPr>
        <w:pStyle w:val="ListNumber"/>
      </w:pPr>
      <w:r>
        <w:rPr>
          <w:b/>
        </w:rPr>
        <w:t xml:space="preserve">RESOLVED, that </w:t>
      </w:r>
      <w:r>
        <w:rPr>
          <w:b w:val="0"/>
          <w:i w:val="0"/>
        </w:rPr>
        <w:t>RIVR Tech is authorized to negotiate, execute, deliver, and perform the Master TBCP Partnership and Implementation Agreement and each of the following nine (9) Definitive Agreements:</w:t>
      </w:r>
    </w:p>
    <w:p>
      <w:pPr>
        <w:pStyle w:val="ListBullet"/>
      </w:pPr>
      <w:r>
        <w:rPr>
          <w:b w:val="0"/>
          <w:i w:val="0"/>
        </w:rPr>
        <w:t>Design, Engineering, Procurement, and Construction Agreement</w:t>
      </w:r>
    </w:p>
    <w:p>
      <w:pPr>
        <w:pStyle w:val="ListBullet"/>
      </w:pPr>
      <w:r>
        <w:rPr>
          <w:b w:val="0"/>
          <w:i w:val="0"/>
        </w:rPr>
        <w:t>Indefeasible Right of Use and Network Access Agreement</w:t>
      </w:r>
    </w:p>
    <w:p>
      <w:pPr>
        <w:pStyle w:val="ListBullet"/>
      </w:pPr>
      <w:r>
        <w:rPr>
          <w:b w:val="0"/>
          <w:i w:val="0"/>
        </w:rPr>
        <w:t>Network Interconnection, Transport, Equipment, and Shared Facilities Agreement</w:t>
      </w:r>
    </w:p>
    <w:p>
      <w:pPr>
        <w:pStyle w:val="ListBullet"/>
      </w:pPr>
      <w:r>
        <w:rPr>
          <w:b w:val="0"/>
          <w:i w:val="0"/>
        </w:rPr>
        <w:t>Network Operations, Maintenance, and Lifecycle Agreement</w:t>
      </w:r>
    </w:p>
    <w:p>
      <w:pPr>
        <w:pStyle w:val="ListBullet"/>
      </w:pPr>
      <w:r>
        <w:rPr>
          <w:b w:val="0"/>
          <w:i w:val="0"/>
        </w:rPr>
        <w:t>Retail Customer Service, Billing, Collections, and Subscriber Revenue Agreement</w:t>
      </w:r>
    </w:p>
    <w:p>
      <w:pPr>
        <w:pStyle w:val="ListBullet"/>
      </w:pPr>
      <w:r>
        <w:rPr>
          <w:b w:val="0"/>
          <w:i w:val="0"/>
        </w:rPr>
        <w:t>Grant Finance, Reimbursement, Program Income, and Audit Agreement</w:t>
      </w:r>
    </w:p>
    <w:p>
      <w:pPr>
        <w:pStyle w:val="ListBullet"/>
      </w:pPr>
      <w:r>
        <w:rPr>
          <w:b w:val="0"/>
          <w:i w:val="0"/>
        </w:rPr>
        <w:t>Land, Easement, Right-of-Way, Pole, Site, Power, and Facility Instruments</w:t>
      </w:r>
    </w:p>
    <w:p>
      <w:pPr>
        <w:pStyle w:val="ListBullet"/>
      </w:pPr>
      <w:r>
        <w:rPr>
          <w:b w:val="0"/>
          <w:i w:val="0"/>
        </w:rPr>
        <w:t>Data Privacy, Cybersecurity, Supply-Chain Risk, and Business Continuity Addendum</w:t>
      </w:r>
    </w:p>
    <w:p>
      <w:pPr>
        <w:pStyle w:val="ListBullet"/>
      </w:pPr>
      <w:r>
        <w:rPr>
          <w:b w:val="0"/>
          <w:i w:val="0"/>
        </w:rPr>
        <w:t>Continuity, Step-In, Termination Assistance, and Transition Agreement</w:t>
      </w:r>
    </w:p>
    <w:p>
      <w:pPr>
        <w:pStyle w:val="ListNumber"/>
      </w:pPr>
      <w:r>
        <w:rPr>
          <w:b/>
        </w:rPr>
        <w:t xml:space="preserve">RESOLVED, that </w:t>
      </w:r>
      <w:r>
        <w:rPr>
          <w:b w:val="0"/>
          <w:i w:val="0"/>
        </w:rPr>
        <w:t xml:space="preserve">the </w:t>
      </w:r>
      <w:r>
        <w:rPr>
          <w:b w:val="0"/>
          <w:i w:val="0"/>
          <w:color w:val="804000"/>
          <w:highlight w:val="yellow"/>
        </w:rPr>
        <w:t>[■ authorized RIVR Tech signatory office — e.g., Chief Executive Officer / Manager]</w:t>
      </w:r>
      <w:r>
        <w:rPr>
          <w:b w:val="0"/>
          <w:i w:val="0"/>
        </w:rPr>
        <w:t xml:space="preserve"> is designated as the authorized signatory of RIVR Tech empowered to execute and deliver the Definitive Agreements and related certificates and schedules; </w:t>
      </w:r>
      <w:r>
        <w:rPr>
          <w:b/>
          <w:i w:val="0"/>
          <w:color w:val="C00000"/>
        </w:rPr>
        <w:t>[BUSINESS DECISION REQUIRED]</w:t>
      </w:r>
    </w:p>
    <w:p>
      <w:pPr>
        <w:pStyle w:val="ListNumber"/>
      </w:pPr>
      <w:r>
        <w:rPr>
          <w:b/>
        </w:rPr>
        <w:t xml:space="preserve">RESOLVED, that </w:t>
      </w:r>
      <w:r>
        <w:rPr>
          <w:b w:val="0"/>
          <w:i w:val="0"/>
        </w:rPr>
        <w:t>RIVR Tech confirms it is duly organized, validly existing, and in good standing under the laws of North Carolina (</w:t>
      </w:r>
      <w:r>
        <w:rPr>
          <w:b w:val="0"/>
          <w:i w:val="0"/>
          <w:color w:val="804000"/>
          <w:highlight w:val="yellow"/>
        </w:rPr>
        <w:t>[■ state of organization — confirm]</w:t>
      </w:r>
      <w:r>
        <w:rPr>
          <w:b w:val="0"/>
          <w:i w:val="0"/>
        </w:rPr>
        <w:t xml:space="preserve">), holds or will obtain the authority, registrations, and licenses required to perform, and that execution has been duly authorized; </w:t>
      </w:r>
      <w:r>
        <w:rPr>
          <w:b/>
          <w:i w:val="0"/>
          <w:color w:val="0000C0"/>
        </w:rPr>
        <w:t>[ATTORNEY REVIEW REQUIRED]</w:t>
      </w:r>
    </w:p>
    <w:p>
      <w:pPr>
        <w:pStyle w:val="ListNumber"/>
      </w:pPr>
      <w:r>
        <w:rPr>
          <w:b/>
        </w:rPr>
        <w:t xml:space="preserve">RESOLVED, that </w:t>
      </w:r>
      <w:r>
        <w:rPr>
          <w:b w:val="0"/>
          <w:i w:val="0"/>
        </w:rPr>
        <w:t xml:space="preserve">RIVR Tech commits to procure and maintain the insurance and any performance/payment bonding required by the Definitive Agreements and the applicable insurance schedule (additional-insured, waiver of subrogation, and primary/non-contributory endorsements in favor of the Lumbee Tribe); </w:t>
      </w:r>
      <w:r>
        <w:rPr>
          <w:b/>
          <w:i w:val="0"/>
          <w:color w:val="C00000"/>
        </w:rPr>
        <w:t>[BUSINESS DECISION REQUIRED]</w:t>
      </w:r>
    </w:p>
    <w:p>
      <w:pPr>
        <w:pStyle w:val="ListNumber"/>
      </w:pPr>
      <w:r>
        <w:rPr>
          <w:b/>
        </w:rPr>
        <w:t xml:space="preserve">RESOLVED, that </w:t>
      </w:r>
      <w:r>
        <w:rPr>
          <w:b w:val="0"/>
          <w:i w:val="0"/>
        </w:rPr>
        <w:t xml:space="preserve">RIVR Tech accepts and will comply with the applicable grant flow-down requirements passed through by the Lumbee Tribe under 2 CFR 200.332 (Requirements for pass-through entities) and 2 CFR 200.331 (Subrecipient and contractor determinations), including procurement, domestic-preference/BABA, prohibited-telecommunications (2 CFR 200.216 (Prohibition on certain telecommunications and video surveillance — §889 covered equipment)), record-retention, and audit-access requirements; </w:t>
      </w:r>
      <w:r>
        <w:rPr>
          <w:b/>
          <w:i w:val="0"/>
          <w:color w:val="7F007F"/>
        </w:rPr>
        <w:t>[GRANT COMPLIANCE REVIEW REQUIRED]</w:t>
      </w:r>
    </w:p>
    <w:p>
      <w:pPr>
        <w:spacing w:before="200" w:after="80"/>
      </w:pPr>
      <w:r>
        <w:rPr>
          <w:b/>
          <w:color w:val="1F3864"/>
          <w:sz w:val="24"/>
        </w:rPr>
        <w:t>EXECUTION</w:t>
      </w:r>
    </w:p>
    <w:p>
      <w:r>
        <w:rPr>
          <w:b w:val="0"/>
          <w:i w:val="0"/>
        </w:rPr>
        <w:t>The undersigned execute this written consent, which may be signed in counterparts, as of the date(s) set forth below.</w:t>
      </w:r>
    </w:p>
    <w:p/>
    <w:p>
      <w:r>
        <w:rPr>
          <w:b/>
          <w:color w:val="1F3864"/>
        </w:rPr>
        <w:t>LREMC Technologies, LLC d/b/a RIVR Tech</w:t>
      </w:r>
    </w:p>
    <w:p>
      <w:pPr>
        <w:ind w:left="360"/>
      </w:pPr>
      <w:r>
        <w:rPr>
          <w:b/>
        </w:rPr>
        <w:t xml:space="preserve">By:  </w:t>
      </w:r>
      <w:r>
        <w:rPr>
          <w:b w:val="0"/>
          <w:i w:val="0"/>
        </w:rPr>
        <w:t>____________________________________</w:t>
      </w:r>
    </w:p>
    <w:p>
      <w:pPr>
        <w:ind w:left="360"/>
      </w:pPr>
      <w:r>
        <w:rPr>
          <w:b/>
        </w:rPr>
        <w:t xml:space="preserve">Name:  </w:t>
      </w:r>
      <w:r>
        <w:rPr>
          <w:b w:val="0"/>
          <w:i w:val="0"/>
          <w:color w:val="804000"/>
          <w:highlight w:val="yellow"/>
        </w:rPr>
        <w:t>[■ member / manager name]</w:t>
      </w:r>
    </w:p>
    <w:p>
      <w:pPr>
        <w:ind w:left="360"/>
      </w:pPr>
      <w:r>
        <w:rPr>
          <w:b/>
        </w:rPr>
        <w:t xml:space="preserve">Title:  </w:t>
      </w:r>
      <w:r>
        <w:rPr>
          <w:b w:val="0"/>
          <w:i w:val="0"/>
        </w:rPr>
        <w:t>Member / Manager</w:t>
      </w:r>
    </w:p>
    <w:p>
      <w:pPr>
        <w:ind w:left="360"/>
      </w:pPr>
      <w:r>
        <w:rPr>
          <w:b/>
        </w:rPr>
        <w:t xml:space="preserve">Date:  </w:t>
      </w:r>
      <w:r>
        <w:rPr>
          <w:b w:val="0"/>
          <w:i w:val="0"/>
        </w:rPr>
        <w:t>____________________________________</w:t>
      </w:r>
    </w:p>
    <w:p/>
    <w:p>
      <w:pPr>
        <w:ind w:left="360"/>
      </w:pPr>
      <w:r>
        <w:rPr>
          <w:b/>
        </w:rPr>
        <w:t xml:space="preserve">By:  </w:t>
      </w:r>
      <w:r>
        <w:rPr>
          <w:b w:val="0"/>
          <w:i w:val="0"/>
        </w:rPr>
        <w:t>____________________________________</w:t>
      </w:r>
    </w:p>
    <w:p>
      <w:pPr>
        <w:ind w:left="360"/>
      </w:pPr>
      <w:r>
        <w:rPr>
          <w:b/>
        </w:rPr>
        <w:t xml:space="preserve">Name:  </w:t>
      </w:r>
      <w:r>
        <w:rPr>
          <w:b w:val="0"/>
          <w:i w:val="0"/>
          <w:color w:val="804000"/>
          <w:highlight w:val="yellow"/>
        </w:rPr>
        <w:t>[■ additional member / manager (as required by the operating agreement)]</w:t>
      </w:r>
    </w:p>
    <w:p>
      <w:pPr>
        <w:ind w:left="360"/>
      </w:pPr>
      <w:r>
        <w:rPr>
          <w:b/>
        </w:rPr>
        <w:t xml:space="preserve">Title:  </w:t>
      </w:r>
      <w:r>
        <w:rPr>
          <w:b w:val="0"/>
          <w:i w:val="0"/>
        </w:rPr>
        <w:t>Member / Manager</w:t>
      </w:r>
    </w:p>
    <w:p>
      <w:pPr>
        <w:ind w:left="360"/>
      </w:pPr>
      <w:r>
        <w:rPr>
          <w:b/>
        </w:rPr>
        <w:t xml:space="preserve">Date:  </w:t>
      </w:r>
      <w:r>
        <w:rPr>
          <w:b w:val="0"/>
          <w:i w:val="0"/>
        </w:rPr>
        <w:t>____________________________________</w:t>
      </w:r>
    </w:p>
    <w:p/>
    <w:p/>
    <w:p>
      <w:r>
        <w:rPr>
          <w:b/>
          <w:color w:val="C00000"/>
        </w:rPr>
        <w:t xml:space="preserve">DISCLAIMER.  </w:t>
      </w:r>
      <w:r>
        <w:rPr>
          <w:b w:val="0"/>
          <w:i w:val="0"/>
        </w:rPr>
        <w:t xml:space="preserve">This document is a preliminary working draft prepared without a controlling TBCP award or source documents. The provisional baseline is the TBCP Round 2 Notice of Funding Opportunity, as amended March 2024 (PROVISIONAL BASELINE). Round 3 is the live TBCP round as of the version date; the controlling round and executed award must be confirmed before any definitive clause is finalized. Nothing in this document constitutes final legal advice, a binding commitment, or a representation that any award, approval, consent, resolution, or vote has been obtained; all such items remain to be confirmed. All highlighted placeholders and every </w:t>
      </w:r>
      <w:r>
        <w:rPr>
          <w:b/>
          <w:i w:val="0"/>
          <w:color w:val="C00000"/>
        </w:rPr>
        <w:t>[BUSINESS DECISION REQUIRED]</w:t>
      </w:r>
      <w:r>
        <w:rPr>
          <w:b w:val="0"/>
          <w:i w:val="0"/>
        </w:rPr>
        <w:t xml:space="preserve">, </w:t>
      </w:r>
      <w:r>
        <w:rPr>
          <w:b/>
          <w:i w:val="0"/>
          <w:color w:val="0000C0"/>
        </w:rPr>
        <w:t>[ATTORNEY REVIEW REQUIRED]</w:t>
      </w:r>
      <w:r>
        <w:rPr>
          <w:b w:val="0"/>
          <w:i w:val="0"/>
        </w:rPr>
        <w:t xml:space="preserve">, </w:t>
      </w:r>
      <w:r>
        <w:rPr>
          <w:b/>
          <w:i w:val="0"/>
          <w:color w:val="7F007F"/>
        </w:rPr>
        <w:t>[GRANT COMPLIANCE REVIEW REQUIRED]</w:t>
      </w:r>
      <w:r>
        <w:rPr>
          <w:b w:val="0"/>
          <w:i w:val="0"/>
        </w:rPr>
        <w:t xml:space="preserve">, and </w:t>
      </w:r>
      <w:r>
        <w:rPr>
          <w:b/>
          <w:i w:val="0"/>
          <w:color w:val="007000"/>
        </w:rPr>
        <w:t>[TECHNICAL INFORMATION REQUIRED]</w:t>
      </w:r>
      <w:r>
        <w:rPr>
          <w:b w:val="0"/>
          <w:i w:val="0"/>
        </w:rPr>
        <w:t xml:space="preserve"> item must be resolved by qualified Tribal counsel, grant advisors, and financial/insurance professionals before execution. PRELIMINARY DRAFT – SUBJECT TO LEGAL, GRANT AND FINANCIAL REVIEW.</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680" w:val="center"/>
        <w:tab w:pos="9360" w:val="right"/>
      </w:tabs>
    </w:pPr>
    <w:r>
      <w:rPr>
        <w:color w:val="595959"/>
        <w:sz w:val="16"/>
      </w:rPr>
    </w:r>
    <w:r>
      <w:rPr>
        <w:color w:val="595959"/>
        <w:sz w:val="16"/>
      </w:rPr>
      <w:t>Preliminary Draft v0.1 | September 26, 2026</w:t>
    </w:r>
    <w:r>
      <w:rPr>
        <w:color w:val="595959"/>
        <w:sz w:val="16"/>
      </w:rPr>
      <w:tab/>
    </w:r>
    <w:r>
      <w:rPr>
        <w:color w:val="595959"/>
        <w:sz w:val="16"/>
      </w:rPr>
      <w:fldChar w:fldCharType="begin"/>
      <w:instrText xml:space="preserve">PAGE</w:instrText>
      <w:fldChar w:fldCharType="separate"/>
      <w:fldChar w:fldCharType="end"/>
    </w:r>
    <w:r>
      <w:rPr>
        <w:color w:val="595959"/>
        <w:sz w:val="16"/>
      </w:rPr>
      <w:t xml:space="preserve"> of </w:t>
    </w:r>
    <w:r>
      <w:rPr>
        <w:color w:val="595959"/>
        <w:sz w:val="16"/>
      </w:rPr>
      <w:fldChar w:fldCharType="begin"/>
      <w:instrText xml:space="preserve">NUMPAGES</w:instrText>
      <w:fldChar w:fldCharType="separate"/>
      <w:fldChar w:fldCharType="end"/>
    </w:r>
    <w:r>
      <w:tab/>
    </w:r>
    <w:r>
      <w:rPr>
        <w:color w:val="595959"/>
        <w:sz w:val="16"/>
      </w:rPr>
      <w:t>Confidential —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i/>
        <w:color w:val="595959"/>
        <w:sz w:val="16"/>
      </w:rPr>
      <w:t>RIVR Tech Member Authorization  —  PRELIMINARY DRAFT – SUBJECT TO LEGAL, GRANT AND FINANCIAL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