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PRELIMINARY DRAFT – NO CONTROLLING TBCP AWARD OR SOURCE DOCUMENTS SUPPLIED – PROVISIONAL BASELINE: MARCH 2024 AMENDED ROUND 2 NOFO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GOVERNANCE &amp; AUTHORIZATION 03-07</w:t>
      </w:r>
    </w:p>
    <w:p>
      <w:pPr>
        <w:jc w:val="center"/>
      </w:pPr>
      <w:r>
        <w:rPr>
          <w:b/>
          <w:color w:val="1F3864"/>
          <w:sz w:val="48"/>
        </w:rPr>
        <w:t>Service Level Schedule</w:t>
      </w:r>
    </w:p>
    <w:p>
      <w:pPr>
        <w:jc w:val="center"/>
      </w:pPr>
      <w:r>
        <w:rPr>
          <w:color w:val="595959"/>
          <w:sz w:val="28"/>
        </w:rPr>
        <w:t>Service Levels, Measurement, Reporting, and Remedies — cross-referenced to the Network Operations, Maintenance, and Lifecycle Agreement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Preliminary 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September 26,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PRELIMINARY DRAFT – NO CONTROLLING TBCP AWARD OR SOURCE DOCUMENTS SUPPLIED – PROVISIONAL BASELINE: MARCH 2024 AMENDED ROUND 2 NOFO – SUBJECT TO LEGAL, GRANT AND FINANCIAL REVIEW</w:t>
      </w:r>
    </w:p>
    <w:p/>
    <w:p>
      <w:pPr>
        <w:jc w:val="center"/>
      </w:pPr>
      <w:r>
        <w:rPr>
          <w:b/>
          <w:color w:val="1F3864"/>
          <w:sz w:val="28"/>
        </w:rPr>
        <w:t>SERVICE LEVEL SCHEDULE</w:t>
      </w:r>
    </w:p>
    <w:p>
      <w:r>
        <w:rPr>
          <w:b w:val="0"/>
          <w:i w:val="0"/>
        </w:rPr>
        <w:t xml:space="preserve">This Schedule sets the service levels for operation and maintenance of the Tribal Network. It is cross-referenced to, and governed by, the Network Operations, Maintenance, and Lifecycle Agreement and Schedule </w:t>
      </w:r>
      <w:r>
        <w:rPr>
          <w:b w:val="0"/>
          <w:i w:val="0"/>
          <w:color w:val="804000"/>
          <w:highlight w:val="yellow"/>
        </w:rPr>
        <w:t>[■ S6]</w:t>
      </w:r>
      <w:r>
        <w:rPr>
          <w:b w:val="0"/>
          <w:i w:val="0"/>
        </w:rPr>
        <w:t xml:space="preserve"> (Operations, Service Levels, Lifecycle, Spares, Refresh, and Reserves). In any conflict, the Network Operations, Maintenance, and Lifecycle Agreement and the controlling Award govern.</w:t>
      </w:r>
    </w:p>
    <w:p>
      <w:pPr>
        <w:spacing w:before="200" w:after="80"/>
      </w:pPr>
      <w:r>
        <w:rPr>
          <w:b/>
          <w:color w:val="1F3864"/>
          <w:sz w:val="24"/>
        </w:rPr>
        <w:t>1.  DEFINITIONS</w:t>
      </w:r>
    </w:p>
    <w:p>
      <w:pPr>
        <w:ind w:left="504"/>
      </w:pPr>
      <w:r>
        <w:rPr>
          <w:b/>
        </w:rPr>
        <w:t xml:space="preserve">(a)  </w:t>
      </w:r>
      <w:r>
        <w:rPr>
          <w:b w:val="0"/>
          <w:i w:val="0"/>
        </w:rPr>
        <w:t>“Incident” means any unplanned interruption or degradation of service or a network fault reported or detected.</w:t>
      </w:r>
    </w:p>
    <w:p>
      <w:pPr>
        <w:ind w:left="504"/>
      </w:pPr>
      <w:r>
        <w:rPr>
          <w:b/>
        </w:rPr>
        <w:t xml:space="preserve">(b)  </w:t>
      </w:r>
      <w:r>
        <w:rPr>
          <w:b w:val="0"/>
          <w:i w:val="0"/>
        </w:rPr>
        <w:t>“Response Time” means the interval from Incident detection/report to acknowledgment by the operator's NOC.</w:t>
      </w:r>
    </w:p>
    <w:p>
      <w:pPr>
        <w:ind w:left="504"/>
      </w:pPr>
      <w:r>
        <w:rPr>
          <w:b/>
        </w:rPr>
        <w:t xml:space="preserve">(c)  </w:t>
      </w:r>
      <w:r>
        <w:rPr>
          <w:b w:val="0"/>
          <w:i w:val="0"/>
        </w:rPr>
        <w:t>“Dispatch Time” means the interval from acknowledgment to dispatch of qualified field personnel where a truck roll is required.</w:t>
      </w:r>
    </w:p>
    <w:p>
      <w:pPr>
        <w:ind w:left="504"/>
      </w:pPr>
      <w:r>
        <w:rPr>
          <w:b/>
        </w:rPr>
        <w:t xml:space="preserve">(d)  </w:t>
      </w:r>
      <w:r>
        <w:rPr>
          <w:b w:val="0"/>
          <w:i w:val="0"/>
        </w:rPr>
        <w:t>“Restore/Resolve Time” means the interval from detection to restoration of service or resolution of the Incident.</w:t>
      </w:r>
    </w:p>
    <w:p>
      <w:pPr>
        <w:ind w:left="504"/>
      </w:pPr>
      <w:r>
        <w:rPr>
          <w:b/>
        </w:rPr>
        <w:t xml:space="preserve">(e)  </w:t>
      </w:r>
      <w:r>
        <w:rPr>
          <w:b w:val="0"/>
          <w:i w:val="0"/>
        </w:rPr>
        <w:t>“Availability” means the percentage of time the Tribal Network is available in a calendar month, excluding Excused Outages.</w:t>
      </w:r>
    </w:p>
    <w:p>
      <w:pPr>
        <w:ind w:left="504"/>
      </w:pPr>
      <w:r>
        <w:rPr>
          <w:b/>
        </w:rPr>
        <w:t xml:space="preserve">(f)  </w:t>
      </w:r>
      <w:r>
        <w:rPr>
          <w:b w:val="0"/>
          <w:i w:val="0"/>
        </w:rPr>
        <w:t>“NOC” means the network operations center, staffed 24 hours per day, 7 days per week, 365 days per year.</w:t>
      </w:r>
    </w:p>
    <w:p>
      <w:pPr>
        <w:spacing w:before="200" w:after="80"/>
      </w:pPr>
      <w:r>
        <w:rPr>
          <w:b/>
          <w:color w:val="1F3864"/>
          <w:sz w:val="24"/>
        </w:rPr>
        <w:t>2.  SEVERITY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88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Dispatch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Restore / Resolve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P1 — Critical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  <w:t>Total outage / multiple subscribers or critical facility down; public-safety impact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 min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 hr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 hr</w:t>
            </w:r>
          </w:p>
        </w:tc>
      </w:tr>
      <w:tr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P2 — Major</w:t>
            </w:r>
          </w:p>
        </w:tc>
        <w:tc>
          <w:tcPr>
            <w:tcW w:type="dxa" w:w="388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Significant degradation or single-site outage; partial service loss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 hr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 hr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P3 — Minor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  <w:t>Isolated/limited-impact fault; service degraded but usable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 hr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 hr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 days</w:t>
            </w:r>
          </w:p>
        </w:tc>
      </w:tr>
      <w:tr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P4 — Low</w:t>
            </w:r>
          </w:p>
        </w:tc>
        <w:tc>
          <w:tcPr>
            <w:tcW w:type="dxa" w:w="388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Cosmetic, informational, or scheduled work; no service impact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 hr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as scheduled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 days</w:t>
            </w:r>
          </w:p>
        </w:tc>
      </w:tr>
    </w:tbl>
    <w:p>
      <w:pPr>
        <w:spacing w:before="200" w:after="80"/>
      </w:pPr>
      <w:r>
        <w:rPr>
          <w:b/>
          <w:color w:val="1F3864"/>
          <w:sz w:val="24"/>
        </w:rPr>
        <w:t>3. 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sz w:val="18"/>
              </w:rPr>
              <w:t>Network Availability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99.9%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sz w:val="18"/>
              </w:rPr>
              <w:t>Monthly, excluding Excused Outages.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Latency (round-trip)</w:t>
            </w:r>
          </w:p>
        </w:tc>
        <w:tc>
          <w:tcPr>
            <w:tcW w:type="dxa" w:w="23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≤ 100 ms</w:t>
            </w:r>
          </w:p>
        </w:tc>
        <w:tc>
          <w:tcPr>
            <w:tcW w:type="dxa" w:w="432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Measured across the defined core path.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sz w:val="18"/>
              </w:rPr>
              <w:t>Packet Loss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≤ 0.1%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sz w:val="18"/>
              </w:rPr>
              <w:t>Monthly average.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Jitter</w:t>
            </w:r>
          </w:p>
        </w:tc>
        <w:tc>
          <w:tcPr>
            <w:tcW w:type="dxa" w:w="23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≤ 30 ms</w:t>
            </w:r>
          </w:p>
        </w:tc>
        <w:tc>
          <w:tcPr>
            <w:tcW w:type="dxa" w:w="432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Monthly average.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sz w:val="18"/>
              </w:rPr>
              <w:t>NOC Coverage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 hours per day, 7 days per week, 365 days per year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sz w:val="18"/>
              </w:rPr>
              <w:t>Staffed monitoring and incident intake.</w:t>
            </w:r>
          </w:p>
        </w:tc>
      </w:tr>
    </w:tbl>
    <w:p>
      <w:pPr>
        <w:ind w:left="504"/>
      </w:pPr>
      <w:r>
        <w:rPr>
          <w:b/>
          <w:color w:val="007000"/>
        </w:rPr>
        <w:t xml:space="preserve">[TECHNICAL INFORMATION REQUIRED]  </w:t>
      </w:r>
      <w:r>
        <w:rPr>
          <w:i/>
          <w:color w:val="595959"/>
        </w:rPr>
        <w:t>Confirm measurement reference points, test paths, and instrumentation with the engineering exhibits.</w:t>
      </w:r>
    </w:p>
    <w:p>
      <w:pPr>
        <w:spacing w:before="200" w:after="80"/>
      </w:pPr>
      <w:r>
        <w:rPr>
          <w:b/>
          <w:color w:val="1F3864"/>
          <w:sz w:val="24"/>
        </w:rPr>
        <w:t>4.  MEASUREMENT METHODS</w:t>
      </w:r>
    </w:p>
    <w:p>
      <w:pPr>
        <w:pStyle w:val="ListBullet"/>
      </w:pPr>
      <w:r>
        <w:rPr>
          <w:b w:val="0"/>
          <w:i w:val="0"/>
        </w:rPr>
        <w:t>Availability, latency, packet loss, and jitter are measured by the operator's monitoring systems at agreed reference points, on a calendar-month basis.</w:t>
      </w:r>
    </w:p>
    <w:p>
      <w:pPr>
        <w:pStyle w:val="ListBullet"/>
      </w:pPr>
      <w:r>
        <w:rPr>
          <w:b w:val="0"/>
          <w:i w:val="0"/>
        </w:rPr>
        <w:t>Incident timestamps are taken from the NOC ticketing system; clocks synchronized to a common time source.</w:t>
      </w:r>
    </w:p>
    <w:p>
      <w:pPr>
        <w:pStyle w:val="ListBullet"/>
      </w:pPr>
      <w:r>
        <w:rPr>
          <w:b w:val="0"/>
          <w:i w:val="0"/>
        </w:rPr>
        <w:t xml:space="preserve">Methods and reference points are defined in the engineering exhibits and Schedule </w:t>
      </w:r>
      <w:r>
        <w:rPr>
          <w:b w:val="0"/>
          <w:i w:val="0"/>
          <w:color w:val="804000"/>
          <w:highlight w:val="yellow"/>
        </w:rPr>
        <w:t>[■ S6]</w:t>
      </w:r>
      <w:r>
        <w:rPr>
          <w:b w:val="0"/>
          <w:i w:val="0"/>
        </w:rPr>
        <w:t xml:space="preserve">. </w:t>
      </w:r>
      <w:r>
        <w:rPr>
          <w:b/>
          <w:i w:val="0"/>
          <w:color w:val="007000"/>
        </w:rPr>
        <w:t>[TECHNICAL INFORMATION REQUIRED]</w:t>
      </w:r>
    </w:p>
    <w:p>
      <w:pPr>
        <w:spacing w:before="200" w:after="80"/>
      </w:pPr>
      <w:r>
        <w:rPr>
          <w:b/>
          <w:color w:val="1F3864"/>
          <w:sz w:val="24"/>
        </w:rPr>
        <w:t>5.  EXCLUSIONS (EXCUSED OUTAGES)</w:t>
      </w:r>
    </w:p>
    <w:p>
      <w:pPr>
        <w:pStyle w:val="ListBullet"/>
      </w:pPr>
      <w:r>
        <w:rPr>
          <w:b w:val="0"/>
          <w:i w:val="0"/>
        </w:rPr>
        <w:t>Scheduled/emergency maintenance within an agreed maintenance window and notice.</w:t>
      </w:r>
    </w:p>
    <w:p>
      <w:pPr>
        <w:pStyle w:val="ListBullet"/>
      </w:pPr>
      <w:r>
        <w:rPr>
          <w:b w:val="0"/>
          <w:i w:val="0"/>
        </w:rPr>
        <w:t>Force majeure events.</w:t>
      </w:r>
    </w:p>
    <w:p>
      <w:pPr>
        <w:pStyle w:val="ListBullet"/>
      </w:pPr>
      <w:r>
        <w:rPr>
          <w:b w:val="0"/>
          <w:i w:val="0"/>
        </w:rPr>
        <w:t>Outages caused by the Lumbee Tribe, subscribers, or third parties not under the operator's control, including third-party power or LREMC-owned facility failures outside the operator's responsibility.</w:t>
      </w:r>
    </w:p>
    <w:p>
      <w:pPr>
        <w:pStyle w:val="ListBullet"/>
      </w:pPr>
      <w:r>
        <w:rPr>
          <w:b w:val="0"/>
          <w:i w:val="0"/>
        </w:rPr>
        <w:t>Subscriber premises equipment or inside-wiring faults.</w:t>
      </w:r>
    </w:p>
    <w:p>
      <w:pPr>
        <w:spacing w:before="200" w:after="80"/>
      </w:pPr>
      <w:r>
        <w:rPr>
          <w:b/>
          <w:color w:val="1F3864"/>
          <w:sz w:val="24"/>
        </w:rPr>
        <w:t>6.  REPORTING</w:t>
      </w:r>
    </w:p>
    <w:p>
      <w:pPr>
        <w:pStyle w:val="ListBullet"/>
      </w:pPr>
      <w:r>
        <w:rPr>
          <w:b w:val="0"/>
          <w:i w:val="0"/>
        </w:rPr>
        <w:t>Monthly service-level report within [BUSINESS DECISION REQUIRED: e.g., 10] business days of month-end, covering each metric, Incident log, and credits due.</w:t>
      </w:r>
    </w:p>
    <w:p>
      <w:pPr>
        <w:pStyle w:val="ListBullet"/>
      </w:pPr>
      <w:r>
        <w:rPr>
          <w:b w:val="0"/>
          <w:i w:val="0"/>
        </w:rPr>
        <w:t>Prompt notification of P1/P2 Incidents to the Tribe's designated contact.</w:t>
      </w:r>
    </w:p>
    <w:p>
      <w:pPr>
        <w:pStyle w:val="ListBullet"/>
      </w:pPr>
      <w:r>
        <w:rPr>
          <w:b w:val="0"/>
          <w:i w:val="0"/>
        </w:rPr>
        <w:t>Quarterly review meeting and trend analysis.</w:t>
      </w:r>
    </w:p>
    <w:p>
      <w:pPr>
        <w:spacing w:before="200" w:after="80"/>
      </w:pPr>
      <w:r>
        <w:rPr>
          <w:b/>
          <w:color w:val="1F3864"/>
          <w:sz w:val="24"/>
        </w:rPr>
        <w:t>7.  CHRONIC-FAILURE RULES</w:t>
      </w:r>
    </w:p>
    <w:p>
      <w:r>
        <w:rPr>
          <w:b w:val="0"/>
          <w:i w:val="0"/>
        </w:rPr>
        <w:t>A chronic failure occurs when the operator misses the same service level for [BUSINESS DECISION REQUIRED: e.g., three (3)] consecutive months, or for [BUSINESS DECISION REQUIRED: e.g., any four (4)] months in a rolling twelve (12)-month period.</w:t>
      </w:r>
    </w:p>
    <w:p>
      <w:pPr>
        <w:pStyle w:val="ListBullet"/>
      </w:pPr>
      <w:r>
        <w:rPr>
          <w:b w:val="0"/>
          <w:i w:val="0"/>
        </w:rPr>
        <w:t>Chronic failure triggers a root-cause analysis and a corrective-action plan.</w:t>
      </w:r>
    </w:p>
    <w:p>
      <w:pPr>
        <w:pStyle w:val="ListBullet"/>
      </w:pPr>
      <w:r>
        <w:rPr>
          <w:b w:val="0"/>
          <w:i w:val="0"/>
        </w:rPr>
        <w:t xml:space="preserve">Uncured chronic failure is an escalation/step-in and default trigger under the Network Operations, Maintenance, and Lifecycle Agreement and the Continuity, Step-In, Termination Assistance, and Transition Agreement. </w:t>
      </w:r>
      <w:r>
        <w:rPr>
          <w:b/>
          <w:i w:val="0"/>
          <w:color w:val="0000C0"/>
        </w:rPr>
        <w:t>[ATTORNEY REVIEW REQUIRED]</w:t>
      </w:r>
    </w:p>
    <w:p>
      <w:pPr>
        <w:spacing w:before="200" w:after="80"/>
      </w:pPr>
      <w:r>
        <w:rPr>
          <w:b/>
          <w:color w:val="1F3864"/>
          <w:sz w:val="24"/>
        </w:rPr>
        <w:t>8.  REMEDIES / SERVICE CREDITS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Missed Level</w:t>
            </w:r>
          </w:p>
        </w:tc>
        <w:tc>
          <w:tcPr>
            <w:tcW w:type="dxa" w:w="547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 Credit (placeholder)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0"/>
                <w:i w:val="0"/>
                <w:sz w:val="18"/>
              </w:rPr>
              <w:t>Availability below target</w:t>
            </w:r>
          </w:p>
        </w:tc>
        <w:tc>
          <w:tcPr>
            <w:tcW w:type="dxa" w:w="5472"/>
            <w:vAlign w:val="center"/>
          </w:tcPr>
          <w:p>
            <w:r>
              <w:rPr>
                <w:b w:val="0"/>
                <w:i w:val="0"/>
                <w:color w:val="804000"/>
                <w:sz w:val="18"/>
                <w:highlight w:val="yellow"/>
              </w:rPr>
              <w:t>[■ X]</w:t>
            </w:r>
            <w:r>
              <w:rPr>
                <w:b w:val="0"/>
                <w:i w:val="0"/>
                <w:sz w:val="18"/>
              </w:rPr>
              <w:t>% of the monthly per-Active-Subscriber payment per affected subscriber</w:t>
            </w:r>
          </w:p>
        </w:tc>
      </w:tr>
      <w:tr>
        <w:tc>
          <w:tcPr>
            <w:tcW w:type="dxa" w:w="374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P1 restore-time miss</w:t>
            </w:r>
          </w:p>
        </w:tc>
        <w:tc>
          <w:tcPr>
            <w:tcW w:type="dxa" w:w="5472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8"/>
                <w:highlight w:val="yellow"/>
              </w:rPr>
              <w:t>[■ X]</w:t>
            </w:r>
            <w:r>
              <w:rPr>
                <w:b w:val="0"/>
                <w:i w:val="0"/>
                <w:sz w:val="18"/>
              </w:rPr>
              <w:t>% credit per missed Incident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0"/>
                <w:i w:val="0"/>
                <w:sz w:val="18"/>
              </w:rPr>
              <w:t>P2 restore-time miss</w:t>
            </w:r>
          </w:p>
        </w:tc>
        <w:tc>
          <w:tcPr>
            <w:tcW w:type="dxa" w:w="5472"/>
            <w:vAlign w:val="center"/>
          </w:tcPr>
          <w:p>
            <w:r>
              <w:rPr>
                <w:b w:val="0"/>
                <w:i w:val="0"/>
                <w:color w:val="804000"/>
                <w:sz w:val="18"/>
                <w:highlight w:val="yellow"/>
              </w:rPr>
              <w:t>[■ X]</w:t>
            </w:r>
            <w:r>
              <w:rPr>
                <w:b w:val="0"/>
                <w:i w:val="0"/>
                <w:sz w:val="18"/>
              </w:rPr>
              <w:t>% credit per missed Incident</w:t>
            </w:r>
          </w:p>
        </w:tc>
      </w:tr>
      <w:tr>
        <w:tc>
          <w:tcPr>
            <w:tcW w:type="dxa" w:w="374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Chronic failure</w:t>
            </w:r>
          </w:p>
        </w:tc>
        <w:tc>
          <w:tcPr>
            <w:tcW w:type="dxa" w:w="547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escalated credit and/or step-in per Continuity, Step-In, Termination Assistance, and Transition Agreement</w:t>
            </w:r>
          </w:p>
        </w:tc>
      </w:tr>
    </w:tbl>
    <w:p>
      <w:pPr>
        <w:ind w:left="504"/>
      </w:pPr>
      <w:r>
        <w:rPr>
          <w:b/>
          <w:color w:val="C00000"/>
        </w:rPr>
        <w:t xml:space="preserve">[BUSINESS DECISION REQUIRED]  </w:t>
      </w:r>
      <w:r>
        <w:rPr>
          <w:i/>
          <w:color w:val="595959"/>
        </w:rPr>
        <w:t>Credit percentages, caps, and whether credits are the sole monetary remedy are business decisions to be finalized.</w:t>
      </w:r>
    </w:p>
    <w:p>
      <w:r>
        <w:rPr>
          <w:b w:val="0"/>
          <w:i w:val="0"/>
        </w:rPr>
        <w:t xml:space="preserve">Service credits are calculated against the $[X] per Active Subscriber per month model and reconciled in the monthly report. Nothing in this Schedule authorizes any act inconsistent with the Award or applicable federal law. </w:t>
      </w:r>
      <w:r>
        <w:rPr>
          <w:b/>
          <w:i w:val="0"/>
          <w:color w:val="7F007F"/>
        </w:rPr>
        <w:t>[GRANT COMPLIANCE REVIEW REQUIRED]</w:t>
      </w:r>
    </w:p>
    <w:p/>
    <w:p>
      <w:r>
        <w:rPr>
          <w:b/>
          <w:color w:val="C00000"/>
        </w:rPr>
        <w:t xml:space="preserve">DISCLAIMER.  </w:t>
      </w:r>
      <w:r>
        <w:rPr>
          <w:b w:val="0"/>
          <w:i w:val="0"/>
        </w:rPr>
        <w:t xml:space="preserve">This document is a preliminary working draft prepared without a controlling TBCP award or source documents. The provisional baseline is the TBCP Round 2 Notice of Funding Opportunity, as amended March 2024 (PROVISIONAL BASELINE). Round 3 is the live TBCP round as of the version date; the controlling round and executed award must be confirmed before any definitive clause is finalized. Nothing in this document constitutes final legal advice, a binding commitment, or a representation that any award, approval, consent, resolution, or vote has been obtained; all such items remain to be confirmed. All highlighted placeholders and every </w:t>
      </w:r>
      <w:r>
        <w:rPr>
          <w:b/>
          <w:i w:val="0"/>
          <w:color w:val="C00000"/>
        </w:rPr>
        <w:t>[BUSINESS DECISION REQUIRED]</w:t>
      </w:r>
      <w:r>
        <w:rPr>
          <w:b w:val="0"/>
          <w:i w:val="0"/>
        </w:rPr>
        <w:t xml:space="preserve">, </w:t>
      </w:r>
      <w:r>
        <w:rPr>
          <w:b/>
          <w:i w:val="0"/>
          <w:color w:val="0000C0"/>
        </w:rPr>
        <w:t>[ATTORNEY REVIEW REQUIRED]</w:t>
      </w:r>
      <w:r>
        <w:rPr>
          <w:b w:val="0"/>
          <w:i w:val="0"/>
        </w:rPr>
        <w:t xml:space="preserve">, </w:t>
      </w:r>
      <w:r>
        <w:rPr>
          <w:b/>
          <w:i w:val="0"/>
          <w:color w:val="7F007F"/>
        </w:rPr>
        <w:t>[GRANT COMPLIANCE REVIEW REQUIRED]</w:t>
      </w:r>
      <w:r>
        <w:rPr>
          <w:b w:val="0"/>
          <w:i w:val="0"/>
        </w:rPr>
        <w:t xml:space="preserve">, and </w:t>
      </w:r>
      <w:r>
        <w:rPr>
          <w:b/>
          <w:i w:val="0"/>
          <w:color w:val="007000"/>
        </w:rPr>
        <w:t>[TECHNICAL INFORMATION REQUIRED]</w:t>
      </w:r>
      <w:r>
        <w:rPr>
          <w:b w:val="0"/>
          <w:i w:val="0"/>
        </w:rPr>
        <w:t xml:space="preserve"> item must be resolved by qualified Tribal counsel, grant advisors, and financial/insurance professionals before execution. PRELIMINARY DRAFT – SUBJECT TO LEGAL, GRANT AND FINANCIAL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Preliminary Draft v0.1 | September 26,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Service Level Schedule  —  PRELIMINARY DRAFT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