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S10 — Approved Commercial Capacity, Non-Project Use, Non-Tribal Customers, Valuation, and Cost Allocation</w:t>
      </w:r>
    </w:p>
    <w:p>
      <w:pPr>
        <w:jc w:val="center"/>
      </w:pPr>
      <w:r>
        <w:rPr>
          <w:b/>
          <w:color w:val="1F3864"/>
          <w:sz w:val="48"/>
        </w:rPr>
        <w:t>Approved Commercial Capacity, Non-Project Use, Non-Tribal Customers, Valuation, and Cost Allocation</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S10 (Approved Commercial Capacity, Non-Project Use, Non-Tribal Customers, Valuation, and Cost Allocation)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pPr>
        <w:pStyle w:val="Heading1"/>
        <w:spacing w:before="240" w:after="120"/>
      </w:pPr>
      <w:r>
        <w:rPr>
          <w:rFonts w:ascii="Calibri" w:hAnsi="Calibri"/>
          <w:b/>
          <w:color w:val="1F3864"/>
          <w:sz w:val="26"/>
        </w:rPr>
        <w:t>ARTICLE 1.  APPROVED COMMERCIAL CAPACITY</w:t>
      </w:r>
    </w:p>
    <w:p>
      <w:r>
        <w:rPr>
          <w:b w:val="0"/>
          <w:i w:val="0"/>
        </w:rPr>
        <w:t>Any commercial or non-project use of the Grant-Funded Assets is permitted ONLY where all of the following conditions are satisfied:</w:t>
      </w:r>
    </w:p>
    <w:p>
      <w:pPr>
        <w:pStyle w:val="ListBullet"/>
      </w:pPr>
      <w:r>
        <w:rPr>
          <w:b w:val="0"/>
          <w:i w:val="0"/>
        </w:rPr>
        <w:t>the use is within the approved geography (Approved Project Area) or otherwise expressly permitted by the award</w:t>
      </w:r>
    </w:p>
    <w:p>
      <w:pPr>
        <w:pStyle w:val="ListBullet"/>
      </w:pPr>
      <w:r>
        <w:rPr>
          <w:b w:val="0"/>
          <w:i w:val="0"/>
        </w:rPr>
        <w:t>the use is consistent with the controlling award and any written NTIA/DOC direction</w:t>
      </w:r>
    </w:p>
    <w:p>
      <w:pPr>
        <w:pStyle w:val="ListBullet"/>
      </w:pPr>
      <w:r>
        <w:rPr>
          <w:b w:val="0"/>
          <w:i w:val="0"/>
        </w:rPr>
        <w:t>cost allocation is documented so grant-funded capacity is not subsidized by the federal award (2 CFR 200.307 (Program income); 2 CFR Part 200, Subpart E (Cost Principles — allowability, allocability, reasonableness))</w:t>
      </w:r>
    </w:p>
    <w:p>
      <w:pPr>
        <w:pStyle w:val="ListBullet"/>
      </w:pPr>
      <w:r>
        <w:rPr>
          <w:b w:val="0"/>
          <w:i w:val="0"/>
        </w:rPr>
        <w:t>federal-property use restrictions are honored (2 CFR 200.311 (Real property — use, encumbrance, and disposition); 2 CFR 200.315 (Intangible property))</w:t>
      </w:r>
    </w:p>
    <w:p>
      <w:pPr>
        <w:pStyle w:val="ListBullet"/>
      </w:pPr>
      <w:r>
        <w:rPr>
          <w:b w:val="0"/>
          <w:i w:val="0"/>
        </w:rPr>
        <w:t>written agency direction is obtained where required</w:t>
      </w:r>
    </w:p>
    <w:p>
      <w:pPr>
        <w:ind w:left="504"/>
      </w:pPr>
      <w:r>
        <w:rPr>
          <w:b/>
          <w:color w:val="7F007F"/>
        </w:rPr>
        <w:t xml:space="preserve">[GRANT COMPLIANCE REVIEW REQUIRED]  </w:t>
      </w:r>
      <w:r>
        <w:rPr>
          <w:i/>
          <w:color w:val="595959"/>
        </w:rPr>
        <w:t>Grant-funded capacity is NEVER provided free. Any commercial use must be priced and cost-allocated, and program-income treatment determined against the controlling award.</w:t>
      </w:r>
    </w:p>
    <w:p>
      <w:pPr>
        <w:pStyle w:val="Heading1"/>
        <w:spacing w:before="240" w:after="120"/>
      </w:pPr>
      <w:r>
        <w:rPr>
          <w:rFonts w:ascii="Calibri" w:hAnsi="Calibri"/>
          <w:b/>
          <w:color w:val="1F3864"/>
          <w:sz w:val="26"/>
        </w:rPr>
        <w:t>ARTICLE 2.  NON-PROJECT VS. OUT-OF-SCOPE USE</w:t>
      </w:r>
    </w:p>
    <w:p>
      <w:pPr>
        <w:pStyle w:val="Heading2"/>
        <w:spacing w:before="160" w:after="60"/>
      </w:pPr>
      <w:r>
        <w:rPr>
          <w:rFonts w:ascii="Calibri" w:hAnsi="Calibri"/>
          <w:b/>
          <w:color w:val="000000"/>
          <w:sz w:val="22"/>
        </w:rPr>
        <w:t>2.1  Non-Tribal Occupant at an Approved Location</w:t>
      </w:r>
    </w:p>
    <w:p>
      <w:r>
        <w:rPr>
          <w:b w:val="0"/>
          <w:i w:val="0"/>
        </w:rPr>
        <w:t>A non-Tribal customer or occupant AT an approved, eligible location (e.g., a renter, business, or anchor within the Approved Project Area) is a permitted retail relationship, not an out-of-scope extension, provided the location itself is award-eligible.</w:t>
      </w:r>
    </w:p>
    <w:p>
      <w:pPr>
        <w:pStyle w:val="Heading2"/>
        <w:spacing w:before="160" w:after="60"/>
      </w:pPr>
      <w:r>
        <w:rPr>
          <w:rFonts w:ascii="Calibri" w:hAnsi="Calibri"/>
          <w:b/>
          <w:color w:val="000000"/>
          <w:sz w:val="22"/>
        </w:rPr>
        <w:t>2.2  Out-of-Scope Extension</w:t>
      </w:r>
    </w:p>
    <w:p>
      <w:r>
        <w:rPr>
          <w:b w:val="0"/>
          <w:i w:val="0"/>
        </w:rPr>
        <w:t xml:space="preserve">Extending the network to serve locations or areas OUTSIDE the approved scope is an out-of-scope use that requires separate authority, separate (non-grant) funding, documented cost allocation, and written agency direction where required. </w:t>
      </w:r>
      <w:r>
        <w:rPr>
          <w:b w:val="0"/>
          <w:i w:val="0"/>
          <w:color w:val="804000"/>
          <w:highlight w:val="yellow"/>
        </w:rPr>
        <w:t>[■ out-of-scope extension policy]</w:t>
      </w:r>
      <w:r>
        <w:rPr>
          <w:b w:val="0"/>
          <w:i w:val="0"/>
        </w:rPr>
        <w:t>.</w:t>
      </w:r>
    </w:p>
    <w:p>
      <w:pPr>
        <w:ind w:left="504"/>
      </w:pPr>
      <w:r>
        <w:rPr>
          <w:b/>
          <w:color w:val="7F007F"/>
        </w:rPr>
        <w:t xml:space="preserve">[GRANT COMPLIANCE REVIEW REQUIRED]  </w:t>
      </w:r>
      <w:r>
        <w:rPr>
          <w:i/>
          <w:color w:val="595959"/>
        </w:rPr>
        <w:t>Distinguish (a) a non-Tribal occupant at an approved location [permitted] from (b) an out-of-scope geographic extension [requires separate authority and non-grant funding].</w:t>
      </w:r>
    </w:p>
    <w:p>
      <w:pPr>
        <w:pStyle w:val="Heading1"/>
        <w:spacing w:before="240" w:after="120"/>
      </w:pPr>
      <w:r>
        <w:rPr>
          <w:rFonts w:ascii="Calibri" w:hAnsi="Calibri"/>
          <w:b/>
          <w:color w:val="1F3864"/>
          <w:sz w:val="26"/>
        </w:rPr>
        <w:t>ARTICLE 3.  VALUATION AND COST ALLOCATION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3864"/>
            <w:vAlign w:val="center"/>
          </w:tcPr>
          <w:p>
            <w:pPr>
              <w:jc w:val="center"/>
            </w:pPr>
            <w:r>
              <w:rPr>
                <w:b/>
                <w:color w:val="FFFFFF"/>
                <w:sz w:val="18"/>
              </w:rPr>
              <w:t>Element</w:t>
            </w:r>
          </w:p>
        </w:tc>
        <w:tc>
          <w:tcPr>
            <w:tcW w:type="dxa" w:w="4320"/>
            <w:shd w:val="clear" w:color="auto" w:fill="1F3864"/>
            <w:vAlign w:val="center"/>
          </w:tcPr>
          <w:p>
            <w:pPr>
              <w:jc w:val="center"/>
            </w:pPr>
            <w:r>
              <w:rPr>
                <w:b/>
                <w:color w:val="FFFFFF"/>
                <w:sz w:val="18"/>
              </w:rPr>
              <w:t>Method / Basis</w:t>
            </w:r>
          </w:p>
        </w:tc>
        <w:tc>
          <w:tcPr>
            <w:tcW w:type="dxa" w:w="1872"/>
            <w:shd w:val="clear" w:color="auto" w:fill="1F3864"/>
            <w:vAlign w:val="center"/>
          </w:tcPr>
          <w:p>
            <w:pPr>
              <w:jc w:val="center"/>
            </w:pPr>
            <w:r>
              <w:rPr>
                <w:b/>
                <w:color w:val="FFFFFF"/>
                <w:sz w:val="18"/>
              </w:rPr>
              <w:t>Value</w:t>
            </w:r>
          </w:p>
        </w:tc>
      </w:tr>
      <w:tr>
        <w:tc>
          <w:tcPr>
            <w:tcW w:type="dxa" w:w="3168"/>
            <w:vAlign w:val="center"/>
          </w:tcPr>
          <w:p>
            <w:r>
              <w:rPr>
                <w:b w:val="0"/>
                <w:i w:val="0"/>
                <w:sz w:val="18"/>
              </w:rPr>
              <w:t>Commercial capacity pricing</w:t>
            </w:r>
          </w:p>
        </w:tc>
        <w:tc>
          <w:tcPr>
            <w:tcW w:type="dxa" w:w="4320"/>
            <w:vAlign w:val="center"/>
          </w:tcPr>
          <w:p>
            <w:r>
              <w:rPr>
                <w:b w:val="0"/>
                <w:i w:val="0"/>
                <w:sz w:val="18"/>
              </w:rPr>
              <w:t>Market-based, cost-allocated</w:t>
            </w:r>
          </w:p>
        </w:tc>
        <w:tc>
          <w:tcPr>
            <w:tcW w:type="dxa" w:w="1872"/>
            <w:vAlign w:val="center"/>
          </w:tcPr>
          <w:p>
            <w:r>
              <w:rPr>
                <w:b w:val="0"/>
                <w:i w:val="0"/>
                <w:color w:val="804000"/>
                <w:sz w:val="18"/>
                <w:highlight w:val="yellow"/>
              </w:rPr>
              <w:t>[■ price / rate]</w:t>
            </w:r>
          </w:p>
        </w:tc>
      </w:tr>
      <w:tr>
        <w:tc>
          <w:tcPr>
            <w:tcW w:type="dxa" w:w="3168"/>
            <w:shd w:val="clear" w:color="auto" w:fill="F2F2F2"/>
            <w:vAlign w:val="center"/>
          </w:tcPr>
          <w:p>
            <w:r>
              <w:rPr>
                <w:b w:val="0"/>
                <w:i w:val="0"/>
                <w:sz w:val="18"/>
              </w:rPr>
              <w:t>Cost allocation methodology</w:t>
            </w:r>
          </w:p>
        </w:tc>
        <w:tc>
          <w:tcPr>
            <w:tcW w:type="dxa" w:w="4320"/>
            <w:shd w:val="clear" w:color="auto" w:fill="F2F2F2"/>
            <w:vAlign w:val="center"/>
          </w:tcPr>
          <w:p>
            <w:r>
              <w:rPr>
                <w:b w:val="0"/>
                <w:i w:val="0"/>
                <w:sz w:val="18"/>
              </w:rPr>
              <w:t>Documented allocation base per 2 CFR 200 Subpart E</w:t>
            </w:r>
          </w:p>
        </w:tc>
        <w:tc>
          <w:tcPr>
            <w:tcW w:type="dxa" w:w="1872"/>
            <w:shd w:val="clear" w:color="auto" w:fill="F2F2F2"/>
            <w:vAlign w:val="center"/>
          </w:tcPr>
          <w:p>
            <w:r>
              <w:rPr>
                <w:b w:val="0"/>
                <w:i w:val="0"/>
                <w:color w:val="804000"/>
                <w:sz w:val="18"/>
                <w:highlight w:val="yellow"/>
              </w:rPr>
              <w:t>[■ methodology]</w:t>
            </w:r>
          </w:p>
        </w:tc>
      </w:tr>
      <w:tr>
        <w:tc>
          <w:tcPr>
            <w:tcW w:type="dxa" w:w="3168"/>
            <w:vAlign w:val="center"/>
          </w:tcPr>
          <w:p>
            <w:r>
              <w:rPr>
                <w:b w:val="0"/>
                <w:i w:val="0"/>
                <w:sz w:val="18"/>
              </w:rPr>
              <w:t>Program-income treatment</w:t>
            </w:r>
          </w:p>
        </w:tc>
        <w:tc>
          <w:tcPr>
            <w:tcW w:type="dxa" w:w="4320"/>
            <w:vAlign w:val="center"/>
          </w:tcPr>
          <w:p>
            <w:r>
              <w:rPr>
                <w:b w:val="0"/>
                <w:i w:val="0"/>
                <w:sz w:val="18"/>
              </w:rPr>
              <w:t>Per award determination (200.307)</w:t>
            </w:r>
          </w:p>
        </w:tc>
        <w:tc>
          <w:tcPr>
            <w:tcW w:type="dxa" w:w="1872"/>
            <w:vAlign w:val="center"/>
          </w:tcPr>
          <w:p>
            <w:r>
              <w:rPr>
                <w:b w:val="0"/>
                <w:i w:val="0"/>
                <w:color w:val="804000"/>
                <w:sz w:val="18"/>
                <w:highlight w:val="yellow"/>
              </w:rPr>
              <w:t>[■ determination]</w:t>
            </w:r>
          </w:p>
        </w:tc>
      </w:tr>
      <w:tr>
        <w:tc>
          <w:tcPr>
            <w:tcW w:type="dxa" w:w="3168"/>
            <w:shd w:val="clear" w:color="auto" w:fill="F2F2F2"/>
            <w:vAlign w:val="center"/>
          </w:tcPr>
          <w:p>
            <w:r>
              <w:rPr>
                <w:b w:val="0"/>
                <w:i w:val="0"/>
                <w:sz w:val="18"/>
              </w:rPr>
              <w:t>Approval / documentation</w:t>
            </w:r>
          </w:p>
        </w:tc>
        <w:tc>
          <w:tcPr>
            <w:tcW w:type="dxa" w:w="4320"/>
            <w:shd w:val="clear" w:color="auto" w:fill="F2F2F2"/>
            <w:vAlign w:val="center"/>
          </w:tcPr>
          <w:p>
            <w:r>
              <w:rPr>
                <w:b w:val="0"/>
                <w:i w:val="0"/>
                <w:sz w:val="18"/>
              </w:rPr>
              <w:t>Written agency direction where required</w:t>
            </w:r>
          </w:p>
        </w:tc>
        <w:tc>
          <w:tcPr>
            <w:tcW w:type="dxa" w:w="1872"/>
            <w:shd w:val="clear" w:color="auto" w:fill="F2F2F2"/>
            <w:vAlign w:val="center"/>
          </w:tcPr>
          <w:p>
            <w:r>
              <w:rPr>
                <w:b w:val="0"/>
                <w:i w:val="0"/>
                <w:color w:val="804000"/>
                <w:sz w:val="18"/>
                <w:highlight w:val="yellow"/>
              </w:rPr>
              <w:t>[■ status]</w:t>
            </w:r>
          </w:p>
        </w:tc>
      </w:tr>
    </w:tbl>
    <w:p>
      <w:pPr>
        <w:ind w:left="504"/>
      </w:pPr>
      <w:r>
        <w:rPr>
          <w:b/>
          <w:color w:val="C00000"/>
        </w:rPr>
        <w:t xml:space="preserve">[BUSINESS DECISION REQUIRED]  </w:t>
      </w:r>
      <w:r>
        <w:rPr>
          <w:i/>
          <w:color w:val="595959"/>
        </w:rPr>
        <w:t>Commercial capacity pricing and any wholesale/dark-fiber offering are business decisions requiring Tribe and RIVR Tech agreement.</w:t>
      </w:r>
    </w:p>
    <w:p>
      <w:pPr>
        <w:ind w:left="504"/>
      </w:pPr>
      <w:r>
        <w:rPr>
          <w:b/>
          <w:color w:val="0000C0"/>
        </w:rPr>
        <w:t xml:space="preserve">[ATTORNEY REVIEW REQUIRED]  </w:t>
      </w:r>
      <w:r>
        <w:rPr>
          <w:i/>
          <w:color w:val="595959"/>
        </w:rPr>
        <w:t>RIVR Tech Existing Network used to serve commercial demand remains RIVR Tech's and is never contributed free; keep it distinct from grant-funded capacity in every cost allocation.</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S10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