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SCHEDULE S11 — Data, Privacy, Cybersecurity, Supply-Chain Risk, Incident Response, and Disaster Recovery</w:t>
      </w:r>
    </w:p>
    <w:p>
      <w:pPr>
        <w:jc w:val="center"/>
      </w:pPr>
      <w:r>
        <w:rPr>
          <w:b/>
          <w:color w:val="1F3864"/>
          <w:sz w:val="48"/>
        </w:rPr>
        <w:t>Data, Privacy, Cybersecurity, Supply-Chain Risk, Incident Response, and Disaster Recovery</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r>
        <w:rPr>
          <w:b w:val="0"/>
          <w:i/>
        </w:rPr>
        <w:t>This is Schedule S11 (Data, Privacy, Cybersecurity, Supply-Chain Risk, Incident Response, and Disaster Recovery) to the Master TBCP Partnership and Implementation Agreement. Capitalized terms used and not otherwise defined in a document have the meanings given in Article 2 (Definitions) of the Master TBCP Partnership and Implementation Agreement, which is the single shared definitions source for the package.</w:t>
      </w:r>
    </w:p>
    <w:p>
      <w:r>
        <w:rPr>
          <w:b w:val="0"/>
          <w:i/>
        </w:rPr>
        <w:t>No commercial agreement, schedule, or form authorizes any act prohibited by, or inconsistent with, the Award or applicable federal law; in any conflict the higher-ranked instrument controls, and a lawful construction and service provision is not invalidated by a rejected IRU, exclusivity, payment, or commercial-use term (severability and reformation apply).</w:t>
      </w:r>
    </w:p>
    <w:p/>
    <w:p>
      <w:r>
        <w:rPr>
          <w:b w:val="0"/>
          <w:i/>
        </w:rPr>
        <w:t>This Schedule cross-refers to the Data Privacy, Cybersecurity, Supply-Chain Risk, and Business Continuity Addendum.</w:t>
      </w:r>
    </w:p>
    <w:p>
      <w:pPr>
        <w:pStyle w:val="Heading1"/>
        <w:spacing w:before="240" w:after="120"/>
      </w:pPr>
      <w:r>
        <w:rPr>
          <w:rFonts w:ascii="Calibri" w:hAnsi="Calibri"/>
          <w:b/>
          <w:color w:val="1F3864"/>
          <w:sz w:val="26"/>
        </w:rPr>
        <w:t>ARTICLE 1.  DATA CLASSIFICATION AND RIGHTS BY CATEGORY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736"/>
            <w:shd w:val="clear" w:color="auto" w:fill="1F3864"/>
            <w:vAlign w:val="center"/>
          </w:tcPr>
          <w:p>
            <w:pPr>
              <w:jc w:val="center"/>
            </w:pPr>
            <w:r>
              <w:rPr>
                <w:b/>
                <w:color w:val="FFFFFF"/>
                <w:sz w:val="18"/>
              </w:rPr>
              <w:t>Data Category</w:t>
            </w:r>
          </w:p>
        </w:tc>
        <w:tc>
          <w:tcPr>
            <w:tcW w:type="dxa" w:w="1440"/>
            <w:shd w:val="clear" w:color="auto" w:fill="1F3864"/>
            <w:vAlign w:val="center"/>
          </w:tcPr>
          <w:p>
            <w:pPr>
              <w:jc w:val="center"/>
            </w:pPr>
            <w:r>
              <w:rPr>
                <w:b/>
                <w:color w:val="FFFFFF"/>
                <w:sz w:val="18"/>
              </w:rPr>
              <w:t>Sensitivity</w:t>
            </w:r>
          </w:p>
        </w:tc>
        <w:tc>
          <w:tcPr>
            <w:tcW w:type="dxa" w:w="3168"/>
            <w:shd w:val="clear" w:color="auto" w:fill="1F3864"/>
            <w:vAlign w:val="center"/>
          </w:tcPr>
          <w:p>
            <w:pPr>
              <w:jc w:val="center"/>
            </w:pPr>
            <w:r>
              <w:rPr>
                <w:b/>
                <w:color w:val="FFFFFF"/>
                <w:sz w:val="18"/>
              </w:rPr>
              <w:t>Owner / Rights</w:t>
            </w:r>
          </w:p>
        </w:tc>
        <w:tc>
          <w:tcPr>
            <w:tcW w:type="dxa" w:w="3456"/>
            <w:shd w:val="clear" w:color="auto" w:fill="1F3864"/>
            <w:vAlign w:val="center"/>
          </w:tcPr>
          <w:p>
            <w:pPr>
              <w:jc w:val="center"/>
            </w:pPr>
            <w:r>
              <w:rPr>
                <w:b/>
                <w:color w:val="FFFFFF"/>
                <w:sz w:val="18"/>
              </w:rPr>
              <w:t>Handling</w:t>
            </w:r>
          </w:p>
        </w:tc>
      </w:tr>
      <w:tr>
        <w:tc>
          <w:tcPr>
            <w:tcW w:type="dxa" w:w="2736"/>
            <w:vAlign w:val="center"/>
          </w:tcPr>
          <w:p>
            <w:r>
              <w:rPr>
                <w:b w:val="0"/>
                <w:i w:val="0"/>
                <w:sz w:val="18"/>
              </w:rPr>
              <w:t>Subscriber PII / CPNI</w:t>
            </w:r>
          </w:p>
        </w:tc>
        <w:tc>
          <w:tcPr>
            <w:tcW w:type="dxa" w:w="1440"/>
            <w:vAlign w:val="center"/>
          </w:tcPr>
          <w:p>
            <w:r>
              <w:rPr>
                <w:b w:val="0"/>
                <w:i w:val="0"/>
                <w:sz w:val="18"/>
              </w:rPr>
              <w:t>High</w:t>
            </w:r>
          </w:p>
        </w:tc>
        <w:tc>
          <w:tcPr>
            <w:tcW w:type="dxa" w:w="3168"/>
            <w:vAlign w:val="center"/>
          </w:tcPr>
          <w:p>
            <w:r>
              <w:rPr>
                <w:b w:val="0"/>
                <w:i w:val="0"/>
                <w:sz w:val="18"/>
              </w:rPr>
              <w:t>Subscriber; steward per Retail Customer Service, Billing, Collections, and Subscriber Revenue Agreement</w:t>
            </w:r>
          </w:p>
        </w:tc>
        <w:tc>
          <w:tcPr>
            <w:tcW w:type="dxa" w:w="3456"/>
            <w:vAlign w:val="center"/>
          </w:tcPr>
          <w:p>
            <w:r>
              <w:rPr>
                <w:b w:val="0"/>
                <w:i w:val="0"/>
                <w:sz w:val="18"/>
              </w:rPr>
              <w:t>CPNI controls (47 U.S.C. § 222 and 47 CFR §§ 64.2001–64.2011 (Customer Proprietary Network Information))</w:t>
            </w:r>
          </w:p>
        </w:tc>
      </w:tr>
      <w:tr>
        <w:tc>
          <w:tcPr>
            <w:tcW w:type="dxa" w:w="2736"/>
            <w:shd w:val="clear" w:color="auto" w:fill="F2F2F2"/>
            <w:vAlign w:val="center"/>
          </w:tcPr>
          <w:p>
            <w:r>
              <w:rPr>
                <w:b w:val="0"/>
                <w:i w:val="0"/>
                <w:sz w:val="18"/>
              </w:rPr>
              <w:t>Network / operational data</w:t>
            </w:r>
          </w:p>
        </w:tc>
        <w:tc>
          <w:tcPr>
            <w:tcW w:type="dxa" w:w="1440"/>
            <w:shd w:val="clear" w:color="auto" w:fill="F2F2F2"/>
            <w:vAlign w:val="center"/>
          </w:tcPr>
          <w:p>
            <w:r>
              <w:rPr>
                <w:b w:val="0"/>
                <w:i w:val="0"/>
                <w:sz w:val="18"/>
              </w:rPr>
              <w:t>Medium</w:t>
            </w:r>
          </w:p>
        </w:tc>
        <w:tc>
          <w:tcPr>
            <w:tcW w:type="dxa" w:w="3168"/>
            <w:shd w:val="clear" w:color="auto" w:fill="F2F2F2"/>
            <w:vAlign w:val="center"/>
          </w:tcPr>
          <w:p>
            <w:r>
              <w:rPr>
                <w:b w:val="0"/>
                <w:i w:val="0"/>
                <w:sz w:val="18"/>
              </w:rPr>
              <w:t>Joint per Master Agreement</w:t>
            </w:r>
          </w:p>
        </w:tc>
        <w:tc>
          <w:tcPr>
            <w:tcW w:type="dxa" w:w="3456"/>
            <w:shd w:val="clear" w:color="auto" w:fill="F2F2F2"/>
            <w:vAlign w:val="center"/>
          </w:tcPr>
          <w:p>
            <w:r>
              <w:rPr>
                <w:b w:val="0"/>
                <w:i w:val="0"/>
                <w:color w:val="804000"/>
                <w:sz w:val="18"/>
                <w:highlight w:val="yellow"/>
              </w:rPr>
              <w:t>[■ handling]</w:t>
            </w:r>
          </w:p>
        </w:tc>
      </w:tr>
      <w:tr>
        <w:tc>
          <w:tcPr>
            <w:tcW w:type="dxa" w:w="2736"/>
            <w:vAlign w:val="center"/>
          </w:tcPr>
          <w:p>
            <w:r>
              <w:rPr>
                <w:b w:val="0"/>
                <w:i w:val="0"/>
                <w:sz w:val="18"/>
              </w:rPr>
              <w:t>Grant / compliance records</w:t>
            </w:r>
          </w:p>
        </w:tc>
        <w:tc>
          <w:tcPr>
            <w:tcW w:type="dxa" w:w="1440"/>
            <w:vAlign w:val="center"/>
          </w:tcPr>
          <w:p>
            <w:r>
              <w:rPr>
                <w:b w:val="0"/>
                <w:i w:val="0"/>
                <w:sz w:val="18"/>
              </w:rPr>
              <w:t>Medium</w:t>
            </w:r>
          </w:p>
        </w:tc>
        <w:tc>
          <w:tcPr>
            <w:tcW w:type="dxa" w:w="3168"/>
            <w:vAlign w:val="center"/>
          </w:tcPr>
          <w:p>
            <w:r>
              <w:rPr>
                <w:b w:val="0"/>
                <w:i w:val="0"/>
                <w:sz w:val="18"/>
              </w:rPr>
              <w:t>Lumbee Tribe (recipient)</w:t>
            </w:r>
          </w:p>
        </w:tc>
        <w:tc>
          <w:tcPr>
            <w:tcW w:type="dxa" w:w="3456"/>
            <w:vAlign w:val="center"/>
          </w:tcPr>
          <w:p>
            <w:r>
              <w:rPr>
                <w:b w:val="0"/>
                <w:i w:val="0"/>
                <w:sz w:val="18"/>
              </w:rPr>
              <w:t>Retain 3 yrs (2 CFR 200.334–200.337 (Record retention and access; three-year retention))</w:t>
            </w:r>
          </w:p>
        </w:tc>
      </w:tr>
      <w:tr>
        <w:tc>
          <w:tcPr>
            <w:tcW w:type="dxa" w:w="2736"/>
            <w:shd w:val="clear" w:color="auto" w:fill="F2F2F2"/>
            <w:vAlign w:val="center"/>
          </w:tcPr>
          <w:p>
            <w:r>
              <w:rPr>
                <w:b w:val="0"/>
                <w:i w:val="0"/>
                <w:sz w:val="18"/>
              </w:rPr>
              <w:t>Tribal data / sovereignty-sensitive</w:t>
            </w:r>
          </w:p>
        </w:tc>
        <w:tc>
          <w:tcPr>
            <w:tcW w:type="dxa" w:w="1440"/>
            <w:shd w:val="clear" w:color="auto" w:fill="F2F2F2"/>
            <w:vAlign w:val="center"/>
          </w:tcPr>
          <w:p>
            <w:r>
              <w:rPr>
                <w:b w:val="0"/>
                <w:i w:val="0"/>
                <w:sz w:val="18"/>
              </w:rPr>
              <w:t>High</w:t>
            </w:r>
          </w:p>
        </w:tc>
        <w:tc>
          <w:tcPr>
            <w:tcW w:type="dxa" w:w="3168"/>
            <w:shd w:val="clear" w:color="auto" w:fill="F2F2F2"/>
            <w:vAlign w:val="center"/>
          </w:tcPr>
          <w:p>
            <w:r>
              <w:rPr>
                <w:b w:val="0"/>
                <w:i w:val="0"/>
                <w:sz w:val="18"/>
              </w:rPr>
              <w:t>Lumbee Tribe</w:t>
            </w:r>
          </w:p>
        </w:tc>
        <w:tc>
          <w:tcPr>
            <w:tcW w:type="dxa" w:w="3456"/>
            <w:shd w:val="clear" w:color="auto" w:fill="F2F2F2"/>
            <w:vAlign w:val="center"/>
          </w:tcPr>
          <w:p>
            <w:r>
              <w:rPr>
                <w:b w:val="0"/>
                <w:i w:val="0"/>
                <w:color w:val="804000"/>
                <w:sz w:val="18"/>
                <w:highlight w:val="yellow"/>
              </w:rPr>
              <w:t>[■ Tribal data governance policy]</w:t>
            </w:r>
          </w:p>
        </w:tc>
      </w:tr>
    </w:tbl>
    <w:p>
      <w:pPr>
        <w:ind w:left="504"/>
      </w:pPr>
      <w:r>
        <w:rPr>
          <w:b/>
          <w:color w:val="0000C0"/>
        </w:rPr>
        <w:t xml:space="preserve">[ATTORNEY REVIEW REQUIRED]  </w:t>
      </w:r>
      <w:r>
        <w:rPr>
          <w:i/>
          <w:color w:val="595959"/>
        </w:rPr>
        <w:t>Confirm data-ownership, Tribal data sovereignty, and any breach-notice obligations by category with counsel.</w:t>
      </w:r>
    </w:p>
    <w:p>
      <w:pPr>
        <w:pStyle w:val="Heading1"/>
        <w:spacing w:before="240" w:after="120"/>
      </w:pPr>
      <w:r>
        <w:rPr>
          <w:rFonts w:ascii="Calibri" w:hAnsi="Calibri"/>
          <w:b/>
          <w:color w:val="1F3864"/>
          <w:sz w:val="26"/>
        </w:rPr>
        <w:t>ARTICLE 2.  CYBERSECURITY CONTROLS</w:t>
      </w:r>
    </w:p>
    <w:p>
      <w:pPr>
        <w:pStyle w:val="ListBullet"/>
      </w:pPr>
      <w:r>
        <w:rPr>
          <w:b w:val="0"/>
          <w:i w:val="0"/>
        </w:rPr>
        <w:t xml:space="preserve">Control framework </w:t>
      </w:r>
      <w:r>
        <w:rPr>
          <w:b w:val="0"/>
          <w:i w:val="0"/>
          <w:color w:val="804000"/>
          <w:highlight w:val="yellow"/>
        </w:rPr>
        <w:t>[■ e.g., NIST CSF / 800-53 baseline]</w:t>
      </w:r>
    </w:p>
    <w:p>
      <w:pPr>
        <w:pStyle w:val="ListBullet"/>
      </w:pPr>
      <w:r>
        <w:rPr>
          <w:b w:val="0"/>
          <w:i w:val="0"/>
        </w:rPr>
        <w:t>Access control, MFA, least privilege, and logging</w:t>
      </w:r>
    </w:p>
    <w:p>
      <w:pPr>
        <w:pStyle w:val="ListBullet"/>
      </w:pPr>
      <w:r>
        <w:rPr>
          <w:b w:val="0"/>
          <w:i w:val="0"/>
        </w:rPr>
        <w:t>Encryption in transit and at rest for sensitive data</w:t>
      </w:r>
    </w:p>
    <w:p>
      <w:pPr>
        <w:pStyle w:val="ListBullet"/>
      </w:pPr>
      <w:r>
        <w:rPr>
          <w:b w:val="0"/>
          <w:i w:val="0"/>
        </w:rPr>
        <w:t>Vulnerability management, patching (coordinated with Schedule S6 lifecycle)</w:t>
      </w:r>
    </w:p>
    <w:p>
      <w:pPr>
        <w:pStyle w:val="ListBullet"/>
      </w:pPr>
      <w:r>
        <w:rPr>
          <w:b w:val="0"/>
          <w:i w:val="0"/>
        </w:rPr>
        <w:t>Security awareness and personnel controls</w:t>
      </w:r>
    </w:p>
    <w:p>
      <w:pPr>
        <w:pStyle w:val="Heading1"/>
        <w:spacing w:before="240" w:after="120"/>
      </w:pPr>
      <w:r>
        <w:rPr>
          <w:rFonts w:ascii="Calibri" w:hAnsi="Calibri"/>
          <w:b/>
          <w:color w:val="1F3864"/>
          <w:sz w:val="26"/>
        </w:rPr>
        <w:t>ARTICLE 3.  SUPPLY-CHAIN RISK AND SECTION 889</w:t>
      </w:r>
    </w:p>
    <w:p>
      <w:r>
        <w:rPr>
          <w:b w:val="0"/>
          <w:i w:val="0"/>
        </w:rPr>
        <w:t>No covered telecommunications or video-surveillance equipment or services (Section 889) shall be procured, used, or connected to the Network. See 2 CFR 200.216 (Prohibition on certain telecommunications and video surveillance — §889 covered equipment). BABA / domestic-preference compliance per Build America, Buy America Act, IIJA §§ 70911–70917 (Pub. L. 117-58); 2 CFR Part 184; and NTIA BABA award terms.</w:t>
      </w:r>
    </w:p>
    <w:p>
      <w:pPr>
        <w:ind w:left="504"/>
      </w:pPr>
      <w:r>
        <w:rPr>
          <w:b/>
          <w:color w:val="7F007F"/>
        </w:rPr>
        <w:t xml:space="preserve">[GRANT COMPLIANCE REVIEW REQUIRED]  </w:t>
      </w:r>
      <w:r>
        <w:rPr>
          <w:i/>
          <w:color w:val="595959"/>
        </w:rPr>
        <w:t>Vendor and equipment certifications for §889 and BABA are prerequisites to procurement; retain certifications with the compliance records.</w:t>
      </w:r>
    </w:p>
    <w:p>
      <w:pPr>
        <w:pStyle w:val="Heading1"/>
        <w:spacing w:before="240" w:after="120"/>
      </w:pPr>
      <w:r>
        <w:rPr>
          <w:rFonts w:ascii="Calibri" w:hAnsi="Calibri"/>
          <w:b/>
          <w:color w:val="1F3864"/>
          <w:sz w:val="26"/>
        </w:rPr>
        <w:t>ARTICLE 4.  INCIDENT RESPONSE</w:t>
      </w:r>
    </w:p>
    <w:p>
      <w:pPr>
        <w:pStyle w:val="ListBullet"/>
      </w:pPr>
      <w:r>
        <w:rPr>
          <w:b w:val="0"/>
          <w:i w:val="0"/>
        </w:rPr>
        <w:t xml:space="preserve">Incident classification, escalation, and notification timelines </w:t>
      </w:r>
      <w:r>
        <w:rPr>
          <w:b w:val="0"/>
          <w:i w:val="0"/>
          <w:color w:val="804000"/>
          <w:highlight w:val="yellow"/>
        </w:rPr>
        <w:t>[■ IR notification SLAs]</w:t>
      </w:r>
    </w:p>
    <w:p>
      <w:pPr>
        <w:pStyle w:val="ListBullet"/>
      </w:pPr>
      <w:r>
        <w:rPr>
          <w:b w:val="0"/>
          <w:i w:val="0"/>
        </w:rPr>
        <w:t>Breach-notification to affected subscribers and the Tribe per law and the Data Privacy, Cybersecurity, Supply-Chain Risk, and Business Continuity Addendum</w:t>
      </w:r>
    </w:p>
    <w:p>
      <w:pPr>
        <w:pStyle w:val="ListBullet"/>
      </w:pPr>
      <w:r>
        <w:rPr>
          <w:b w:val="0"/>
          <w:i w:val="0"/>
        </w:rPr>
        <w:t>Coordination with the Network Operations Center and Schedule S6 severity matrix</w:t>
      </w:r>
    </w:p>
    <w:p>
      <w:pPr>
        <w:pStyle w:val="ListBullet"/>
      </w:pPr>
      <w:r>
        <w:rPr>
          <w:b w:val="0"/>
          <w:i w:val="0"/>
        </w:rPr>
        <w:t>Post-incident review and remediation tracking</w:t>
      </w:r>
    </w:p>
    <w:p>
      <w:pPr>
        <w:pStyle w:val="Heading1"/>
        <w:spacing w:before="240" w:after="120"/>
      </w:pPr>
      <w:r>
        <w:rPr>
          <w:rFonts w:ascii="Calibri" w:hAnsi="Calibri"/>
          <w:b/>
          <w:color w:val="1F3864"/>
          <w:sz w:val="26"/>
        </w:rPr>
        <w:t>ARTICLE 5.  DISASTER RECOVERY (RTO / RPO)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56"/>
            <w:shd w:val="clear" w:color="auto" w:fill="1F3864"/>
            <w:vAlign w:val="center"/>
          </w:tcPr>
          <w:p>
            <w:pPr>
              <w:jc w:val="center"/>
            </w:pPr>
            <w:r>
              <w:rPr>
                <w:b/>
                <w:color w:val="FFFFFF"/>
                <w:sz w:val="18"/>
              </w:rPr>
              <w:t>System / Service</w:t>
            </w:r>
          </w:p>
        </w:tc>
        <w:tc>
          <w:tcPr>
            <w:tcW w:type="dxa" w:w="1872"/>
            <w:shd w:val="clear" w:color="auto" w:fill="1F3864"/>
            <w:vAlign w:val="center"/>
          </w:tcPr>
          <w:p>
            <w:pPr>
              <w:jc w:val="center"/>
            </w:pPr>
            <w:r>
              <w:rPr>
                <w:b/>
                <w:color w:val="FFFFFF"/>
                <w:sz w:val="18"/>
              </w:rPr>
              <w:t>RTO</w:t>
            </w:r>
          </w:p>
        </w:tc>
        <w:tc>
          <w:tcPr>
            <w:tcW w:type="dxa" w:w="1872"/>
            <w:shd w:val="clear" w:color="auto" w:fill="1F3864"/>
            <w:vAlign w:val="center"/>
          </w:tcPr>
          <w:p>
            <w:pPr>
              <w:jc w:val="center"/>
            </w:pPr>
            <w:r>
              <w:rPr>
                <w:b/>
                <w:color w:val="FFFFFF"/>
                <w:sz w:val="18"/>
              </w:rPr>
              <w:t>RPO</w:t>
            </w:r>
          </w:p>
        </w:tc>
        <w:tc>
          <w:tcPr>
            <w:tcW w:type="dxa" w:w="3600"/>
            <w:shd w:val="clear" w:color="auto" w:fill="1F3864"/>
            <w:vAlign w:val="center"/>
          </w:tcPr>
          <w:p>
            <w:pPr>
              <w:jc w:val="center"/>
            </w:pPr>
            <w:r>
              <w:rPr>
                <w:b/>
                <w:color w:val="FFFFFF"/>
                <w:sz w:val="18"/>
              </w:rPr>
              <w:t>Notes</w:t>
            </w:r>
          </w:p>
        </w:tc>
      </w:tr>
      <w:tr>
        <w:tc>
          <w:tcPr>
            <w:tcW w:type="dxa" w:w="3456"/>
            <w:vAlign w:val="center"/>
          </w:tcPr>
          <w:p>
            <w:r>
              <w:rPr>
                <w:b w:val="0"/>
                <w:i w:val="0"/>
                <w:sz w:val="18"/>
              </w:rPr>
              <w:t>Core network / transport</w:t>
            </w:r>
          </w:p>
        </w:tc>
        <w:tc>
          <w:tcPr>
            <w:tcW w:type="dxa" w:w="1872"/>
            <w:vAlign w:val="center"/>
          </w:tcPr>
          <w:p>
            <w:r>
              <w:rPr>
                <w:b w:val="0"/>
                <w:i w:val="0"/>
                <w:color w:val="804000"/>
                <w:sz w:val="18"/>
                <w:highlight w:val="yellow"/>
              </w:rPr>
              <w:t>[■ RTO]</w:t>
            </w:r>
          </w:p>
        </w:tc>
        <w:tc>
          <w:tcPr>
            <w:tcW w:type="dxa" w:w="1872"/>
            <w:vAlign w:val="center"/>
          </w:tcPr>
          <w:p>
            <w:r>
              <w:rPr>
                <w:b w:val="0"/>
                <w:i w:val="0"/>
                <w:color w:val="804000"/>
                <w:sz w:val="18"/>
                <w:highlight w:val="yellow"/>
              </w:rPr>
              <w:t>[■ RPO]</w:t>
            </w:r>
          </w:p>
        </w:tc>
        <w:tc>
          <w:tcPr>
            <w:tcW w:type="dxa" w:w="3600"/>
            <w:vAlign w:val="center"/>
          </w:tcPr>
          <w:p>
            <w:r>
              <w:rPr>
                <w:b w:val="0"/>
                <w:i w:val="0"/>
                <w:sz w:val="18"/>
              </w:rPr>
              <w:t>Tied to S6 P1 restore targets</w:t>
            </w:r>
          </w:p>
        </w:tc>
      </w:tr>
      <w:tr>
        <w:tc>
          <w:tcPr>
            <w:tcW w:type="dxa" w:w="3456"/>
            <w:shd w:val="clear" w:color="auto" w:fill="F2F2F2"/>
            <w:vAlign w:val="center"/>
          </w:tcPr>
          <w:p>
            <w:r>
              <w:rPr>
                <w:b w:val="0"/>
                <w:i w:val="0"/>
                <w:sz w:val="18"/>
              </w:rPr>
              <w:t>OSS/BSS / billing</w:t>
            </w:r>
          </w:p>
        </w:tc>
        <w:tc>
          <w:tcPr>
            <w:tcW w:type="dxa" w:w="1872"/>
            <w:shd w:val="clear" w:color="auto" w:fill="F2F2F2"/>
            <w:vAlign w:val="center"/>
          </w:tcPr>
          <w:p>
            <w:r>
              <w:rPr>
                <w:b w:val="0"/>
                <w:i w:val="0"/>
                <w:color w:val="804000"/>
                <w:sz w:val="18"/>
                <w:highlight w:val="yellow"/>
              </w:rPr>
              <w:t>[■ RTO]</w:t>
            </w:r>
          </w:p>
        </w:tc>
        <w:tc>
          <w:tcPr>
            <w:tcW w:type="dxa" w:w="1872"/>
            <w:shd w:val="clear" w:color="auto" w:fill="F2F2F2"/>
            <w:vAlign w:val="center"/>
          </w:tcPr>
          <w:p>
            <w:r>
              <w:rPr>
                <w:b w:val="0"/>
                <w:i w:val="0"/>
                <w:color w:val="804000"/>
                <w:sz w:val="18"/>
                <w:highlight w:val="yellow"/>
              </w:rPr>
              <w:t>[■ RPO]</w:t>
            </w:r>
          </w:p>
        </w:tc>
        <w:tc>
          <w:tcPr>
            <w:tcW w:type="dxa" w:w="3600"/>
            <w:shd w:val="clear" w:color="auto" w:fill="F2F2F2"/>
            <w:vAlign w:val="center"/>
          </w:tcPr>
          <w:p>
            <w:r>
              <w:rPr>
                <w:b w:val="0"/>
                <w:i w:val="0"/>
                <w:color w:val="804000"/>
                <w:sz w:val="18"/>
                <w:highlight w:val="yellow"/>
              </w:rPr>
              <w:t>[■ note]</w:t>
            </w:r>
          </w:p>
        </w:tc>
      </w:tr>
      <w:tr>
        <w:tc>
          <w:tcPr>
            <w:tcW w:type="dxa" w:w="3456"/>
            <w:vAlign w:val="center"/>
          </w:tcPr>
          <w:p>
            <w:r>
              <w:rPr>
                <w:b w:val="0"/>
                <w:i w:val="0"/>
                <w:sz w:val="18"/>
              </w:rPr>
              <w:t>Subscriber data / records</w:t>
            </w:r>
          </w:p>
        </w:tc>
        <w:tc>
          <w:tcPr>
            <w:tcW w:type="dxa" w:w="1872"/>
            <w:vAlign w:val="center"/>
          </w:tcPr>
          <w:p>
            <w:r>
              <w:rPr>
                <w:b w:val="0"/>
                <w:i w:val="0"/>
                <w:color w:val="804000"/>
                <w:sz w:val="18"/>
                <w:highlight w:val="yellow"/>
              </w:rPr>
              <w:t>[■ RTO]</w:t>
            </w:r>
          </w:p>
        </w:tc>
        <w:tc>
          <w:tcPr>
            <w:tcW w:type="dxa" w:w="1872"/>
            <w:vAlign w:val="center"/>
          </w:tcPr>
          <w:p>
            <w:r>
              <w:rPr>
                <w:b w:val="0"/>
                <w:i w:val="0"/>
                <w:color w:val="804000"/>
                <w:sz w:val="18"/>
                <w:highlight w:val="yellow"/>
              </w:rPr>
              <w:t>[■ RPO]</w:t>
            </w:r>
          </w:p>
        </w:tc>
        <w:tc>
          <w:tcPr>
            <w:tcW w:type="dxa" w:w="3600"/>
            <w:vAlign w:val="center"/>
          </w:tcPr>
          <w:p>
            <w:r>
              <w:rPr>
                <w:b w:val="0"/>
                <w:i w:val="0"/>
                <w:sz w:val="18"/>
              </w:rPr>
              <w:t>Backup &amp; retention aligned</w:t>
            </w:r>
          </w:p>
        </w:tc>
      </w:tr>
    </w:tbl>
    <w:p>
      <w:pPr>
        <w:ind w:left="504"/>
      </w:pPr>
      <w:r>
        <w:rPr>
          <w:b/>
          <w:color w:val="007000"/>
        </w:rPr>
        <w:t xml:space="preserve">[TECHNICAL INFORMATION REQUIRED]  </w:t>
      </w:r>
      <w:r>
        <w:rPr>
          <w:i/>
          <w:color w:val="595959"/>
        </w:rPr>
        <w:t>Confirm RTO/RPO targets, backup architecture, and DR test cadence with the operations team.</w:t>
      </w:r>
    </w:p>
    <w:p/>
    <w:p>
      <w:pPr>
        <w:pStyle w:val="Heading2"/>
        <w:spacing w:before="160" w:after="60"/>
      </w:pPr>
      <w:r>
        <w:rPr>
          <w:rFonts w:ascii="Calibri" w:hAnsi="Calibri"/>
          <w:b/>
          <w:color w:val="000000"/>
          <w:sz w:val="22"/>
        </w:rPr>
        <w:t xml:space="preserve">  Draft Disclaimer</w:t>
      </w:r>
    </w:p>
    <w:p>
      <w:r>
        <w:rPr>
          <w:b w:val="0"/>
          <w:i/>
        </w:rPr>
        <w:t>This Schedule is a working draft prepared for discussion only. It is not executed, is not final legal advice, and does not create binding obligations. No controlling TBCP award or source documents were supplied; the provisional baseline is the TBCP Round 2 Notice of Funding Opportunity, as amended March 2024 (PROVISIONAL BASELINE). Round 3 is the live TBCP round as of the version date; the controlling round and executed award must be confirmed before any definitive clause is finalized. Every bracketed placeholder, flag, and alternative must be resolved by the responsible legal, grant, financial, and technical reviewers before finalization.</w:t>
      </w:r>
    </w:p>
    <w:p>
      <w:pPr>
        <w:jc w:val="center"/>
      </w:pPr>
      <w:r>
        <w:rPr>
          <w:b/>
          <w:color w:val="C00000"/>
          <w:highlight w:val="yellow"/>
        </w:rPr>
        <w:t>PRELIMINARY DRAFT – NO CONTROLLING TBCP AWARD OR SOURCE DOCUMENTS SUPPLIED – PROVISIONAL BASELINE: MARCH 2024 AMENDED ROUND 2 NOFO – SUBJECT TO LEGAL, GRANT AND FINANCIAL REVIEW</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Schedule S11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