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S13 — Default, Cure, Step-In, Continuity, Transition, and Termination Assistance</w:t>
      </w:r>
    </w:p>
    <w:p>
      <w:pPr>
        <w:jc w:val="center"/>
      </w:pPr>
      <w:r>
        <w:rPr>
          <w:b/>
          <w:color w:val="1F3864"/>
          <w:sz w:val="48"/>
        </w:rPr>
        <w:t>Default, Cure, Step-In, Continuity, Transition, and Termination Assistance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S13 (Default, Cure, Step-In, Continuity, Transition, and Termination Assistance)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r>
        <w:rPr>
          <w:b w:val="0"/>
          <w:i/>
        </w:rPr>
        <w:t>This Schedule cross-refers to the Continuity, Step-In, Termination Assistance, and Transition Agreement.</w:t>
      </w:r>
    </w:p>
    <w:p>
      <w:pPr>
        <w:pStyle w:val="Heading1"/>
        <w:spacing w:before="240" w:after="120"/>
      </w:pPr>
      <w:r>
        <w:rPr>
          <w:rFonts w:ascii="Calibri" w:hAnsi="Calibri"/>
          <w:b/>
          <w:color w:val="1F3864"/>
          <w:sz w:val="26"/>
        </w:rPr>
        <w:t>ARTICLE 1.  EVENTS OF DEFAULT AND CURE</w:t>
      </w:r>
    </w:p>
    <w:p>
      <w:r>
        <w:rPr>
          <w:b w:val="0"/>
          <w:i w:val="0"/>
        </w:rPr>
        <w:t>An Event of Default occurs upon a material breach not cured within the applicable cure period after written notice:</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3864"/>
            <w:vAlign w:val="center"/>
          </w:tcPr>
          <w:p>
            <w:pPr>
              <w:jc w:val="center"/>
            </w:pPr>
            <w:r>
              <w:rPr>
                <w:b/>
                <w:color w:val="FFFFFF"/>
                <w:sz w:val="18"/>
              </w:rPr>
              <w:t>Default Type</w:t>
            </w:r>
          </w:p>
        </w:tc>
        <w:tc>
          <w:tcPr>
            <w:tcW w:type="dxa" w:w="3312"/>
            <w:shd w:val="clear" w:color="auto" w:fill="1F3864"/>
            <w:vAlign w:val="center"/>
          </w:tcPr>
          <w:p>
            <w:pPr>
              <w:jc w:val="center"/>
            </w:pPr>
            <w:r>
              <w:rPr>
                <w:b/>
                <w:color w:val="FFFFFF"/>
                <w:sz w:val="18"/>
              </w:rPr>
              <w:t>Cure Period</w:t>
            </w:r>
          </w:p>
        </w:tc>
        <w:tc>
          <w:tcPr>
            <w:tcW w:type="dxa" w:w="4176"/>
            <w:shd w:val="clear" w:color="auto" w:fill="1F3864"/>
            <w:vAlign w:val="center"/>
          </w:tcPr>
          <w:p>
            <w:pPr>
              <w:jc w:val="center"/>
            </w:pPr>
            <w:r>
              <w:rPr>
                <w:b/>
                <w:color w:val="FFFFFF"/>
                <w:sz w:val="18"/>
              </w:rPr>
              <w:t>Extension</w:t>
            </w:r>
          </w:p>
        </w:tc>
      </w:tr>
      <w:tr>
        <w:tc>
          <w:tcPr>
            <w:tcW w:type="dxa" w:w="3168"/>
            <w:vAlign w:val="center"/>
          </w:tcPr>
          <w:p>
            <w:r>
              <w:rPr>
                <w:b w:val="0"/>
                <w:i w:val="0"/>
                <w:sz w:val="18"/>
              </w:rPr>
              <w:t>Monetary default</w:t>
            </w:r>
          </w:p>
        </w:tc>
        <w:tc>
          <w:tcPr>
            <w:tcW w:type="dxa" w:w="3312"/>
            <w:vAlign w:val="center"/>
          </w:tcPr>
          <w:p>
            <w:r>
              <w:rPr>
                <w:b w:val="0"/>
                <w:i w:val="0"/>
                <w:sz w:val="18"/>
              </w:rPr>
              <w:t>30 days</w:t>
            </w:r>
          </w:p>
        </w:tc>
        <w:tc>
          <w:tcPr>
            <w:tcW w:type="dxa" w:w="4176"/>
            <w:vAlign w:val="center"/>
          </w:tcPr>
          <w:p>
            <w:r>
              <w:rPr>
                <w:b w:val="0"/>
                <w:i w:val="0"/>
                <w:sz w:val="18"/>
              </w:rPr>
              <w:t>None (unless agreed)</w:t>
            </w:r>
          </w:p>
        </w:tc>
      </w:tr>
      <w:tr>
        <w:tc>
          <w:tcPr>
            <w:tcW w:type="dxa" w:w="3168"/>
            <w:shd w:val="clear" w:color="auto" w:fill="F2F2F2"/>
            <w:vAlign w:val="center"/>
          </w:tcPr>
          <w:p>
            <w:r>
              <w:rPr>
                <w:b w:val="0"/>
                <w:i w:val="0"/>
                <w:sz w:val="18"/>
              </w:rPr>
              <w:t>Non-monetary default</w:t>
            </w:r>
          </w:p>
        </w:tc>
        <w:tc>
          <w:tcPr>
            <w:tcW w:type="dxa" w:w="3312"/>
            <w:shd w:val="clear" w:color="auto" w:fill="F2F2F2"/>
            <w:vAlign w:val="center"/>
          </w:tcPr>
          <w:p>
            <w:r>
              <w:rPr>
                <w:b w:val="0"/>
                <w:i w:val="0"/>
                <w:sz w:val="18"/>
              </w:rPr>
              <w:t>60 days</w:t>
            </w:r>
          </w:p>
        </w:tc>
        <w:tc>
          <w:tcPr>
            <w:tcW w:type="dxa" w:w="4176"/>
            <w:shd w:val="clear" w:color="auto" w:fill="F2F2F2"/>
            <w:vAlign w:val="center"/>
          </w:tcPr>
          <w:p>
            <w:r>
              <w:rPr>
                <w:b w:val="0"/>
                <w:i w:val="0"/>
                <w:sz w:val="18"/>
              </w:rPr>
              <w:t>an additional sixty (60) days if the breach is not reasonably curable within the initial period and the defaulting Party is diligently pursuing cure</w:t>
            </w:r>
          </w:p>
        </w:tc>
      </w:tr>
      <w:tr>
        <w:tc>
          <w:tcPr>
            <w:tcW w:type="dxa" w:w="3168"/>
            <w:vAlign w:val="center"/>
          </w:tcPr>
          <w:p>
            <w:r>
              <w:rPr>
                <w:b w:val="0"/>
                <w:i w:val="0"/>
                <w:sz w:val="18"/>
              </w:rPr>
              <w:t>Notice of default</w:t>
            </w:r>
          </w:p>
        </w:tc>
        <w:tc>
          <w:tcPr>
            <w:tcW w:type="dxa" w:w="3312"/>
            <w:vAlign w:val="center"/>
          </w:tcPr>
          <w:p>
            <w:r>
              <w:rPr>
                <w:b w:val="0"/>
                <w:i w:val="0"/>
                <w:sz w:val="18"/>
              </w:rPr>
              <w:t>30 days' written notice</w:t>
            </w:r>
          </w:p>
        </w:tc>
        <w:tc>
          <w:tcPr>
            <w:tcW w:type="dxa" w:w="4176"/>
            <w:vAlign w:val="center"/>
          </w:tcPr>
          <w:p>
            <w:r>
              <w:rPr>
                <w:b w:val="0"/>
                <w:i w:val="0"/>
                <w:sz w:val="18"/>
              </w:rPr>
              <w:t>—</w:t>
            </w:r>
          </w:p>
        </w:tc>
      </w:tr>
    </w:tbl>
    <w:p>
      <w:pPr>
        <w:pStyle w:val="Heading1"/>
        <w:spacing w:before="240" w:after="120"/>
      </w:pPr>
      <w:r>
        <w:rPr>
          <w:rFonts w:ascii="Calibri" w:hAnsi="Calibri"/>
          <w:b/>
          <w:color w:val="1F3864"/>
          <w:sz w:val="26"/>
        </w:rPr>
        <w:t>ARTICLE 2.  STEP-IN RIGHTS</w:t>
      </w:r>
    </w:p>
    <w:p>
      <w:pPr>
        <w:pStyle w:val="Heading2"/>
        <w:spacing w:before="160" w:after="60"/>
      </w:pPr>
      <w:r>
        <w:rPr>
          <w:rFonts w:ascii="Calibri" w:hAnsi="Calibri"/>
          <w:b/>
          <w:color w:val="000000"/>
          <w:sz w:val="22"/>
        </w:rPr>
        <w:t>2.1  Triggers</w:t>
      </w:r>
    </w:p>
    <w:p>
      <w:r>
        <w:rPr>
          <w:b w:val="0"/>
          <w:i w:val="0"/>
        </w:rPr>
        <w:t>Step-in may be exercised upon an uncured Event of Default that threatens continuity of Essential Services, public safety, or compliance with the Award, and immediate, upon notice, where continuity of Essential Services, public safety, or compliance with the Award is imminently threatened.</w:t>
      </w:r>
    </w:p>
    <w:p>
      <w:pPr>
        <w:pStyle w:val="Heading2"/>
        <w:spacing w:before="160" w:after="60"/>
      </w:pPr>
      <w:r>
        <w:rPr>
          <w:rFonts w:ascii="Calibri" w:hAnsi="Calibri"/>
          <w:b/>
          <w:color w:val="000000"/>
          <w:sz w:val="22"/>
        </w:rPr>
        <w:t>2.2  Limits</w:t>
      </w:r>
    </w:p>
    <w:p>
      <w:r>
        <w:rPr>
          <w:b w:val="0"/>
          <w:i w:val="0"/>
        </w:rPr>
        <w:t xml:space="preserve">Step-in is limited to the scope and duration reasonably necessary to restore continuity and compliance; it does not transfer ownership of the Grant-Funded Assets and is subject to the order of precedence and the award. </w:t>
      </w:r>
      <w:r>
        <w:rPr>
          <w:b w:val="0"/>
          <w:i w:val="0"/>
          <w:color w:val="804000"/>
          <w:highlight w:val="yellow"/>
        </w:rPr>
        <w:t>[■ step-in scope, duration, and cost-recovery terms]</w:t>
      </w:r>
      <w:r>
        <w:rPr>
          <w:b w:val="0"/>
          <w:i w:val="0"/>
        </w:rPr>
        <w:t>.</w:t>
      </w:r>
    </w:p>
    <w:p>
      <w:pPr>
        <w:ind w:left="504"/>
      </w:pPr>
      <w:r>
        <w:rPr>
          <w:b/>
          <w:color w:val="0000C0"/>
        </w:rPr>
        <w:t xml:space="preserve">[ATTORNEY REVIEW REQUIRED]  </w:t>
      </w:r>
      <w:r>
        <w:rPr>
          <w:i/>
          <w:color w:val="595959"/>
        </w:rPr>
        <w:t>Step-in scope, cost recovery, and interaction with lender/agency rights and tribal sovereign immunity are bracketed ALTERNATIVES for counsel.</w:t>
      </w:r>
    </w:p>
    <w:p>
      <w:pPr>
        <w:pStyle w:val="Heading1"/>
        <w:spacing w:before="240" w:after="120"/>
      </w:pPr>
      <w:r>
        <w:rPr>
          <w:rFonts w:ascii="Calibri" w:hAnsi="Calibri"/>
          <w:b/>
          <w:color w:val="1F3864"/>
          <w:sz w:val="26"/>
        </w:rPr>
        <w:t>ARTICLE 3.  CONTINUITY OF SERVICE</w:t>
      </w:r>
    </w:p>
    <w:p>
      <w:pPr>
        <w:pStyle w:val="ListBullet"/>
      </w:pPr>
      <w:r>
        <w:rPr>
          <w:b w:val="0"/>
          <w:i w:val="0"/>
        </w:rPr>
        <w:t>Essential Services must continue during any dispute, cure, step-in, or transition</w:t>
      </w:r>
    </w:p>
    <w:p>
      <w:pPr>
        <w:pStyle w:val="ListBullet"/>
      </w:pPr>
      <w:r>
        <w:rPr>
          <w:b w:val="0"/>
          <w:i w:val="0"/>
        </w:rPr>
        <w:t>No self-help that disconnects subscribers except as permitted by law and the award</w:t>
      </w:r>
    </w:p>
    <w:p>
      <w:pPr>
        <w:pStyle w:val="ListBullet"/>
      </w:pPr>
      <w:r>
        <w:rPr>
          <w:b w:val="0"/>
          <w:i w:val="0"/>
        </w:rPr>
        <w:t>Coordination with the Network Operations Center and Schedule S6 SLAs</w:t>
      </w:r>
    </w:p>
    <w:p>
      <w:pPr>
        <w:pStyle w:val="Heading1"/>
        <w:spacing w:before="240" w:after="120"/>
      </w:pPr>
      <w:r>
        <w:rPr>
          <w:rFonts w:ascii="Calibri" w:hAnsi="Calibri"/>
          <w:b/>
          <w:color w:val="1F3864"/>
          <w:sz w:val="26"/>
        </w:rPr>
        <w:t>ARTICLE 4.  TRANSITION ASSISTANCE</w:t>
      </w:r>
    </w:p>
    <w:p>
      <w:r>
        <w:rPr>
          <w:b w:val="0"/>
          <w:i w:val="0"/>
        </w:rPr>
        <w:t>Upon expiration or termination, the outgoing operator shall provide transition assistance for a period of 12 months, including:</w:t>
      </w:r>
    </w:p>
    <w:p>
      <w:pPr>
        <w:pStyle w:val="ListBullet"/>
      </w:pPr>
      <w:r>
        <w:rPr>
          <w:b w:val="0"/>
          <w:i w:val="0"/>
        </w:rPr>
        <w:t>orderly hand-off of operations, records, and subscriber relationships</w:t>
      </w:r>
    </w:p>
    <w:p>
      <w:pPr>
        <w:pStyle w:val="ListBullet"/>
      </w:pPr>
      <w:r>
        <w:rPr>
          <w:b w:val="0"/>
          <w:i w:val="0"/>
        </w:rPr>
        <w:t>knowledge transfer, credentials, configurations, and documentation</w:t>
      </w:r>
    </w:p>
    <w:p>
      <w:pPr>
        <w:pStyle w:val="ListBullet"/>
      </w:pPr>
      <w:r>
        <w:rPr>
          <w:b w:val="0"/>
          <w:i w:val="0"/>
        </w:rPr>
        <w:t xml:space="preserve">continued operation during transition at agreed rates </w:t>
      </w:r>
      <w:r>
        <w:rPr>
          <w:b w:val="0"/>
          <w:i w:val="0"/>
          <w:color w:val="804000"/>
          <w:highlight w:val="yellow"/>
        </w:rPr>
        <w:t>[■ transition rates]</w:t>
      </w:r>
    </w:p>
    <w:p>
      <w:pPr>
        <w:pStyle w:val="ListBullet"/>
      </w:pPr>
      <w:r>
        <w:rPr>
          <w:b w:val="0"/>
          <w:i w:val="0"/>
        </w:rPr>
        <w:t>return/transfer of Grant-Funded Assets and Federal-Interest compliance</w:t>
      </w:r>
    </w:p>
    <w:p>
      <w:pPr>
        <w:ind w:left="504"/>
      </w:pPr>
      <w:r>
        <w:rPr>
          <w:b/>
          <w:color w:val="7F007F"/>
        </w:rPr>
        <w:t xml:space="preserve">[GRANT COMPLIANCE REVIEW REQUIRED]  </w:t>
      </w:r>
      <w:r>
        <w:rPr>
          <w:i/>
          <w:color w:val="595959"/>
        </w:rPr>
        <w:t>Any transfer or disposition of Grant-Funded Assets at transition must comply with 2 CFR 200.311 (Real property — use, encumbrance, and disposition), 2 CFR 200.313 (Equipment — use, management, and disposition), and the award (Federal Interest survives operator changes).</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S13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