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highlight w:val="yellow"/>
        </w:rPr>
        <w:t>PRELIMINARY DRAFT – NO CONTROLLING TBCP AWARD OR SOURCE DOCUMENTS SUPPLIED – PROVISIONAL BASELINE: MARCH 2024 AMENDED ROUND 2 NOFO – SUBJECT TO LEGAL, GRANT AND FINANCIAL REVIEW</w:t>
      </w:r>
    </w:p>
    <w:p/>
    <w:p/>
    <w:p/>
    <w:p>
      <w:pPr>
        <w:jc w:val="center"/>
      </w:pPr>
      <w:r>
        <w:rPr>
          <w:b/>
          <w:color w:val="595959"/>
          <w:sz w:val="24"/>
        </w:rPr>
        <w:t>SCHEDULE S1 — Award, Authority, Resolutions, Signatories, and Document Precedence</w:t>
      </w:r>
    </w:p>
    <w:p>
      <w:pPr>
        <w:jc w:val="center"/>
      </w:pPr>
      <w:r>
        <w:rPr>
          <w:b/>
          <w:color w:val="1F3864"/>
          <w:sz w:val="48"/>
        </w:rPr>
        <w:t>Award, Authority, Resolutions, Signatories, and Document Precedence</w:t>
      </w:r>
    </w:p>
    <w:p/>
    <w:p/>
    <w:p>
      <w:pPr>
        <w:jc w:val="center"/>
      </w:pPr>
      <w:r>
        <w:rPr>
          <w:i/>
          <w:sz w:val="22"/>
        </w:rPr>
        <w:t>by and between</w:t>
      </w:r>
    </w:p>
    <w:p>
      <w:pPr>
        <w:jc w:val="center"/>
      </w:pPr>
      <w:r>
        <w:rPr>
          <w:b/>
          <w:i w:val="0"/>
          <w:color w:val="1F3864"/>
          <w:sz w:val="28"/>
        </w:rPr>
        <w:t>Lumbee Tribe of North Carolina</w:t>
      </w:r>
    </w:p>
    <w:p>
      <w:pPr>
        <w:jc w:val="center"/>
      </w:pPr>
      <w:r>
        <w:rPr>
          <w:b w:val="0"/>
          <w:i/>
          <w:sz w:val="22"/>
        </w:rPr>
        <w:t>and</w:t>
      </w:r>
    </w:p>
    <w:p>
      <w:pPr>
        <w:jc w:val="center"/>
      </w:pPr>
      <w:r>
        <w:rPr>
          <w:b/>
          <w:i w:val="0"/>
          <w:color w:val="1F3864"/>
          <w:sz w:val="28"/>
        </w:rPr>
        <w:t>LREMC Technologies, LLC d/b/a RIVR Tech</w:t>
      </w:r>
    </w:p>
    <w:p/>
    <w:p/>
    <w:p/>
    <w:p/>
    <w:p>
      <w:pPr>
        <w:jc w:val="center"/>
      </w:pPr>
      <w:r>
        <w:rPr>
          <w:b/>
          <w:sz w:val="20"/>
        </w:rPr>
        <w:t xml:space="preserve">Version:  </w:t>
      </w:r>
      <w:r>
        <w:rPr>
          <w:sz w:val="20"/>
        </w:rPr>
        <w:t>Preliminary Draft v0.1</w:t>
      </w:r>
    </w:p>
    <w:p>
      <w:pPr>
        <w:jc w:val="center"/>
      </w:pPr>
      <w:r>
        <w:rPr>
          <w:b/>
          <w:sz w:val="20"/>
        </w:rPr>
        <w:t xml:space="preserve">Version Date:  </w:t>
      </w:r>
      <w:r>
        <w:rPr>
          <w:sz w:val="20"/>
        </w:rPr>
        <w:t>September 26, 2026</w:t>
      </w:r>
    </w:p>
    <w:p>
      <w:pPr>
        <w:jc w:val="center"/>
      </w:pPr>
      <w:r>
        <w:rPr>
          <w:b/>
          <w:sz w:val="20"/>
        </w:rPr>
        <w:t xml:space="preserve">Document Status:  </w:t>
      </w:r>
      <w:r>
        <w:rPr>
          <w:sz w:val="20"/>
        </w:rPr>
        <w:t>Working draft — not executed; not final legal advice</w:t>
      </w:r>
    </w:p>
    <w:p>
      <w:pPr>
        <w:jc w:val="center"/>
      </w:pPr>
      <w:r>
        <w:rPr>
          <w:b/>
          <w:sz w:val="20"/>
        </w:rPr>
        <w:t xml:space="preserve">Program:  </w:t>
      </w:r>
      <w:r>
        <w:rPr>
          <w:sz w:val="20"/>
        </w:rPr>
        <w:t>Tribal Broadband Connectivity Program (TBCP), National Telecommunications and Information Administration (NTIA)</w:t>
      </w:r>
    </w:p>
    <w:p/>
    <w:p/>
    <w:p>
      <w:pPr>
        <w:jc w:val="center"/>
      </w:pPr>
      <w:r>
        <w:rPr>
          <w:i/>
          <w:color w:val="595959"/>
          <w:sz w:val="18"/>
        </w:rPr>
        <w:t>CONFIDENTIAL – ATTORNEY WORK PRODUCT / SUBJECT TO COMMON-INTEREST PRIVILEGE</w:t>
      </w:r>
    </w:p>
    <w:p>
      <w:r>
        <w:br w:type="page"/>
      </w:r>
    </w:p>
    <w:p>
      <w:pPr>
        <w:jc w:val="center"/>
      </w:pPr>
      <w:r>
        <w:rPr>
          <w:b/>
          <w:color w:val="C00000"/>
          <w:highlight w:val="yellow"/>
        </w:rPr>
        <w:t>PRELIMINARY DRAFT – NO CONTROLLING TBCP AWARD OR SOURCE DOCUMENTS SUPPLIED – PROVISIONAL BASELINE: MARCH 2024 AMENDED ROUND 2 NOFO – SUBJECT TO LEGAL, GRANT AND FINANCIAL REVIEW</w:t>
      </w:r>
    </w:p>
    <w:p/>
    <w:p>
      <w:r>
        <w:rPr>
          <w:b w:val="0"/>
          <w:i/>
        </w:rPr>
        <w:t>This is Schedule S1 (Award, Authority, Resolutions, Signatories, and Document Precedence) to the Master TBCP Partnership and Implementation Agreement. Capitalized terms used and not otherwise defined in a document have the meanings given in Article 2 (Definitions) of the Master TBCP Partnership and Implementation Agreement, which is the single shared definitions source for the package.</w:t>
      </w:r>
    </w:p>
    <w:p>
      <w:r>
        <w:rPr>
          <w:b w:val="0"/>
          <w:i/>
        </w:rPr>
        <w:t>No commercial agreement, schedule, or form authorizes any act prohibited by, or inconsistent with, the Award or applicable federal law; in any conflict the higher-ranked instrument controls, and a lawful construction and service provision is not invalidated by a rejected IRU, exclusivity, payment, or commercial-use term (severability and reformation apply).</w:t>
      </w:r>
    </w:p>
    <w:p/>
    <w:p>
      <w:pPr>
        <w:pStyle w:val="Heading1"/>
        <w:spacing w:before="240" w:after="120"/>
      </w:pPr>
      <w:r>
        <w:rPr>
          <w:rFonts w:ascii="Calibri" w:hAnsi="Calibri"/>
          <w:b/>
          <w:color w:val="1F3864"/>
          <w:sz w:val="26"/>
        </w:rPr>
        <w:t>ARTICLE 1.  AWARD AND AUTHORITY SUMMARY</w:t>
      </w:r>
    </w:p>
    <w:p>
      <w:r>
        <w:rPr>
          <w:b w:val="0"/>
          <w:i w:val="0"/>
        </w:rPr>
        <w:t>The following summary is PRELIMINARY. No controlling TBCP award, NOFO package, or source documents were supplied. Every field below is a placeholder to be populated from the executed award and confirmed before any definitive clause is finalized.</w:t>
      </w:r>
    </w:p>
    <w:tbl>
      <w:tblPr>
        <w:tblStyle w:val="TableGrid"/>
        <w:tblW w:type="auto" w:w="0"/>
        <w:jc w:val="center"/>
        <w:tblLook w:firstColumn="1" w:firstRow="1" w:lastColumn="0" w:lastRow="0" w:noHBand="0" w:noVBand="1" w:val="04A0"/>
      </w:tblPr>
      <w:tblGrid>
        <w:gridCol w:w="4680"/>
        <w:gridCol w:w="4680"/>
      </w:tblGrid>
      <w:tr>
        <w:tc>
          <w:tcPr>
            <w:tcW w:type="dxa" w:w="3456"/>
            <w:shd w:val="clear" w:color="auto" w:fill="1F3864"/>
            <w:vAlign w:val="center"/>
          </w:tcPr>
          <w:p>
            <w:pPr>
              <w:jc w:val="center"/>
            </w:pPr>
            <w:r>
              <w:rPr>
                <w:b/>
                <w:color w:val="FFFFFF"/>
                <w:sz w:val="18"/>
              </w:rPr>
              <w:t>Item</w:t>
            </w:r>
          </w:p>
        </w:tc>
        <w:tc>
          <w:tcPr>
            <w:tcW w:type="dxa" w:w="5904"/>
            <w:shd w:val="clear" w:color="auto" w:fill="1F3864"/>
            <w:vAlign w:val="center"/>
          </w:tcPr>
          <w:p>
            <w:pPr>
              <w:jc w:val="center"/>
            </w:pPr>
            <w:r>
              <w:rPr>
                <w:b/>
                <w:color w:val="FFFFFF"/>
                <w:sz w:val="18"/>
              </w:rPr>
              <w:t>Value (to be confirmed)</w:t>
            </w:r>
          </w:p>
        </w:tc>
      </w:tr>
      <w:tr>
        <w:tc>
          <w:tcPr>
            <w:tcW w:type="dxa" w:w="3456"/>
            <w:vAlign w:val="center"/>
          </w:tcPr>
          <w:p>
            <w:r>
              <w:rPr>
                <w:b w:val="0"/>
                <w:i w:val="0"/>
                <w:sz w:val="18"/>
              </w:rPr>
              <w:t>Recipient / Award Steward</w:t>
            </w:r>
          </w:p>
        </w:tc>
        <w:tc>
          <w:tcPr>
            <w:tcW w:type="dxa" w:w="5904"/>
            <w:vAlign w:val="center"/>
          </w:tcPr>
          <w:p>
            <w:r>
              <w:rPr>
                <w:b w:val="0"/>
                <w:i w:val="0"/>
                <w:sz w:val="18"/>
              </w:rPr>
              <w:t>Lumbee Tribe of North Carolina (“Lumbee Tribe”)</w:t>
            </w:r>
          </w:p>
        </w:tc>
      </w:tr>
      <w:tr>
        <w:tc>
          <w:tcPr>
            <w:tcW w:type="dxa" w:w="3456"/>
            <w:shd w:val="clear" w:color="auto" w:fill="F2F2F2"/>
            <w:vAlign w:val="center"/>
          </w:tcPr>
          <w:p>
            <w:r>
              <w:rPr>
                <w:b w:val="0"/>
                <w:i w:val="0"/>
                <w:sz w:val="18"/>
              </w:rPr>
              <w:t>Federal program</w:t>
            </w:r>
          </w:p>
        </w:tc>
        <w:tc>
          <w:tcPr>
            <w:tcW w:type="dxa" w:w="5904"/>
            <w:shd w:val="clear" w:color="auto" w:fill="F2F2F2"/>
            <w:vAlign w:val="center"/>
          </w:tcPr>
          <w:p>
            <w:r>
              <w:rPr>
                <w:b w:val="0"/>
                <w:i w:val="0"/>
                <w:sz w:val="18"/>
              </w:rPr>
              <w:t>Tribal Broadband Connectivity Program (TBCP)</w:t>
            </w:r>
          </w:p>
        </w:tc>
      </w:tr>
      <w:tr>
        <w:tc>
          <w:tcPr>
            <w:tcW w:type="dxa" w:w="3456"/>
            <w:vAlign w:val="center"/>
          </w:tcPr>
          <w:p>
            <w:r>
              <w:rPr>
                <w:b w:val="0"/>
                <w:i w:val="0"/>
                <w:sz w:val="18"/>
              </w:rPr>
              <w:t>Awarding agency</w:t>
            </w:r>
          </w:p>
        </w:tc>
        <w:tc>
          <w:tcPr>
            <w:tcW w:type="dxa" w:w="5904"/>
            <w:vAlign w:val="center"/>
          </w:tcPr>
          <w:p>
            <w:r>
              <w:rPr>
                <w:b w:val="0"/>
                <w:i w:val="0"/>
                <w:sz w:val="18"/>
              </w:rPr>
              <w:t>National Telecommunications and Information Administration (NTIA), U.S. Department of Commerce</w:t>
            </w:r>
          </w:p>
        </w:tc>
      </w:tr>
      <w:tr>
        <w:tc>
          <w:tcPr>
            <w:tcW w:type="dxa" w:w="3456"/>
            <w:shd w:val="clear" w:color="auto" w:fill="F2F2F2"/>
            <w:vAlign w:val="center"/>
          </w:tcPr>
          <w:p>
            <w:r>
              <w:rPr>
                <w:b w:val="0"/>
                <w:i w:val="0"/>
                <w:sz w:val="18"/>
              </w:rPr>
              <w:t>Controlling NOFO (provisional)</w:t>
            </w:r>
          </w:p>
        </w:tc>
        <w:tc>
          <w:tcPr>
            <w:tcW w:type="dxa" w:w="5904"/>
            <w:shd w:val="clear" w:color="auto" w:fill="F2F2F2"/>
            <w:vAlign w:val="center"/>
          </w:tcPr>
          <w:p>
            <w:r>
              <w:rPr>
                <w:b w:val="0"/>
                <w:i w:val="0"/>
                <w:sz w:val="18"/>
              </w:rPr>
              <w:t>TBCP Round 2 Notice of Funding Opportunity, as amended March 2024 (PROVISIONAL BASELINE)</w:t>
            </w:r>
          </w:p>
        </w:tc>
      </w:tr>
      <w:tr>
        <w:tc>
          <w:tcPr>
            <w:tcW w:type="dxa" w:w="3456"/>
            <w:vAlign w:val="center"/>
          </w:tcPr>
          <w:p>
            <w:r>
              <w:rPr>
                <w:b w:val="0"/>
                <w:i w:val="0"/>
                <w:sz w:val="18"/>
              </w:rPr>
              <w:t>Federal Award Identification Number</w:t>
            </w:r>
          </w:p>
        </w:tc>
        <w:tc>
          <w:tcPr>
            <w:tcW w:type="dxa" w:w="5904"/>
            <w:vAlign w:val="center"/>
          </w:tcPr>
          <w:p>
            <w:r>
              <w:rPr>
                <w:b w:val="0"/>
                <w:i w:val="0"/>
                <w:color w:val="804000"/>
                <w:sz w:val="18"/>
                <w:highlight w:val="yellow"/>
              </w:rPr>
              <w:t>[■ award number — NOT SUPPLIED; do not invent]</w:t>
            </w:r>
          </w:p>
        </w:tc>
      </w:tr>
      <w:tr>
        <w:tc>
          <w:tcPr>
            <w:tcW w:type="dxa" w:w="3456"/>
            <w:shd w:val="clear" w:color="auto" w:fill="F2F2F2"/>
            <w:vAlign w:val="center"/>
          </w:tcPr>
          <w:p>
            <w:r>
              <w:rPr>
                <w:b w:val="0"/>
                <w:i w:val="0"/>
                <w:sz w:val="18"/>
              </w:rPr>
              <w:t>Award amount</w:t>
            </w:r>
          </w:p>
        </w:tc>
        <w:tc>
          <w:tcPr>
            <w:tcW w:type="dxa" w:w="5904"/>
            <w:shd w:val="clear" w:color="auto" w:fill="F2F2F2"/>
            <w:vAlign w:val="center"/>
          </w:tcPr>
          <w:p>
            <w:r>
              <w:rPr>
                <w:b w:val="0"/>
                <w:i w:val="0"/>
                <w:sz w:val="18"/>
              </w:rPr>
              <w:t>$[X] (award amount — NOT SUPPLIED; do not invent)</w:t>
            </w:r>
          </w:p>
        </w:tc>
      </w:tr>
      <w:tr>
        <w:tc>
          <w:tcPr>
            <w:tcW w:type="dxa" w:w="3456"/>
            <w:vAlign w:val="center"/>
          </w:tcPr>
          <w:p>
            <w:r>
              <w:rPr>
                <w:b w:val="0"/>
                <w:i w:val="0"/>
                <w:sz w:val="18"/>
              </w:rPr>
              <w:t>Approved Project Area</w:t>
            </w:r>
          </w:p>
        </w:tc>
        <w:tc>
          <w:tcPr>
            <w:tcW w:type="dxa" w:w="5904"/>
            <w:vAlign w:val="center"/>
          </w:tcPr>
          <w:p>
            <w:r>
              <w:rPr>
                <w:b w:val="0"/>
                <w:i w:val="0"/>
                <w:color w:val="804000"/>
                <w:sz w:val="18"/>
                <w:highlight w:val="yellow"/>
              </w:rPr>
              <w:t>[■ approved project area / service territory]</w:t>
            </w:r>
          </w:p>
        </w:tc>
      </w:tr>
      <w:tr>
        <w:tc>
          <w:tcPr>
            <w:tcW w:type="dxa" w:w="3456"/>
            <w:shd w:val="clear" w:color="auto" w:fill="F2F2F2"/>
            <w:vAlign w:val="center"/>
          </w:tcPr>
          <w:p>
            <w:r>
              <w:rPr>
                <w:b w:val="0"/>
                <w:i w:val="0"/>
                <w:sz w:val="18"/>
              </w:rPr>
              <w:t>Locations / homes passed</w:t>
            </w:r>
          </w:p>
        </w:tc>
        <w:tc>
          <w:tcPr>
            <w:tcW w:type="dxa" w:w="5904"/>
            <w:shd w:val="clear" w:color="auto" w:fill="F2F2F2"/>
            <w:vAlign w:val="center"/>
          </w:tcPr>
          <w:p>
            <w:r>
              <w:rPr>
                <w:b w:val="0"/>
                <w:i w:val="0"/>
                <w:sz w:val="18"/>
              </w:rPr>
              <w:t>[X] (locations — per approved application; NOT SUPPLIED)</w:t>
            </w:r>
          </w:p>
        </w:tc>
      </w:tr>
      <w:tr>
        <w:tc>
          <w:tcPr>
            <w:tcW w:type="dxa" w:w="3456"/>
            <w:vAlign w:val="center"/>
          </w:tcPr>
          <w:p>
            <w:r>
              <w:rPr>
                <w:b w:val="0"/>
                <w:i w:val="0"/>
                <w:sz w:val="18"/>
              </w:rPr>
              <w:t>Period of performance</w:t>
            </w:r>
          </w:p>
        </w:tc>
        <w:tc>
          <w:tcPr>
            <w:tcW w:type="dxa" w:w="5904"/>
            <w:vAlign w:val="center"/>
          </w:tcPr>
          <w:p>
            <w:r>
              <w:rPr>
                <w:b w:val="0"/>
                <w:i w:val="0"/>
                <w:color w:val="804000"/>
                <w:sz w:val="18"/>
                <w:highlight w:val="yellow"/>
              </w:rPr>
              <w:t>[■ period of performance start/end]</w:t>
            </w:r>
          </w:p>
        </w:tc>
      </w:tr>
      <w:tr>
        <w:tc>
          <w:tcPr>
            <w:tcW w:type="dxa" w:w="3456"/>
            <w:shd w:val="clear" w:color="auto" w:fill="F2F2F2"/>
            <w:vAlign w:val="center"/>
          </w:tcPr>
          <w:p>
            <w:r>
              <w:rPr>
                <w:b w:val="0"/>
                <w:i w:val="0"/>
                <w:sz w:val="18"/>
              </w:rPr>
              <w:t>Federal Interest period</w:t>
            </w:r>
          </w:p>
        </w:tc>
        <w:tc>
          <w:tcPr>
            <w:tcW w:type="dxa" w:w="5904"/>
            <w:shd w:val="clear" w:color="auto" w:fill="F2F2F2"/>
            <w:vAlign w:val="center"/>
          </w:tcPr>
          <w:p>
            <w:r>
              <w:rPr>
                <w:b w:val="0"/>
                <w:i w:val="0"/>
                <w:color w:val="804000"/>
                <w:sz w:val="18"/>
                <w:highlight w:val="yellow"/>
              </w:rPr>
              <w:t>[■ Federal Interest period / useful life]</w:t>
            </w:r>
          </w:p>
        </w:tc>
      </w:tr>
      <w:tr>
        <w:tc>
          <w:tcPr>
            <w:tcW w:type="dxa" w:w="3456"/>
            <w:vAlign w:val="center"/>
          </w:tcPr>
          <w:p>
            <w:r>
              <w:rPr>
                <w:b w:val="0"/>
                <w:i w:val="0"/>
                <w:sz w:val="18"/>
              </w:rPr>
              <w:t>Operator / provider of record</w:t>
            </w:r>
          </w:p>
        </w:tc>
        <w:tc>
          <w:tcPr>
            <w:tcW w:type="dxa" w:w="5904"/>
            <w:vAlign w:val="center"/>
          </w:tcPr>
          <w:p>
            <w:r>
              <w:rPr>
                <w:b w:val="0"/>
                <w:i w:val="0"/>
                <w:sz w:val="18"/>
              </w:rPr>
              <w:t>LREMC Technologies, LLC d/b/a RIVR Tech (“RIVR Tech”)</w:t>
            </w:r>
          </w:p>
        </w:tc>
      </w:tr>
      <w:tr>
        <w:tc>
          <w:tcPr>
            <w:tcW w:type="dxa" w:w="3456"/>
            <w:shd w:val="clear" w:color="auto" w:fill="F2F2F2"/>
            <w:vAlign w:val="center"/>
          </w:tcPr>
          <w:p>
            <w:r>
              <w:rPr>
                <w:b w:val="0"/>
                <w:i w:val="0"/>
                <w:sz w:val="18"/>
              </w:rPr>
              <w:t>Separate facilities owner</w:t>
            </w:r>
          </w:p>
        </w:tc>
        <w:tc>
          <w:tcPr>
            <w:tcW w:type="dxa" w:w="5904"/>
            <w:shd w:val="clear" w:color="auto" w:fill="F2F2F2"/>
            <w:vAlign w:val="center"/>
          </w:tcPr>
          <w:p>
            <w:r>
              <w:rPr>
                <w:b w:val="0"/>
                <w:i w:val="0"/>
                <w:sz w:val="18"/>
              </w:rPr>
              <w:t>Lumbee River Electric Membership Corporation d/b/a Lumbee River EMC (“LREMC”)</w:t>
            </w:r>
          </w:p>
        </w:tc>
      </w:tr>
    </w:tbl>
    <w:p>
      <w:pPr>
        <w:ind w:left="504"/>
      </w:pPr>
      <w:r>
        <w:rPr>
          <w:b/>
          <w:color w:val="7F007F"/>
        </w:rPr>
        <w:t xml:space="preserve">[GRANT COMPLIANCE REVIEW REQUIRED]  </w:t>
      </w:r>
      <w:r>
        <w:rPr>
          <w:i/>
          <w:color w:val="595959"/>
        </w:rPr>
        <w:t>Confirm every award field against the executed award, the controlling round/NOFO, and the Specific Award Conditions before finalizing. See NTIA Standard Terms and Conditions, DOC Financial Assistance Standard Terms and Conditions, and the award's Specific Award Conditions (NOT supplied) and TBCP Round 2 Notice of Funding Opportunity, as amended March 2024 (PROVISIONAL BASELINE — controlling round/award NOT supplied; confirm before finalizing).</w:t>
      </w:r>
    </w:p>
    <w:p>
      <w:pPr>
        <w:ind w:left="504"/>
      </w:pPr>
      <w:r>
        <w:rPr>
          <w:b/>
          <w:color w:val="0000C0"/>
        </w:rPr>
        <w:t xml:space="preserve">[ATTORNEY REVIEW REQUIRED]  </w:t>
      </w:r>
      <w:r>
        <w:rPr>
          <w:i/>
          <w:color w:val="595959"/>
        </w:rPr>
        <w:t>Confirm the recipient of record and any designation of a wholly owned Tribal entity or Tribally chartered instrumentality designated by the Lumbee Tribe as the contracting Tribal party.</w:t>
      </w:r>
    </w:p>
    <w:p>
      <w:pPr>
        <w:pStyle w:val="Heading1"/>
        <w:spacing w:before="240" w:after="120"/>
      </w:pPr>
      <w:r>
        <w:rPr>
          <w:rFonts w:ascii="Calibri" w:hAnsi="Calibri"/>
          <w:b/>
          <w:color w:val="1F3864"/>
          <w:sz w:val="26"/>
        </w:rPr>
        <w:t>ARTICLE 2.  AUTHORIZED SIGNATORIES</w:t>
      </w:r>
    </w:p>
    <w:p>
      <w:r>
        <w:rPr>
          <w:b w:val="0"/>
          <w:i w:val="0"/>
        </w:rPr>
        <w:t>Signature authority and titles are placeholders pending governing resolutions and corporate consents.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312"/>
            <w:shd w:val="clear" w:color="auto" w:fill="1F3864"/>
            <w:vAlign w:val="center"/>
          </w:tcPr>
          <w:p>
            <w:pPr>
              <w:jc w:val="center"/>
            </w:pPr>
            <w:r>
              <w:rPr>
                <w:b/>
                <w:color w:val="FFFFFF"/>
                <w:sz w:val="18"/>
              </w:rPr>
              <w:t>Party</w:t>
            </w:r>
          </w:p>
        </w:tc>
        <w:tc>
          <w:tcPr>
            <w:tcW w:type="dxa" w:w="2160"/>
            <w:shd w:val="clear" w:color="auto" w:fill="1F3864"/>
            <w:vAlign w:val="center"/>
          </w:tcPr>
          <w:p>
            <w:pPr>
              <w:jc w:val="center"/>
            </w:pPr>
            <w:r>
              <w:rPr>
                <w:b/>
                <w:color w:val="FFFFFF"/>
                <w:sz w:val="18"/>
              </w:rPr>
              <w:t>Signatory</w:t>
            </w:r>
          </w:p>
        </w:tc>
        <w:tc>
          <w:tcPr>
            <w:tcW w:type="dxa" w:w="2016"/>
            <w:shd w:val="clear" w:color="auto" w:fill="1F3864"/>
            <w:vAlign w:val="center"/>
          </w:tcPr>
          <w:p>
            <w:pPr>
              <w:jc w:val="center"/>
            </w:pPr>
            <w:r>
              <w:rPr>
                <w:b/>
                <w:color w:val="FFFFFF"/>
                <w:sz w:val="18"/>
              </w:rPr>
              <w:t>Title</w:t>
            </w:r>
          </w:p>
        </w:tc>
        <w:tc>
          <w:tcPr>
            <w:tcW w:type="dxa" w:w="2304"/>
            <w:shd w:val="clear" w:color="auto" w:fill="1F3864"/>
            <w:vAlign w:val="center"/>
          </w:tcPr>
          <w:p>
            <w:pPr>
              <w:jc w:val="center"/>
            </w:pPr>
            <w:r>
              <w:rPr>
                <w:b/>
                <w:color w:val="FFFFFF"/>
                <w:sz w:val="18"/>
              </w:rPr>
              <w:t>Authority basis</w:t>
            </w:r>
          </w:p>
        </w:tc>
      </w:tr>
      <w:tr>
        <w:tc>
          <w:tcPr>
            <w:tcW w:type="dxa" w:w="3312"/>
            <w:vAlign w:val="center"/>
          </w:tcPr>
          <w:p>
            <w:r>
              <w:rPr>
                <w:b w:val="0"/>
                <w:i w:val="0"/>
                <w:sz w:val="18"/>
              </w:rPr>
              <w:t>Lumbee Tribe of North Carolina</w:t>
            </w:r>
          </w:p>
        </w:tc>
        <w:tc>
          <w:tcPr>
            <w:tcW w:type="dxa" w:w="2160"/>
            <w:vAlign w:val="center"/>
          </w:tcPr>
          <w:p>
            <w:r>
              <w:rPr>
                <w:b w:val="0"/>
                <w:i w:val="0"/>
                <w:color w:val="804000"/>
                <w:sz w:val="18"/>
                <w:highlight w:val="yellow"/>
              </w:rPr>
              <w:t>[■ authorized Tribal signatory]</w:t>
            </w:r>
          </w:p>
        </w:tc>
        <w:tc>
          <w:tcPr>
            <w:tcW w:type="dxa" w:w="2016"/>
            <w:vAlign w:val="center"/>
          </w:tcPr>
          <w:p>
            <w:r>
              <w:rPr>
                <w:b w:val="0"/>
                <w:i w:val="0"/>
                <w:color w:val="804000"/>
                <w:sz w:val="18"/>
                <w:highlight w:val="yellow"/>
              </w:rPr>
              <w:t>[■ e.g., Chairman / Tribal Administrator]</w:t>
            </w:r>
          </w:p>
        </w:tc>
        <w:tc>
          <w:tcPr>
            <w:tcW w:type="dxa" w:w="2304"/>
            <w:vAlign w:val="center"/>
          </w:tcPr>
          <w:p>
            <w:r>
              <w:rPr>
                <w:b w:val="0"/>
                <w:i w:val="0"/>
                <w:color w:val="804000"/>
                <w:sz w:val="18"/>
                <w:highlight w:val="yellow"/>
              </w:rPr>
              <w:t>[■ Tribal Council resolution no. &amp; date]</w:t>
            </w:r>
          </w:p>
        </w:tc>
      </w:tr>
      <w:tr>
        <w:tc>
          <w:tcPr>
            <w:tcW w:type="dxa" w:w="3312"/>
            <w:shd w:val="clear" w:color="auto" w:fill="F2F2F2"/>
            <w:vAlign w:val="center"/>
          </w:tcPr>
          <w:p>
            <w:r>
              <w:rPr>
                <w:b w:val="0"/>
                <w:i w:val="0"/>
                <w:sz w:val="18"/>
              </w:rPr>
              <w:t>LREMC Technologies, LLC d/b/a RIVR Tech</w:t>
            </w:r>
          </w:p>
        </w:tc>
        <w:tc>
          <w:tcPr>
            <w:tcW w:type="dxa" w:w="2160"/>
            <w:shd w:val="clear" w:color="auto" w:fill="F2F2F2"/>
            <w:vAlign w:val="center"/>
          </w:tcPr>
          <w:p>
            <w:r>
              <w:rPr>
                <w:b w:val="0"/>
                <w:i w:val="0"/>
                <w:color w:val="804000"/>
                <w:sz w:val="18"/>
                <w:highlight w:val="yellow"/>
              </w:rPr>
              <w:t>[■ authorized RIVR Tech signatory]</w:t>
            </w:r>
          </w:p>
        </w:tc>
        <w:tc>
          <w:tcPr>
            <w:tcW w:type="dxa" w:w="2016"/>
            <w:shd w:val="clear" w:color="auto" w:fill="F2F2F2"/>
            <w:vAlign w:val="center"/>
          </w:tcPr>
          <w:p>
            <w:r>
              <w:rPr>
                <w:b w:val="0"/>
                <w:i w:val="0"/>
                <w:color w:val="804000"/>
                <w:sz w:val="18"/>
                <w:highlight w:val="yellow"/>
              </w:rPr>
              <w:t>[■ e.g., CEO / Manager]</w:t>
            </w:r>
          </w:p>
        </w:tc>
        <w:tc>
          <w:tcPr>
            <w:tcW w:type="dxa" w:w="2304"/>
            <w:shd w:val="clear" w:color="auto" w:fill="F2F2F2"/>
            <w:vAlign w:val="center"/>
          </w:tcPr>
          <w:p>
            <w:r>
              <w:rPr>
                <w:b w:val="0"/>
                <w:i w:val="0"/>
                <w:color w:val="804000"/>
                <w:sz w:val="18"/>
                <w:highlight w:val="yellow"/>
              </w:rPr>
              <w:t>[■ board/member consent no. &amp; date]</w:t>
            </w:r>
          </w:p>
        </w:tc>
      </w:tr>
      <w:tr>
        <w:tc>
          <w:tcPr>
            <w:tcW w:type="dxa" w:w="3312"/>
            <w:vAlign w:val="center"/>
          </w:tcPr>
          <w:p>
            <w:r>
              <w:rPr>
                <w:b w:val="0"/>
                <w:i w:val="0"/>
                <w:sz w:val="18"/>
              </w:rPr>
              <w:t>Lumbee River Electric Membership Corporation d/b/a Lumbee River EMC</w:t>
            </w:r>
          </w:p>
        </w:tc>
        <w:tc>
          <w:tcPr>
            <w:tcW w:type="dxa" w:w="2160"/>
            <w:vAlign w:val="center"/>
          </w:tcPr>
          <w:p>
            <w:r>
              <w:rPr>
                <w:b w:val="0"/>
                <w:i w:val="0"/>
                <w:color w:val="804000"/>
                <w:sz w:val="18"/>
                <w:highlight w:val="yellow"/>
              </w:rPr>
              <w:t>[■ authorized LREMC signatory]</w:t>
            </w:r>
          </w:p>
        </w:tc>
        <w:tc>
          <w:tcPr>
            <w:tcW w:type="dxa" w:w="2016"/>
            <w:vAlign w:val="center"/>
          </w:tcPr>
          <w:p>
            <w:r>
              <w:rPr>
                <w:b w:val="0"/>
                <w:i w:val="0"/>
                <w:color w:val="804000"/>
                <w:sz w:val="18"/>
                <w:highlight w:val="yellow"/>
              </w:rPr>
              <w:t>[■ e.g., CEO / General Manager]</w:t>
            </w:r>
          </w:p>
        </w:tc>
        <w:tc>
          <w:tcPr>
            <w:tcW w:type="dxa" w:w="2304"/>
            <w:vAlign w:val="center"/>
          </w:tcPr>
          <w:p>
            <w:r>
              <w:rPr>
                <w:b w:val="0"/>
                <w:i w:val="0"/>
                <w:color w:val="804000"/>
                <w:sz w:val="18"/>
                <w:highlight w:val="yellow"/>
              </w:rPr>
              <w:t>[■ LREMC board resolution no. &amp; date]</w:t>
            </w:r>
          </w:p>
        </w:tc>
      </w:tr>
    </w:tbl>
    <w:p>
      <w:pPr>
        <w:ind w:left="504"/>
      </w:pPr>
      <w:r>
        <w:rPr>
          <w:b/>
          <w:color w:val="0000C0"/>
        </w:rPr>
        <w:t xml:space="preserve">[ATTORNEY REVIEW REQUIRED]  </w:t>
      </w:r>
      <w:r>
        <w:rPr>
          <w:i/>
          <w:color w:val="595959"/>
        </w:rPr>
        <w:t>LREMC signs only as owner of the LREMC Facilities via a separate owner-approved agreement or joinder; it is not a party to the core Tribe/RIVR Tech commercial terms except where it consents to use of its facilities.</w:t>
      </w:r>
    </w:p>
    <w:p>
      <w:pPr>
        <w:pStyle w:val="Heading1"/>
        <w:spacing w:before="240" w:after="120"/>
      </w:pPr>
      <w:r>
        <w:rPr>
          <w:rFonts w:ascii="Calibri" w:hAnsi="Calibri"/>
          <w:b/>
          <w:color w:val="1F3864"/>
          <w:sz w:val="26"/>
        </w:rPr>
        <w:t>ARTICLE 3.  GOVERNING RESOLUTIONS AND CONSENTS</w:t>
      </w:r>
    </w:p>
    <w:p>
      <w:r>
        <w:rPr>
          <w:b w:val="0"/>
          <w:i w:val="0"/>
        </w:rPr>
        <w:t>The following authorizing instruments are required and are all PENDING; none has been supplied or confirmed:</w:t>
      </w:r>
    </w:p>
    <w:p>
      <w:pPr>
        <w:pStyle w:val="ListBullet"/>
      </w:pPr>
      <w:r>
        <w:rPr>
          <w:b w:val="0"/>
          <w:i w:val="0"/>
        </w:rPr>
        <w:t xml:space="preserve">Lumbee Tribe — Tribal Council resolution authorizing the TBCP partnership, the Master TBCP Partnership and Implementation Agreement, and the acceptance/stewardship of the Grant-Funded Assets </w:t>
      </w:r>
      <w:r>
        <w:rPr>
          <w:b w:val="0"/>
          <w:i w:val="0"/>
          <w:color w:val="804000"/>
          <w:highlight w:val="yellow"/>
        </w:rPr>
        <w:t>[■ resolution number &amp; date]</w:t>
      </w:r>
    </w:p>
    <w:p>
      <w:pPr>
        <w:pStyle w:val="ListBullet"/>
      </w:pPr>
      <w:r>
        <w:rPr>
          <w:b w:val="0"/>
          <w:i w:val="0"/>
        </w:rPr>
        <w:t xml:space="preserve">RIVR Tech — member/board consent authorizing execution and performance </w:t>
      </w:r>
      <w:r>
        <w:rPr>
          <w:b w:val="0"/>
          <w:i w:val="0"/>
          <w:color w:val="804000"/>
          <w:highlight w:val="yellow"/>
        </w:rPr>
        <w:t>[■ consent number &amp; date]</w:t>
      </w:r>
    </w:p>
    <w:p>
      <w:pPr>
        <w:pStyle w:val="ListBullet"/>
      </w:pPr>
      <w:r>
        <w:rPr>
          <w:b w:val="0"/>
          <w:i w:val="0"/>
        </w:rPr>
        <w:t xml:space="preserve">LREMC — board resolution authorizing use of the LREMC Facilities and any joinder </w:t>
      </w:r>
      <w:r>
        <w:rPr>
          <w:b w:val="0"/>
          <w:i w:val="0"/>
          <w:color w:val="804000"/>
          <w:highlight w:val="yellow"/>
        </w:rPr>
        <w:t>[■ resolution number &amp; date]</w:t>
      </w:r>
    </w:p>
    <w:p>
      <w:pPr>
        <w:pStyle w:val="ListBullet"/>
      </w:pPr>
      <w:r>
        <w:rPr>
          <w:b w:val="0"/>
          <w:i w:val="0"/>
        </w:rPr>
        <w:t xml:space="preserve">Any lender consent, subordination, or collateral-access acknowledgment </w:t>
      </w:r>
      <w:r>
        <w:rPr>
          <w:b w:val="0"/>
          <w:i w:val="0"/>
          <w:color w:val="804000"/>
          <w:highlight w:val="yellow"/>
        </w:rPr>
        <w:t>[■ lender &amp; instrument]</w:t>
      </w:r>
    </w:p>
    <w:p>
      <w:pPr>
        <w:ind w:left="504"/>
      </w:pPr>
      <w:r>
        <w:rPr>
          <w:b/>
          <w:color w:val="0000C0"/>
        </w:rPr>
        <w:t xml:space="preserve">[ATTORNEY REVIEW REQUIRED]  </w:t>
      </w:r>
      <w:r>
        <w:rPr>
          <w:i/>
          <w:color w:val="595959"/>
        </w:rPr>
        <w:t>Confirm quorum, notice, and authority for each resolution; attach certified copies as sub-exhibits when obtained.</w:t>
      </w:r>
    </w:p>
    <w:p>
      <w:pPr>
        <w:pStyle w:val="Heading1"/>
        <w:spacing w:before="240" w:after="120"/>
      </w:pPr>
      <w:r>
        <w:rPr>
          <w:rFonts w:ascii="Calibri" w:hAnsi="Calibri"/>
          <w:b/>
          <w:color w:val="1F3864"/>
          <w:sz w:val="26"/>
        </w:rPr>
        <w:t>ARTICLE 4.  ORDER OF PRECEDENCE</w:t>
      </w:r>
    </w:p>
    <w:p>
      <w:r>
        <w:rPr>
          <w:b w:val="0"/>
          <w:i w:val="0"/>
        </w:rPr>
        <w:t>In the event of a conflict among the instruments comprising the transaction, the following order of precedence controls, from highest to lowest:</w:t>
      </w:r>
    </w:p>
    <w:p>
      <w:pPr>
        <w:pStyle w:val="ListNumber"/>
      </w:pPr>
      <w:r>
        <w:rPr>
          <w:b w:val="0"/>
          <w:i w:val="0"/>
        </w:rPr>
        <w:t>the executed federal Award and all requirements incorporated into it (including the controlling NOFO, the Specific Award Conditions, the approved application, budget, routes, and service commitments, and any later written NTIA/DOC determination)</w:t>
      </w:r>
    </w:p>
    <w:p>
      <w:pPr>
        <w:pStyle w:val="ListNumber"/>
      </w:pPr>
      <w:r>
        <w:rPr>
          <w:b w:val="0"/>
          <w:i w:val="0"/>
        </w:rPr>
        <w:t>applicable federal statutes and regulations, including 2 CFR Part 200 and NTIA/DOC award terms</w:t>
      </w:r>
    </w:p>
    <w:p>
      <w:pPr>
        <w:pStyle w:val="ListNumber"/>
      </w:pPr>
      <w:r>
        <w:rPr>
          <w:b w:val="0"/>
          <w:i w:val="0"/>
        </w:rPr>
        <w:t>the approved project documents</w:t>
      </w:r>
    </w:p>
    <w:p>
      <w:pPr>
        <w:pStyle w:val="ListNumber"/>
      </w:pPr>
      <w:r>
        <w:rPr>
          <w:b w:val="0"/>
          <w:i w:val="0"/>
        </w:rPr>
        <w:t>the Master TBCP Partnership and Implementation Agreement</w:t>
      </w:r>
    </w:p>
    <w:p>
      <w:pPr>
        <w:pStyle w:val="ListNumber"/>
      </w:pPr>
      <w:r>
        <w:rPr>
          <w:b w:val="0"/>
          <w:i w:val="0"/>
        </w:rPr>
        <w:t>the other Definitive Agreements</w:t>
      </w:r>
    </w:p>
    <w:p>
      <w:pPr>
        <w:pStyle w:val="ListNumber"/>
      </w:pPr>
      <w:r>
        <w:rPr>
          <w:b w:val="0"/>
          <w:i w:val="0"/>
        </w:rPr>
        <w:t>the Schedules, Exhibits, Certificates, and Operational Forms</w:t>
      </w:r>
    </w:p>
    <w:p>
      <w:pPr>
        <w:pStyle w:val="Heading2"/>
        <w:spacing w:before="160" w:after="60"/>
      </w:pPr>
      <w:r>
        <w:rPr>
          <w:rFonts w:ascii="Calibri" w:hAnsi="Calibri"/>
          <w:b/>
          <w:color w:val="000000"/>
          <w:sz w:val="22"/>
        </w:rPr>
        <w:t>4.1  Precedence Rule</w:t>
      </w:r>
    </w:p>
    <w:p>
      <w:r>
        <w:rPr>
          <w:b w:val="0"/>
          <w:i w:val="0"/>
        </w:rPr>
        <w:t>No commercial agreement, schedule, or form authorizes any act prohibited by, or inconsistent with, the Award or applicable federal law; in any conflict the higher-ranked instrument controls, and a lawful construction and service provision is not invalidated by a rejected IRU, exclusivity, payment, or commercial-use term (severability and reformation apply).</w:t>
      </w:r>
    </w:p>
    <w:p>
      <w:pPr>
        <w:pStyle w:val="Heading2"/>
        <w:spacing w:before="160" w:after="60"/>
      </w:pPr>
      <w:r>
        <w:rPr>
          <w:rFonts w:ascii="Calibri" w:hAnsi="Calibri"/>
          <w:b/>
          <w:color w:val="000000"/>
          <w:sz w:val="22"/>
        </w:rPr>
        <w:t>4.2  Shared Definitions</w:t>
      </w:r>
    </w:p>
    <w:p>
      <w:r>
        <w:rPr>
          <w:b w:val="0"/>
          <w:i w:val="0"/>
        </w:rPr>
        <w:t>Capitalized terms used and not otherwise defined in a document have the meanings given in Article 2 (Definitions) of the Master TBCP Partnership and Implementation Agreement, which is the single shared definitions source for the package.</w:t>
      </w:r>
    </w:p>
    <w:p>
      <w:pPr>
        <w:ind w:left="504"/>
      </w:pPr>
      <w:r>
        <w:rPr>
          <w:b/>
          <w:color w:val="0000C0"/>
        </w:rPr>
        <w:t xml:space="preserve">[ATTORNEY REVIEW REQUIRED]  </w:t>
      </w:r>
      <w:r>
        <w:rPr>
          <w:i/>
          <w:color w:val="595959"/>
        </w:rPr>
        <w:t>Sovereign immunity, limited waiver (if any), dispute resolution, and governing law are bracketed ALTERNATIVES to be selected by counsel. See Santa Clara Pueblo v. Martinez, 436 U.S. 49 (1978); C&amp;L Enterprises v. Citizen Band Potawatomi, 532 U.S. 411 (2001); Michigan v. Bay Mills, 572 U.S. 782 (2014) (tribal sovereign immunity; clear express waiver required).</w:t>
      </w:r>
    </w:p>
    <w:p/>
    <w:p>
      <w:pPr>
        <w:pStyle w:val="Heading2"/>
        <w:spacing w:before="160" w:after="60"/>
      </w:pPr>
      <w:r>
        <w:rPr>
          <w:rFonts w:ascii="Calibri" w:hAnsi="Calibri"/>
          <w:b/>
          <w:color w:val="000000"/>
          <w:sz w:val="22"/>
        </w:rPr>
        <w:t xml:space="preserve">  Draft Disclaimer</w:t>
      </w:r>
    </w:p>
    <w:p>
      <w:r>
        <w:rPr>
          <w:b w:val="0"/>
          <w:i/>
        </w:rPr>
        <w:t>This Schedule is a working draft prepared for discussion only. It is not executed, is not final legal advice, and does not create binding obligations. No controlling TBCP award or source documents were supplied; the provisional baseline is the TBCP Round 2 Notice of Funding Opportunity, as amended March 2024 (PROVISIONAL BASELINE). Round 3 is the live TBCP round as of the version date; the controlling round and executed award must be confirmed before any definitive clause is finalized. Every bracketed placeholder, flag, and alternative must be resolved by the responsible legal, grant, financial, and technical reviewers before finalization.</w:t>
      </w:r>
    </w:p>
    <w:p>
      <w:pPr>
        <w:jc w:val="center"/>
      </w:pPr>
      <w:r>
        <w:rPr>
          <w:b/>
          <w:color w:val="C00000"/>
          <w:highlight w:val="yellow"/>
        </w:rPr>
        <w:t>PRELIMINARY DRAFT – NO CONTROLLING TBCP AWARD OR SOURCE DOCUMENTS SUPPLIED – PROVISIONAL BASELINE: MARCH 2024 AMENDED ROUND 2 NOFO – SUBJECT TO LEGAL, GRANT AND FINANCIAL REVIEW</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color w:val="595959"/>
        <w:sz w:val="16"/>
      </w:rPr>
    </w:r>
    <w:r>
      <w:rPr>
        <w:color w:val="595959"/>
        <w:sz w:val="16"/>
      </w:rPr>
      <w:t>Preliminary Draft v0.1 | September 26, 2026</w:t>
    </w:r>
    <w:r>
      <w:rPr>
        <w:color w:val="595959"/>
        <w:sz w:val="16"/>
      </w:rPr>
      <w:tab/>
    </w:r>
    <w:r>
      <w:rPr>
        <w:color w:val="595959"/>
        <w:sz w:val="16"/>
      </w:rPr>
      <w:fldChar w:fldCharType="begin"/>
      <w:instrText xml:space="preserve">PAGE</w:instrText>
      <w:fldChar w:fldCharType="separate"/>
      <w:fldChar w:fldCharType="end"/>
    </w:r>
    <w:r>
      <w:rPr>
        <w:color w:val="595959"/>
        <w:sz w:val="16"/>
      </w:rPr>
      <w:t xml:space="preserve"> of </w:t>
    </w:r>
    <w:r>
      <w:rPr>
        <w:color w:val="595959"/>
        <w:sz w:val="16"/>
      </w:rPr>
      <w:fldChar w:fldCharType="begin"/>
      <w:instrText xml:space="preserve">NUMPAGES</w:instrText>
      <w:fldChar w:fldCharType="separate"/>
      <w:fldChar w:fldCharType="end"/>
    </w:r>
    <w:r>
      <w:tab/>
    </w:r>
    <w:r>
      <w:rPr>
        <w:color w:val="595959"/>
        <w:sz w:val="16"/>
      </w:rPr>
      <w:t>Confidential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95959"/>
        <w:sz w:val="16"/>
      </w:rPr>
      <w:t>Schedule S1  —  PRELIMINARY DRAFT – SUBJECT TO LEGAL, GRANT AND FINANCIAL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