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C00000"/>
          <w:sz w:val="22"/>
          <w:highlight w:val="yellow"/>
        </w:rPr>
        <w:t>PRELIMINARY DRAFT – NO CONTROLLING TBCP AWARD OR SOURCE DOCUMENTS SUPPLIED – PROVISIONAL BASELINE: MARCH 2024 AMENDED ROUND 2 NOFO – SUBJECT TO LEGAL, GRANT AND FINANCIAL REVIEW</w:t>
      </w:r>
    </w:p>
    <w:p/>
    <w:p/>
    <w:p/>
    <w:p>
      <w:pPr>
        <w:jc w:val="center"/>
      </w:pPr>
      <w:r>
        <w:rPr>
          <w:b/>
          <w:color w:val="595959"/>
          <w:sz w:val="24"/>
        </w:rPr>
        <w:t>SCHEDULE S4 — Engineering Standards, Bill of Materials, Equipment, Interconnection, and Demarcation</w:t>
      </w:r>
    </w:p>
    <w:p>
      <w:pPr>
        <w:jc w:val="center"/>
      </w:pPr>
      <w:r>
        <w:rPr>
          <w:b/>
          <w:color w:val="1F3864"/>
          <w:sz w:val="48"/>
        </w:rPr>
        <w:t>Engineering Standards, Bill of Materials, Equipment, Interconnection, and Demarcation</w:t>
      </w:r>
    </w:p>
    <w:p/>
    <w:p/>
    <w:p>
      <w:pPr>
        <w:jc w:val="center"/>
      </w:pPr>
      <w:r>
        <w:rPr>
          <w:i/>
          <w:sz w:val="22"/>
        </w:rPr>
        <w:t>by and between</w:t>
      </w:r>
    </w:p>
    <w:p>
      <w:pPr>
        <w:jc w:val="center"/>
      </w:pPr>
      <w:r>
        <w:rPr>
          <w:b/>
          <w:i w:val="0"/>
          <w:color w:val="1F3864"/>
          <w:sz w:val="28"/>
        </w:rPr>
        <w:t>Lumbee Tribe of North Carolina</w:t>
      </w:r>
    </w:p>
    <w:p>
      <w:pPr>
        <w:jc w:val="center"/>
      </w:pPr>
      <w:r>
        <w:rPr>
          <w:b w:val="0"/>
          <w:i/>
          <w:sz w:val="22"/>
        </w:rPr>
        <w:t>and</w:t>
      </w:r>
    </w:p>
    <w:p>
      <w:pPr>
        <w:jc w:val="center"/>
      </w:pPr>
      <w:r>
        <w:rPr>
          <w:b/>
          <w:i w:val="0"/>
          <w:color w:val="1F3864"/>
          <w:sz w:val="28"/>
        </w:rPr>
        <w:t>LREMC Technologies, LLC d/b/a RIVR Tech</w:t>
      </w:r>
    </w:p>
    <w:p/>
    <w:p/>
    <w:p/>
    <w:p/>
    <w:p>
      <w:pPr>
        <w:jc w:val="center"/>
      </w:pPr>
      <w:r>
        <w:rPr>
          <w:b/>
          <w:sz w:val="20"/>
        </w:rPr>
        <w:t xml:space="preserve">Version:  </w:t>
      </w:r>
      <w:r>
        <w:rPr>
          <w:sz w:val="20"/>
        </w:rPr>
        <w:t>Preliminary Draft v0.1</w:t>
      </w:r>
    </w:p>
    <w:p>
      <w:pPr>
        <w:jc w:val="center"/>
      </w:pPr>
      <w:r>
        <w:rPr>
          <w:b/>
          <w:sz w:val="20"/>
        </w:rPr>
        <w:t xml:space="preserve">Version Date:  </w:t>
      </w:r>
      <w:r>
        <w:rPr>
          <w:sz w:val="20"/>
        </w:rPr>
        <w:t>September 26, 2026</w:t>
      </w:r>
    </w:p>
    <w:p>
      <w:pPr>
        <w:jc w:val="center"/>
      </w:pPr>
      <w:r>
        <w:rPr>
          <w:b/>
          <w:sz w:val="20"/>
        </w:rPr>
        <w:t xml:space="preserve">Document Status:  </w:t>
      </w:r>
      <w:r>
        <w:rPr>
          <w:sz w:val="20"/>
        </w:rPr>
        <w:t>Working draft — not executed; not final legal advice</w:t>
      </w:r>
    </w:p>
    <w:p>
      <w:pPr>
        <w:jc w:val="center"/>
      </w:pPr>
      <w:r>
        <w:rPr>
          <w:b/>
          <w:sz w:val="20"/>
        </w:rPr>
        <w:t xml:space="preserve">Program:  </w:t>
      </w:r>
      <w:r>
        <w:rPr>
          <w:sz w:val="20"/>
        </w:rPr>
        <w:t>Tribal Broadband Connectivity Program (TBCP), National Telecommunications and Information Administration (NTIA)</w:t>
      </w:r>
    </w:p>
    <w:p/>
    <w:p/>
    <w:p>
      <w:pPr>
        <w:jc w:val="center"/>
      </w:pPr>
      <w:r>
        <w:rPr>
          <w:i/>
          <w:color w:val="595959"/>
          <w:sz w:val="18"/>
        </w:rPr>
        <w:t>CONFIDENTIAL – ATTORNEY WORK PRODUCT / SUBJECT TO COMMON-INTEREST PRIVILEGE</w:t>
      </w:r>
    </w:p>
    <w:p>
      <w:r>
        <w:br w:type="page"/>
      </w:r>
    </w:p>
    <w:p>
      <w:pPr>
        <w:jc w:val="center"/>
      </w:pPr>
      <w:r>
        <w:rPr>
          <w:b/>
          <w:color w:val="C00000"/>
          <w:highlight w:val="yellow"/>
        </w:rPr>
        <w:t>PRELIMINARY DRAFT – NO CONTROLLING TBCP AWARD OR SOURCE DOCUMENTS SUPPLIED – PROVISIONAL BASELINE: MARCH 2024 AMENDED ROUND 2 NOFO – SUBJECT TO LEGAL, GRANT AND FINANCIAL REVIEW</w:t>
      </w:r>
    </w:p>
    <w:p/>
    <w:p>
      <w:r>
        <w:rPr>
          <w:b w:val="0"/>
          <w:i/>
        </w:rPr>
        <w:t>This is Schedule S4 (Engineering Standards, Bill of Materials, Equipment, Interconnection, and Demarcation) to the Master TBCP Partnership and Implementation Agreement. Capitalized terms used and not otherwise defined in a document have the meanings given in Article 2 (Definitions) of the Master TBCP Partnership and Implementation Agreement, which is the single shared definitions source for the package.</w:t>
      </w:r>
    </w:p>
    <w:p>
      <w:r>
        <w:rPr>
          <w:b w:val="0"/>
          <w:i/>
        </w:rPr>
        <w:t>No commercial agreement, schedule, or form authorizes any act prohibited by, or inconsistent with, the Award or applicable federal law; in any conflict the higher-ranked instrument controls, and a lawful construction and service provision is not invalidated by a rejected IRU, exclusivity, payment, or commercial-use term (severability and reformation apply).</w:t>
      </w:r>
    </w:p>
    <w:p/>
    <w:p>
      <w:pPr>
        <w:pStyle w:val="Heading1"/>
        <w:spacing w:before="240" w:after="120"/>
      </w:pPr>
      <w:r>
        <w:rPr>
          <w:rFonts w:ascii="Calibri" w:hAnsi="Calibri"/>
          <w:b/>
          <w:color w:val="1F3864"/>
          <w:sz w:val="26"/>
        </w:rPr>
        <w:t>ARTICLE 1.  ENGINEERING AND TECHNOLOGY STANDARDS</w:t>
      </w:r>
    </w:p>
    <w:p>
      <w:r>
        <w:rPr>
          <w:b w:val="0"/>
          <w:i w:val="0"/>
        </w:rPr>
        <w:t>The Grant-Funded Assets shall be designed, engineered, and constructed as a fiber-to-the-home (FTTH) passive optical network meeting the following standards, subject to technical confirmation:</w:t>
      </w:r>
    </w:p>
    <w:p>
      <w:pPr>
        <w:pStyle w:val="ListBullet"/>
      </w:pPr>
      <w:r>
        <w:rPr>
          <w:b w:val="0"/>
          <w:i w:val="0"/>
        </w:rPr>
        <w:t xml:space="preserve">FTTH architecture using XGS-PON (10 Gbps symmetrical) as the target PON generation, backward-compatible with GPON where required </w:t>
      </w:r>
      <w:r>
        <w:rPr>
          <w:b/>
          <w:i w:val="0"/>
          <w:color w:val="007000"/>
        </w:rPr>
        <w:t>[TECHNICAL INFORMATION REQUIRED]</w:t>
      </w:r>
    </w:p>
    <w:p>
      <w:pPr>
        <w:pStyle w:val="ListBullet"/>
      </w:pPr>
      <w:r>
        <w:rPr>
          <w:b w:val="0"/>
          <w:i w:val="0"/>
        </w:rPr>
        <w:t xml:space="preserve">Calix-class (or functionally equivalent, §889-compliant) OLT/ONT platform </w:t>
      </w:r>
      <w:r>
        <w:rPr>
          <w:b/>
          <w:i w:val="0"/>
          <w:color w:val="007000"/>
        </w:rPr>
        <w:t>[TECHNICAL INFORMATION REQUIRED]</w:t>
      </w:r>
    </w:p>
    <w:p>
      <w:pPr>
        <w:pStyle w:val="ListBullet"/>
      </w:pPr>
      <w:r>
        <w:rPr>
          <w:b w:val="0"/>
          <w:i w:val="0"/>
        </w:rPr>
        <w:t xml:space="preserve">ITU-T G.9807.1 (XGS-PON) and ITU-T G.984 (GPON) conformance </w:t>
      </w:r>
      <w:r>
        <w:rPr>
          <w:b/>
          <w:i w:val="0"/>
          <w:color w:val="007000"/>
        </w:rPr>
        <w:t>[TECHNICAL INFORMATION REQUIRED]</w:t>
      </w:r>
    </w:p>
    <w:p>
      <w:pPr>
        <w:pStyle w:val="ListBullet"/>
      </w:pPr>
      <w:r>
        <w:rPr>
          <w:b w:val="0"/>
          <w:i w:val="0"/>
        </w:rPr>
        <w:t xml:space="preserve">Split ratios, wavelength plan, and power budget </w:t>
      </w:r>
      <w:r>
        <w:rPr>
          <w:b w:val="0"/>
          <w:i w:val="0"/>
          <w:color w:val="804000"/>
          <w:highlight w:val="yellow"/>
        </w:rPr>
        <w:t>[■ split ratio / wavelength / budget]</w:t>
      </w:r>
    </w:p>
    <w:p>
      <w:pPr>
        <w:pStyle w:val="ListBullet"/>
      </w:pPr>
      <w:r>
        <w:rPr>
          <w:b w:val="0"/>
          <w:i w:val="0"/>
        </w:rPr>
        <w:t>BABA / domestic-preference and §889 supply-chain compliance for all equipment (see Build America, Buy America Act, IIJA §§ 70911–70917 (Pub. L. 117-58); 2 CFR Part 184; and NTIA BABA award terms; 2 CFR 200.216 (Prohibition on certain telecommunications and video surveillance — §889 covered equipment))</w:t>
      </w:r>
    </w:p>
    <w:p>
      <w:pPr>
        <w:ind w:left="504"/>
      </w:pPr>
      <w:r>
        <w:rPr>
          <w:b/>
          <w:color w:val="007000"/>
        </w:rPr>
        <w:t xml:space="preserve">[TECHNICAL INFORMATION REQUIRED]  </w:t>
      </w:r>
      <w:r>
        <w:rPr>
          <w:i/>
          <w:color w:val="595959"/>
        </w:rPr>
        <w:t>Confirm PON generation, vendor/platform, split ratios, and power budget with the design engineer of record.</w:t>
      </w:r>
    </w:p>
    <w:p>
      <w:pPr>
        <w:pStyle w:val="Heading1"/>
        <w:spacing w:before="240" w:after="120"/>
      </w:pPr>
      <w:r>
        <w:rPr>
          <w:rFonts w:ascii="Calibri" w:hAnsi="Calibri"/>
          <w:b/>
          <w:color w:val="1F3864"/>
          <w:sz w:val="26"/>
        </w:rPr>
        <w:t>ARTICLE 2.  BILL OF MATERIALS (CATEGORIES)</w:t>
      </w:r>
    </w:p>
    <w:p>
      <w:r>
        <w:rPr>
          <w:b w:val="0"/>
          <w:i w:val="0"/>
        </w:rPr>
        <w:t>BOM categories (line-item quantities and part numbers are placeholders pending final design):</w:t>
      </w:r>
    </w:p>
    <w:tbl>
      <w:tblPr>
        <w:tblStyle w:val="TableGrid"/>
        <w:tblW w:type="auto" w:w="0"/>
        <w:jc w:val="center"/>
        <w:tblLook w:firstColumn="1" w:firstRow="1" w:lastColumn="0" w:lastRow="0" w:noHBand="0" w:noVBand="1" w:val="04A0"/>
      </w:tblPr>
      <w:tblGrid>
        <w:gridCol w:w="3120"/>
        <w:gridCol w:w="3120"/>
        <w:gridCol w:w="3120"/>
      </w:tblGrid>
      <w:tr>
        <w:tc>
          <w:tcPr>
            <w:tcW w:type="dxa" w:w="2592"/>
            <w:shd w:val="clear" w:color="auto" w:fill="1F3864"/>
            <w:vAlign w:val="center"/>
          </w:tcPr>
          <w:p>
            <w:pPr>
              <w:jc w:val="center"/>
            </w:pPr>
            <w:r>
              <w:rPr>
                <w:b/>
                <w:color w:val="FFFFFF"/>
                <w:sz w:val="18"/>
              </w:rPr>
              <w:t>Category</w:t>
            </w:r>
          </w:p>
        </w:tc>
        <w:tc>
          <w:tcPr>
            <w:tcW w:type="dxa" w:w="4896"/>
            <w:shd w:val="clear" w:color="auto" w:fill="1F3864"/>
            <w:vAlign w:val="center"/>
          </w:tcPr>
          <w:p>
            <w:pPr>
              <w:jc w:val="center"/>
            </w:pPr>
            <w:r>
              <w:rPr>
                <w:b/>
                <w:color w:val="FFFFFF"/>
                <w:sz w:val="18"/>
              </w:rPr>
              <w:t>Representative Items</w:t>
            </w:r>
          </w:p>
        </w:tc>
        <w:tc>
          <w:tcPr>
            <w:tcW w:type="dxa" w:w="1872"/>
            <w:shd w:val="clear" w:color="auto" w:fill="1F3864"/>
            <w:vAlign w:val="center"/>
          </w:tcPr>
          <w:p>
            <w:pPr>
              <w:jc w:val="center"/>
            </w:pPr>
            <w:r>
              <w:rPr>
                <w:b/>
                <w:color w:val="FFFFFF"/>
                <w:sz w:val="18"/>
              </w:rPr>
              <w:t>Quantity</w:t>
            </w:r>
          </w:p>
        </w:tc>
      </w:tr>
      <w:tr>
        <w:tc>
          <w:tcPr>
            <w:tcW w:type="dxa" w:w="2592"/>
            <w:vAlign w:val="center"/>
          </w:tcPr>
          <w:p>
            <w:r>
              <w:rPr>
                <w:b w:val="0"/>
                <w:i w:val="0"/>
                <w:sz w:val="18"/>
              </w:rPr>
              <w:t>Outside plant fiber</w:t>
            </w:r>
          </w:p>
        </w:tc>
        <w:tc>
          <w:tcPr>
            <w:tcW w:type="dxa" w:w="4896"/>
            <w:vAlign w:val="center"/>
          </w:tcPr>
          <w:p>
            <w:r>
              <w:rPr>
                <w:b w:val="0"/>
                <w:i w:val="0"/>
                <w:sz w:val="18"/>
              </w:rPr>
              <w:t>Feeder/distribution/drop cable, strand, hardware</w:t>
            </w:r>
          </w:p>
        </w:tc>
        <w:tc>
          <w:tcPr>
            <w:tcW w:type="dxa" w:w="1872"/>
            <w:vAlign w:val="center"/>
          </w:tcPr>
          <w:p>
            <w:r>
              <w:rPr>
                <w:b w:val="0"/>
                <w:i w:val="0"/>
                <w:color w:val="804000"/>
                <w:sz w:val="18"/>
                <w:highlight w:val="yellow"/>
              </w:rPr>
              <w:t>[■ qty]</w:t>
            </w:r>
          </w:p>
        </w:tc>
      </w:tr>
      <w:tr>
        <w:tc>
          <w:tcPr>
            <w:tcW w:type="dxa" w:w="2592"/>
            <w:shd w:val="clear" w:color="auto" w:fill="F2F2F2"/>
            <w:vAlign w:val="center"/>
          </w:tcPr>
          <w:p>
            <w:r>
              <w:rPr>
                <w:b w:val="0"/>
                <w:i w:val="0"/>
                <w:sz w:val="18"/>
              </w:rPr>
              <w:t>Passive optics</w:t>
            </w:r>
          </w:p>
        </w:tc>
        <w:tc>
          <w:tcPr>
            <w:tcW w:type="dxa" w:w="4896"/>
            <w:shd w:val="clear" w:color="auto" w:fill="F2F2F2"/>
            <w:vAlign w:val="center"/>
          </w:tcPr>
          <w:p>
            <w:r>
              <w:rPr>
                <w:b w:val="0"/>
                <w:i w:val="0"/>
                <w:sz w:val="18"/>
              </w:rPr>
              <w:t>Splitters, splice enclosures, terminals, pedestals</w:t>
            </w:r>
          </w:p>
        </w:tc>
        <w:tc>
          <w:tcPr>
            <w:tcW w:type="dxa" w:w="1872"/>
            <w:shd w:val="clear" w:color="auto" w:fill="F2F2F2"/>
            <w:vAlign w:val="center"/>
          </w:tcPr>
          <w:p>
            <w:r>
              <w:rPr>
                <w:b w:val="0"/>
                <w:i w:val="0"/>
                <w:color w:val="804000"/>
                <w:sz w:val="18"/>
                <w:highlight w:val="yellow"/>
              </w:rPr>
              <w:t>[■ qty]</w:t>
            </w:r>
          </w:p>
        </w:tc>
      </w:tr>
      <w:tr>
        <w:tc>
          <w:tcPr>
            <w:tcW w:type="dxa" w:w="2592"/>
            <w:vAlign w:val="center"/>
          </w:tcPr>
          <w:p>
            <w:r>
              <w:rPr>
                <w:b w:val="0"/>
                <w:i w:val="0"/>
                <w:sz w:val="18"/>
              </w:rPr>
              <w:t>Active electronics</w:t>
            </w:r>
          </w:p>
        </w:tc>
        <w:tc>
          <w:tcPr>
            <w:tcW w:type="dxa" w:w="4896"/>
            <w:vAlign w:val="center"/>
          </w:tcPr>
          <w:p>
            <w:r>
              <w:rPr>
                <w:b w:val="0"/>
                <w:i w:val="0"/>
                <w:sz w:val="18"/>
              </w:rPr>
              <w:t>OLT chassis/cards, ONTs/ONUs, optics</w:t>
            </w:r>
          </w:p>
        </w:tc>
        <w:tc>
          <w:tcPr>
            <w:tcW w:type="dxa" w:w="1872"/>
            <w:vAlign w:val="center"/>
          </w:tcPr>
          <w:p>
            <w:r>
              <w:rPr>
                <w:b w:val="0"/>
                <w:i w:val="0"/>
                <w:color w:val="804000"/>
                <w:sz w:val="18"/>
                <w:highlight w:val="yellow"/>
              </w:rPr>
              <w:t>[■ qty]</w:t>
            </w:r>
          </w:p>
        </w:tc>
      </w:tr>
      <w:tr>
        <w:tc>
          <w:tcPr>
            <w:tcW w:type="dxa" w:w="2592"/>
            <w:shd w:val="clear" w:color="auto" w:fill="F2F2F2"/>
            <w:vAlign w:val="center"/>
          </w:tcPr>
          <w:p>
            <w:r>
              <w:rPr>
                <w:b w:val="0"/>
                <w:i w:val="0"/>
                <w:sz w:val="18"/>
              </w:rPr>
              <w:t>Cabinets/huts/power</w:t>
            </w:r>
          </w:p>
        </w:tc>
        <w:tc>
          <w:tcPr>
            <w:tcW w:type="dxa" w:w="4896"/>
            <w:shd w:val="clear" w:color="auto" w:fill="F2F2F2"/>
            <w:vAlign w:val="center"/>
          </w:tcPr>
          <w:p>
            <w:r>
              <w:rPr>
                <w:b w:val="0"/>
                <w:i w:val="0"/>
                <w:sz w:val="18"/>
              </w:rPr>
              <w:t>Cabinets, shelters, rectifiers, batteries, generators</w:t>
            </w:r>
          </w:p>
        </w:tc>
        <w:tc>
          <w:tcPr>
            <w:tcW w:type="dxa" w:w="1872"/>
            <w:shd w:val="clear" w:color="auto" w:fill="F2F2F2"/>
            <w:vAlign w:val="center"/>
          </w:tcPr>
          <w:p>
            <w:r>
              <w:rPr>
                <w:b w:val="0"/>
                <w:i w:val="0"/>
                <w:color w:val="804000"/>
                <w:sz w:val="18"/>
                <w:highlight w:val="yellow"/>
              </w:rPr>
              <w:t>[■ qty]</w:t>
            </w:r>
          </w:p>
        </w:tc>
      </w:tr>
      <w:tr>
        <w:tc>
          <w:tcPr>
            <w:tcW w:type="dxa" w:w="2592"/>
            <w:vAlign w:val="center"/>
          </w:tcPr>
          <w:p>
            <w:r>
              <w:rPr>
                <w:b w:val="0"/>
                <w:i w:val="0"/>
                <w:sz w:val="18"/>
              </w:rPr>
              <w:t>Interconnection</w:t>
            </w:r>
          </w:p>
        </w:tc>
        <w:tc>
          <w:tcPr>
            <w:tcW w:type="dxa" w:w="4896"/>
            <w:vAlign w:val="center"/>
          </w:tcPr>
          <w:p>
            <w:r>
              <w:rPr>
                <w:b w:val="0"/>
                <w:i w:val="0"/>
                <w:sz w:val="18"/>
              </w:rPr>
              <w:t>Cross-connects, patch panels, transport optics</w:t>
            </w:r>
          </w:p>
        </w:tc>
        <w:tc>
          <w:tcPr>
            <w:tcW w:type="dxa" w:w="1872"/>
            <w:vAlign w:val="center"/>
          </w:tcPr>
          <w:p>
            <w:r>
              <w:rPr>
                <w:b w:val="0"/>
                <w:i w:val="0"/>
                <w:color w:val="804000"/>
                <w:sz w:val="18"/>
                <w:highlight w:val="yellow"/>
              </w:rPr>
              <w:t>[■ qty]</w:t>
            </w:r>
          </w:p>
        </w:tc>
      </w:tr>
      <w:tr>
        <w:tc>
          <w:tcPr>
            <w:tcW w:type="dxa" w:w="2592"/>
            <w:shd w:val="clear" w:color="auto" w:fill="F2F2F2"/>
            <w:vAlign w:val="center"/>
          </w:tcPr>
          <w:p>
            <w:r>
              <w:rPr>
                <w:b w:val="0"/>
                <w:i w:val="0"/>
                <w:sz w:val="18"/>
              </w:rPr>
              <w:t>Test/acceptance</w:t>
            </w:r>
          </w:p>
        </w:tc>
        <w:tc>
          <w:tcPr>
            <w:tcW w:type="dxa" w:w="4896"/>
            <w:shd w:val="clear" w:color="auto" w:fill="F2F2F2"/>
            <w:vAlign w:val="center"/>
          </w:tcPr>
          <w:p>
            <w:r>
              <w:rPr>
                <w:b w:val="0"/>
                <w:i w:val="0"/>
                <w:sz w:val="18"/>
              </w:rPr>
              <w:t>OTDR, power meters, launch fiber</w:t>
            </w:r>
          </w:p>
        </w:tc>
        <w:tc>
          <w:tcPr>
            <w:tcW w:type="dxa" w:w="1872"/>
            <w:shd w:val="clear" w:color="auto" w:fill="F2F2F2"/>
            <w:vAlign w:val="center"/>
          </w:tcPr>
          <w:p>
            <w:r>
              <w:rPr>
                <w:b w:val="0"/>
                <w:i w:val="0"/>
                <w:color w:val="804000"/>
                <w:sz w:val="18"/>
                <w:highlight w:val="yellow"/>
              </w:rPr>
              <w:t>[■ qty]</w:t>
            </w:r>
          </w:p>
        </w:tc>
      </w:tr>
    </w:tbl>
    <w:p>
      <w:pPr>
        <w:pStyle w:val="Heading1"/>
        <w:spacing w:before="240" w:after="120"/>
      </w:pPr>
      <w:r>
        <w:rPr>
          <w:rFonts w:ascii="Calibri" w:hAnsi="Calibri"/>
          <w:b/>
          <w:color w:val="1F3864"/>
          <w:sz w:val="26"/>
        </w:rPr>
        <w:t>ARTICLE 3.  INTERCONNECTION POINTS AND DEMARCATION</w:t>
      </w:r>
    </w:p>
    <w:p>
      <w:pPr>
        <w:pStyle w:val="Heading2"/>
        <w:spacing w:before="160" w:after="60"/>
      </w:pPr>
      <w:r>
        <w:rPr>
          <w:rFonts w:ascii="Calibri" w:hAnsi="Calibri"/>
          <w:b/>
          <w:color w:val="000000"/>
          <w:sz w:val="22"/>
        </w:rPr>
        <w:t>3.1  Points of Interconnection</w:t>
      </w:r>
    </w:p>
    <w:p>
      <w:r>
        <w:rPr>
          <w:b w:val="0"/>
          <w:i w:val="0"/>
        </w:rPr>
        <w:t xml:space="preserve">The Tribal Network interconnects with the RIVR Tech Existing Network and any third-party transport at defined Point of Interconnection locations. Each Point of Interconnection and its hand-off specification is a placeholder pending design: </w:t>
      </w:r>
      <w:r>
        <w:rPr>
          <w:b w:val="0"/>
          <w:i w:val="0"/>
          <w:color w:val="804000"/>
          <w:highlight w:val="yellow"/>
        </w:rPr>
        <w:t>[■ POI locations and hand-off specs]</w:t>
      </w:r>
      <w:r>
        <w:rPr>
          <w:b w:val="0"/>
          <w:i w:val="0"/>
        </w:rPr>
        <w:t>.</w:t>
      </w:r>
    </w:p>
    <w:p>
      <w:pPr>
        <w:pStyle w:val="Heading2"/>
        <w:spacing w:before="160" w:after="60"/>
      </w:pPr>
      <w:r>
        <w:rPr>
          <w:rFonts w:ascii="Calibri" w:hAnsi="Calibri"/>
          <w:b/>
          <w:color w:val="000000"/>
          <w:sz w:val="22"/>
        </w:rPr>
        <w:t>3.2  Demarcation</w:t>
      </w:r>
    </w:p>
    <w:p>
      <w:r>
        <w:rPr>
          <w:b w:val="0"/>
          <w:i w:val="0"/>
        </w:rPr>
        <w:t xml:space="preserve">The Demarcation Point between Grant-Funded Assets and the RIVR Tech Existing Network (and between the Tribal Network and LREMC Facilities) shall be defined at each interface so that ownership, Federal Interest, maintenance, and risk are unambiguous. </w:t>
      </w:r>
      <w:r>
        <w:rPr>
          <w:b w:val="0"/>
          <w:i w:val="0"/>
          <w:color w:val="804000"/>
          <w:highlight w:val="yellow"/>
        </w:rPr>
        <w:t>[■ demarcation schematic / interface list]</w:t>
      </w:r>
      <w:r>
        <w:rPr>
          <w:b w:val="0"/>
          <w:i w:val="0"/>
        </w:rPr>
        <w:t>.</w:t>
      </w:r>
    </w:p>
    <w:p>
      <w:pPr>
        <w:ind w:left="504"/>
      </w:pPr>
      <w:r>
        <w:rPr>
          <w:b/>
          <w:color w:val="007000"/>
        </w:rPr>
        <w:t xml:space="preserve">[TECHNICAL INFORMATION REQUIRED]  </w:t>
      </w:r>
      <w:r>
        <w:rPr>
          <w:i/>
          <w:color w:val="595959"/>
        </w:rPr>
        <w:t>Attach the demarcation schematic and interface matrix; confirm every ownership boundary against Schedule S3.</w:t>
      </w:r>
    </w:p>
    <w:p>
      <w:pPr>
        <w:pStyle w:val="Heading1"/>
        <w:spacing w:before="240" w:after="120"/>
      </w:pPr>
      <w:r>
        <w:rPr>
          <w:rFonts w:ascii="Calibri" w:hAnsi="Calibri"/>
          <w:b/>
          <w:color w:val="1F3864"/>
          <w:sz w:val="26"/>
        </w:rPr>
        <w:t>ARTICLE 4.  OPTICAL ACCEPTANCE TESTING</w:t>
      </w:r>
    </w:p>
    <w:p>
      <w:r>
        <w:rPr>
          <w:b w:val="0"/>
          <w:i w:val="0"/>
        </w:rPr>
        <w:t>Acceptance testing of the fiber plant shall meet the following optical criteria before segment acceptance (which triggers the term per acceptance of each Network segment):</w:t>
      </w:r>
    </w:p>
    <w:tbl>
      <w:tblPr>
        <w:tblStyle w:val="TableGrid"/>
        <w:tblW w:type="auto" w:w="0"/>
        <w:jc w:val="center"/>
        <w:tblLook w:firstColumn="1" w:firstRow="1" w:lastColumn="0" w:lastRow="0" w:noHBand="0" w:noVBand="1" w:val="04A0"/>
      </w:tblPr>
      <w:tblGrid>
        <w:gridCol w:w="4680"/>
        <w:gridCol w:w="4680"/>
      </w:tblGrid>
      <w:tr>
        <w:tc>
          <w:tcPr>
            <w:tcW w:type="dxa" w:w="2880"/>
            <w:shd w:val="clear" w:color="auto" w:fill="1F3864"/>
            <w:vAlign w:val="center"/>
          </w:tcPr>
          <w:p>
            <w:pPr>
              <w:jc w:val="center"/>
            </w:pPr>
            <w:r>
              <w:rPr>
                <w:b/>
                <w:color w:val="FFFFFF"/>
                <w:sz w:val="18"/>
              </w:rPr>
              <w:t>Parameter</w:t>
            </w:r>
          </w:p>
        </w:tc>
        <w:tc>
          <w:tcPr>
            <w:tcW w:type="dxa" w:w="6480"/>
            <w:shd w:val="clear" w:color="auto" w:fill="1F3864"/>
            <w:vAlign w:val="center"/>
          </w:tcPr>
          <w:p>
            <w:pPr>
              <w:jc w:val="center"/>
            </w:pPr>
            <w:r>
              <w:rPr>
                <w:b/>
                <w:color w:val="FFFFFF"/>
                <w:sz w:val="18"/>
              </w:rPr>
              <w:t>Acceptance Criterion</w:t>
            </w:r>
          </w:p>
        </w:tc>
      </w:tr>
      <w:tr>
        <w:tc>
          <w:tcPr>
            <w:tcW w:type="dxa" w:w="2880"/>
            <w:vAlign w:val="center"/>
          </w:tcPr>
          <w:p>
            <w:r>
              <w:rPr>
                <w:b w:val="0"/>
                <w:i w:val="0"/>
                <w:sz w:val="18"/>
              </w:rPr>
              <w:t>Test wavelengths</w:t>
            </w:r>
          </w:p>
        </w:tc>
        <w:tc>
          <w:tcPr>
            <w:tcW w:type="dxa" w:w="6480"/>
            <w:vAlign w:val="center"/>
          </w:tcPr>
          <w:p>
            <w:r>
              <w:rPr>
                <w:b w:val="0"/>
                <w:i w:val="0"/>
                <w:sz w:val="18"/>
              </w:rPr>
              <w:t>1310 nm and 1550 nm</w:t>
            </w:r>
          </w:p>
        </w:tc>
      </w:tr>
      <w:tr>
        <w:tc>
          <w:tcPr>
            <w:tcW w:type="dxa" w:w="2880"/>
            <w:shd w:val="clear" w:color="auto" w:fill="F2F2F2"/>
            <w:vAlign w:val="center"/>
          </w:tcPr>
          <w:p>
            <w:r>
              <w:rPr>
                <w:b w:val="0"/>
                <w:i w:val="0"/>
                <w:sz w:val="18"/>
              </w:rPr>
              <w:t>Test method</w:t>
            </w:r>
          </w:p>
        </w:tc>
        <w:tc>
          <w:tcPr>
            <w:tcW w:type="dxa" w:w="6480"/>
            <w:shd w:val="clear" w:color="auto" w:fill="F2F2F2"/>
            <w:vAlign w:val="center"/>
          </w:tcPr>
          <w:p>
            <w:r>
              <w:rPr>
                <w:b w:val="0"/>
                <w:i w:val="0"/>
                <w:sz w:val="18"/>
              </w:rPr>
              <w:t>bi-directional OTDR</w:t>
            </w:r>
          </w:p>
        </w:tc>
      </w:tr>
      <w:tr>
        <w:tc>
          <w:tcPr>
            <w:tcW w:type="dxa" w:w="2880"/>
            <w:vAlign w:val="center"/>
          </w:tcPr>
          <w:p>
            <w:r>
              <w:rPr>
                <w:b w:val="0"/>
                <w:i w:val="0"/>
                <w:sz w:val="18"/>
              </w:rPr>
              <w:t>Splice loss (max)</w:t>
            </w:r>
          </w:p>
        </w:tc>
        <w:tc>
          <w:tcPr>
            <w:tcW w:type="dxa" w:w="6480"/>
            <w:vAlign w:val="center"/>
          </w:tcPr>
          <w:p>
            <w:r>
              <w:rPr>
                <w:b w:val="0"/>
                <w:i w:val="0"/>
                <w:sz w:val="18"/>
              </w:rPr>
              <w:t>0.10 dB (average) / 0.30 dB (maximum) per fusion splice</w:t>
            </w:r>
          </w:p>
        </w:tc>
      </w:tr>
      <w:tr>
        <w:tc>
          <w:tcPr>
            <w:tcW w:type="dxa" w:w="2880"/>
            <w:shd w:val="clear" w:color="auto" w:fill="F2F2F2"/>
            <w:vAlign w:val="center"/>
          </w:tcPr>
          <w:p>
            <w:r>
              <w:rPr>
                <w:b w:val="0"/>
                <w:i w:val="0"/>
                <w:sz w:val="18"/>
              </w:rPr>
              <w:t>Connector loss (max)</w:t>
            </w:r>
          </w:p>
        </w:tc>
        <w:tc>
          <w:tcPr>
            <w:tcW w:type="dxa" w:w="6480"/>
            <w:shd w:val="clear" w:color="auto" w:fill="F2F2F2"/>
            <w:vAlign w:val="center"/>
          </w:tcPr>
          <w:p>
            <w:r>
              <w:rPr>
                <w:b w:val="0"/>
                <w:i w:val="0"/>
                <w:sz w:val="18"/>
              </w:rPr>
              <w:t>0.50 dB per mated connector pair</w:t>
            </w:r>
          </w:p>
        </w:tc>
      </w:tr>
      <w:tr>
        <w:tc>
          <w:tcPr>
            <w:tcW w:type="dxa" w:w="2880"/>
            <w:vAlign w:val="center"/>
          </w:tcPr>
          <w:p>
            <w:r>
              <w:rPr>
                <w:b w:val="0"/>
                <w:i w:val="0"/>
                <w:sz w:val="18"/>
              </w:rPr>
              <w:t>Span-loss budget</w:t>
            </w:r>
          </w:p>
        </w:tc>
        <w:tc>
          <w:tcPr>
            <w:tcW w:type="dxa" w:w="6480"/>
            <w:vAlign w:val="center"/>
          </w:tcPr>
          <w:p>
            <w:r>
              <w:rPr>
                <w:b w:val="0"/>
                <w:i w:val="0"/>
                <w:sz w:val="18"/>
              </w:rPr>
              <w:t>consistent with the span-loss budget calculated at 0.35 dB/km at 1310 nm and 0.25 dB/km at 1550 nm, plus splice and connector losses</w:t>
            </w:r>
          </w:p>
        </w:tc>
      </w:tr>
      <w:tr>
        <w:tc>
          <w:tcPr>
            <w:tcW w:type="dxa" w:w="2880"/>
            <w:shd w:val="clear" w:color="auto" w:fill="F2F2F2"/>
            <w:vAlign w:val="center"/>
          </w:tcPr>
          <w:p>
            <w:r>
              <w:rPr>
                <w:b w:val="0"/>
                <w:i w:val="0"/>
                <w:sz w:val="18"/>
              </w:rPr>
              <w:t>Reflectance (max)</w:t>
            </w:r>
          </w:p>
        </w:tc>
        <w:tc>
          <w:tcPr>
            <w:tcW w:type="dxa" w:w="6480"/>
            <w:shd w:val="clear" w:color="auto" w:fill="F2F2F2"/>
            <w:vAlign w:val="center"/>
          </w:tcPr>
          <w:p>
            <w:r>
              <w:rPr>
                <w:b w:val="0"/>
                <w:i w:val="0"/>
                <w:sz w:val="18"/>
              </w:rPr>
              <w:t>-40 dB (UPC) / -55 dB (APC)</w:t>
            </w:r>
          </w:p>
        </w:tc>
      </w:tr>
    </w:tbl>
    <w:p>
      <w:pPr>
        <w:ind w:left="504"/>
      </w:pPr>
      <w:r>
        <w:rPr>
          <w:b/>
          <w:color w:val="007000"/>
        </w:rPr>
        <w:t xml:space="preserve">[TECHNICAL INFORMATION REQUIRED]  </w:t>
      </w:r>
      <w:r>
        <w:rPr>
          <w:i/>
          <w:color w:val="595959"/>
        </w:rPr>
        <w:t>Optical acceptance results are prerequisites to segment acceptance and to any construction milestone payment under Schedule S5.</w:t>
      </w:r>
    </w:p>
    <w:p/>
    <w:p>
      <w:pPr>
        <w:pStyle w:val="Heading2"/>
        <w:spacing w:before="160" w:after="60"/>
      </w:pPr>
      <w:r>
        <w:rPr>
          <w:rFonts w:ascii="Calibri" w:hAnsi="Calibri"/>
          <w:b/>
          <w:color w:val="000000"/>
          <w:sz w:val="22"/>
        </w:rPr>
        <w:t xml:space="preserve">  Draft Disclaimer</w:t>
      </w:r>
    </w:p>
    <w:p>
      <w:r>
        <w:rPr>
          <w:b w:val="0"/>
          <w:i/>
        </w:rPr>
        <w:t>This Schedule is a working draft prepared for discussion only. It is not executed, is not final legal advice, and does not create binding obligations. No controlling TBCP award or source documents were supplied; the provisional baseline is the TBCP Round 2 Notice of Funding Opportunity, as amended March 2024 (PROVISIONAL BASELINE). Round 3 is the live TBCP round as of the version date; the controlling round and executed award must be confirmed before any definitive clause is finalized. Every bracketed placeholder, flag, and alternative must be resolved by the responsible legal, grant, financial, and technical reviewers before finalization.</w:t>
      </w:r>
    </w:p>
    <w:p>
      <w:pPr>
        <w:jc w:val="center"/>
      </w:pPr>
      <w:r>
        <w:rPr>
          <w:b/>
          <w:color w:val="C00000"/>
          <w:highlight w:val="yellow"/>
        </w:rPr>
        <w:t>PRELIMINARY DRAFT – NO CONTROLLING TBCP AWARD OR SOURCE DOCUMENTS SUPPLIED – PROVISIONAL BASELINE: MARCH 2024 AMENDED ROUND 2 NOFO – SUBJECT TO LEGAL, GRANT AND FINANCIAL REVIEW</w:t>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enter"/>
        <w:tab w:pos="9360" w:val="right"/>
      </w:tabs>
    </w:pPr>
    <w:r>
      <w:rPr>
        <w:color w:val="595959"/>
        <w:sz w:val="16"/>
      </w:rPr>
    </w:r>
    <w:r>
      <w:rPr>
        <w:color w:val="595959"/>
        <w:sz w:val="16"/>
      </w:rPr>
      <w:t>Preliminary Draft v0.1 | September 26, 2026</w:t>
    </w:r>
    <w:r>
      <w:rPr>
        <w:color w:val="595959"/>
        <w:sz w:val="16"/>
      </w:rPr>
      <w:tab/>
    </w:r>
    <w:r>
      <w:rPr>
        <w:color w:val="595959"/>
        <w:sz w:val="16"/>
      </w:rPr>
      <w:fldChar w:fldCharType="begin"/>
      <w:instrText xml:space="preserve">PAGE</w:instrText>
      <w:fldChar w:fldCharType="separate"/>
      <w:fldChar w:fldCharType="end"/>
    </w:r>
    <w:r>
      <w:rPr>
        <w:color w:val="595959"/>
        <w:sz w:val="16"/>
      </w:rPr>
      <w:t xml:space="preserve"> of </w:t>
    </w:r>
    <w:r>
      <w:rPr>
        <w:color w:val="595959"/>
        <w:sz w:val="16"/>
      </w:rPr>
      <w:fldChar w:fldCharType="begin"/>
      <w:instrText xml:space="preserve">NUMPAGES</w:instrText>
      <w:fldChar w:fldCharType="separate"/>
      <w:fldChar w:fldCharType="end"/>
    </w:r>
    <w:r>
      <w:tab/>
    </w:r>
    <w:r>
      <w:rPr>
        <w:color w:val="595959"/>
        <w:sz w:val="16"/>
      </w:rPr>
      <w:t>Confidential — Draft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95959"/>
        <w:sz w:val="16"/>
      </w:rPr>
      <w:t>Schedule S4  —  PRELIMINARY DRAFT – SUBJECT TO LEGAL, GRANT AND FINANCIAL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