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Blanket Residential Maintenance Protection Plan</w:t>
      </w:r>
    </w:p>
    <w:p>
      <w:r>
        <w:rPr>
          <w:color w:val="1B87B5"/>
          <w:sz w:val="26"/>
        </w:rPr>
        <w:t>Executive Decision Memo</w:t>
      </w:r>
    </w:p>
    <w:p>
      <w:r>
        <w:rPr>
          <w:color w:val="6B7A82"/>
          <w:sz w:val="22"/>
        </w:rPr>
        <w:t>Should RIVR Tech introduce a $3.99 or $4.99 monthly plan for all residential customers?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2026-07-29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Finance / COO / Customer-Experience Working Team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0B3D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 &amp; Question</w:t>
      </w:r>
    </w:p>
    <w:p>
      <w:pPr>
        <w:spacing w:after="120"/>
      </w:pPr>
      <w:r>
        <w:rPr>
          <w:b w:val="0"/>
          <w:i w:val="0"/>
          <w:sz w:val="21"/>
        </w:rPr>
        <w:t>This memo evaluates whether RIVR Tech should introduce a blanket monthly Maintenance Protection Plan for all residential internet customers at either $3.99 (Scenario A) or $4.99 (Scenario B) per month, and whether it should be structured as mandatory, automatic-with-opt-out, or voluntary opt-in. Analysis uses a starting base of 4,686 residential subscribers (editable) and industry planning assumptions where RIVR Tech data is not yet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36B39A"/>
            </w:tcBorders>
          </w:tcPr>
          <w:p>
            <w:r>
              <w:rPr>
                <w:b/>
                <w:color w:val="36B39A"/>
                <w:sz w:val="18"/>
              </w:rPr>
              <w:t xml:space="preserve">BOTTOM LINE  </w:t>
            </w:r>
            <w:r>
              <w:rPr>
                <w:color w:val="10222E"/>
                <w:sz w:val="19"/>
              </w:rPr>
              <w:t>Do NOT implement a mandatory blanket fee. Offer the plan as a VOLUNTARY opt-in at $3.99 (Standard coverage), delivered as a HYBRID with a per-visit dispatch charge for customers who decline. Exempt Lifeline, Tribal Lifeline, and low-income customers (opt-in only); exclude bulk/managed properties. Pilot before any system-wide launch.</w:t>
            </w:r>
          </w:p>
        </w:tc>
      </w:tr>
    </w:tbl>
    <w:p>
      <w:pPr>
        <w:spacing w:after="40"/>
      </w:pPr>
    </w:p>
    <w:p>
      <w:pPr>
        <w:pStyle w:val="Heading1"/>
      </w:pPr>
      <w:r>
        <w:t>2. Business Case</w:t>
      </w:r>
    </w:p>
    <w:p>
      <w:pPr>
        <w:spacing w:after="120"/>
      </w:pPr>
      <w:r>
        <w:rPr>
          <w:b w:val="0"/>
          <w:i w:val="0"/>
          <w:sz w:val="21"/>
        </w:rPr>
        <w:t>RIVR Tech does not routinely charge residential customers for service calls, even when the cause is customer equipment, wiring, damage, misuse, or Wi-Fi placement. A protection plan could recover some of that cost, smooth maintenance expense, and reduce per-visit billing disputes. The economics are attractive on paper — but the decision is dominated by customer trust, churn, and regulatory risk, not by gross revenue.</w:t>
      </w:r>
    </w:p>
    <w:p>
      <w:pPr>
        <w:spacing w:after="120"/>
      </w:pPr>
      <w:r>
        <w:rPr>
          <w:b/>
          <w:i w:val="0"/>
          <w:sz w:val="21"/>
        </w:rPr>
        <w:t>Per-covered-member economics (at expected 15% utilization):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04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$3.99 (A)</w:t>
            </w:r>
          </w:p>
        </w:tc>
        <w:tc>
          <w:tcPr>
            <w:tcW w:type="dxa" w:w="216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$4.99 (B)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Plan revenue / member / yr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$47.88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$59.88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Covered + call-center + admin + bad debt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$26.84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$27.20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Contribution / member / yr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$21.04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$32.68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Contribution margin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44%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Break-even utilization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29%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37%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Loaded cost per covered service call is estimated at $143.36 (assumption). Each plan stays profitable per member until utilization exceeds ~29% ($3.99) or ~37% ($4.99).</w:t>
      </w:r>
    </w:p>
    <w:p>
      <w:pPr>
        <w:pStyle w:val="Heading1"/>
      </w:pPr>
      <w:r>
        <w:t>3. Financial Results by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73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172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Gross $3.99</w:t>
            </w:r>
          </w:p>
        </w:tc>
        <w:tc>
          <w:tcPr>
            <w:tcW w:type="dxa" w:w="172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Net $3.99</w:t>
            </w:r>
          </w:p>
        </w:tc>
        <w:tc>
          <w:tcPr>
            <w:tcW w:type="dxa" w:w="172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Gross $4.99</w:t>
            </w:r>
          </w:p>
        </w:tc>
        <w:tc>
          <w:tcPr>
            <w:tcW w:type="dxa" w:w="172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Net $4.99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Mandatory (100%)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$224,366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$32,980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$280,598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$87,525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Opt-out @ 85%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$190,711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$18,191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$238,508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$64,554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Opt-out @ 60%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$134,619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$-6,457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$168,359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$26,270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Opt-in @ 40%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$89,746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$-1,208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$112,239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$20,610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Opt-in @ 30%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$67,310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$-6,906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$84,179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$9,457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Opt-in @ 20%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$44,873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$-12,604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$56,120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$-1,695</w:t>
            </w:r>
          </w:p>
        </w:tc>
      </w:tr>
    </w:tbl>
    <w:p>
      <w:pPr>
        <w:spacing w:after="120"/>
      </w:pPr>
      <w:r>
        <w:rPr>
          <w:b w:val="0"/>
          <w:i w:val="0"/>
          <w:sz w:val="19"/>
        </w:rPr>
        <w:t>At 4,686 subscribers, a mandatory plan generates the most gross revenue, but see the churn analysis: it is also the most fragile. Opt-in structures generate less gross revenue but avoid the trust and regulatory exposure.</w:t>
      </w:r>
    </w:p>
    <w:p>
      <w:pPr>
        <w:pStyle w:val="Heading1"/>
      </w:pPr>
      <w:r>
        <w:t>4. The Churn Problem (why not mandatory)</w:t>
      </w:r>
    </w:p>
    <w:p>
      <w:pPr>
        <w:spacing w:after="120"/>
      </w:pPr>
      <w:r>
        <w:rPr>
          <w:b w:val="0"/>
          <w:i w:val="0"/>
          <w:sz w:val="21"/>
        </w:rPr>
        <w:t>A mandatory or opt-out fee applied to customers who never need a service call risks incremental churn. Because a churned customer costs the full internet ARPU, only a small amount of fee-driven churn erases the plan's gain:</w:t>
      </w:r>
    </w:p>
    <w:p>
      <w:pPr>
        <w:pStyle w:val="ListBullet"/>
      </w:pPr>
      <w:r>
        <w:rPr>
          <w:b/>
          <w:sz w:val="21"/>
        </w:rPr>
        <w:t xml:space="preserve">$3.99: </w:t>
      </w:r>
      <w:r>
        <w:rPr>
          <w:sz w:val="21"/>
        </w:rPr>
        <w:t>At $3.99 mandatory, incremental annual churn of just ~1.8% fully offsets the plan's net contribution.</w:t>
      </w:r>
    </w:p>
    <w:p>
      <w:pPr>
        <w:pStyle w:val="ListBullet"/>
      </w:pPr>
      <w:r>
        <w:rPr>
          <w:b/>
          <w:sz w:val="21"/>
        </w:rPr>
        <w:t xml:space="preserve">$4.99: </w:t>
      </w:r>
      <w:r>
        <w:rPr>
          <w:sz w:val="21"/>
        </w:rPr>
        <w:t>At $4.99 mandatory, the break-even churn is ~3.1%.</w:t>
      </w:r>
    </w:p>
    <w:p>
      <w:pPr>
        <w:spacing w:after="120"/>
      </w:pPr>
      <w:r>
        <w:rPr>
          <w:b w:val="0"/>
          <w:i w:val="0"/>
          <w:sz w:val="21"/>
        </w:rPr>
        <w:t>With $74 monthly ARPU, one churned customer wipes out roughly 42 members' worth of $3.99 plan contribution. For a community-focused cooperative provider, that trade is not worth the reputational risk.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36B39A"/>
            </w:tcBorders>
          </w:tcPr>
          <w:p>
            <w:r>
              <w:rPr>
                <w:b/>
                <w:color w:val="36B39A"/>
                <w:sz w:val="18"/>
              </w:rPr>
              <w:t xml:space="preserve">RECOMMENDATION  </w:t>
            </w:r>
            <w:r>
              <w:rPr>
                <w:color w:val="10222E"/>
                <w:sz w:val="19"/>
              </w:rPr>
              <w:t>Voluntary opt-in customers choose the plan, so fee-driven churn is effectively zero — which is why opt-in is the safer structure.</w:t>
            </w:r>
          </w:p>
        </w:tc>
      </w:tr>
    </w:tbl>
    <w:p>
      <w:pPr>
        <w:spacing w:after="40"/>
      </w:pPr>
    </w:p>
    <w:p>
      <w:pPr>
        <w:pStyle w:val="Heading1"/>
      </w:pPr>
      <w:r>
        <w:t>5. Customer &amp; Regulatory Risks</w:t>
      </w:r>
    </w:p>
    <w:p>
      <w:pPr>
        <w:pStyle w:val="ListBullet"/>
      </w:pPr>
      <w:r>
        <w:rPr>
          <w:b/>
          <w:sz w:val="21"/>
        </w:rPr>
        <w:t xml:space="preserve">Negative-option billing. </w:t>
      </w:r>
      <w:r>
        <w:rPr>
          <w:sz w:val="21"/>
        </w:rPr>
        <w:t>Auto-enroll/opt-out may trigger FTC ROSCA and state auto-renewal rules — legal review required.</w:t>
      </w:r>
    </w:p>
    <w:p>
      <w:pPr>
        <w:pStyle w:val="ListBullet"/>
      </w:pPr>
      <w:r>
        <w:rPr>
          <w:b/>
          <w:sz w:val="21"/>
        </w:rPr>
        <w:t xml:space="preserve">Lifeline / Tribal Lifeline. </w:t>
      </w:r>
      <w:r>
        <w:rPr>
          <w:sz w:val="21"/>
        </w:rPr>
        <w:t>Low-income subscribers should never be auto-charged; opt-in only.</w:t>
      </w:r>
    </w:p>
    <w:p>
      <w:pPr>
        <w:pStyle w:val="ListBullet"/>
      </w:pPr>
      <w:r>
        <w:rPr>
          <w:b/>
          <w:sz w:val="21"/>
        </w:rPr>
        <w:t xml:space="preserve">Truthful naming. </w:t>
      </w:r>
      <w:r>
        <w:rPr>
          <w:sz w:val="21"/>
        </w:rPr>
        <w:t>The fee must not be called a tax, government, regulatory, or network fee.</w:t>
      </w:r>
    </w:p>
    <w:p>
      <w:pPr>
        <w:pStyle w:val="ListBullet"/>
      </w:pPr>
      <w:r>
        <w:rPr>
          <w:b/>
          <w:sz w:val="21"/>
        </w:rPr>
        <w:t xml:space="preserve">Broadband label / disclosure. </w:t>
      </w:r>
      <w:r>
        <w:rPr>
          <w:sz w:val="21"/>
        </w:rPr>
        <w:t>Confirm whether the charge must appear on the FCC broadband label.</w:t>
      </w:r>
    </w:p>
    <w:p>
      <w:pPr>
        <w:pStyle w:val="ListBullet"/>
      </w:pPr>
      <w:r>
        <w:rPr>
          <w:b/>
          <w:sz w:val="21"/>
        </w:rPr>
        <w:t xml:space="preserve">NC consumer protection. </w:t>
      </w:r>
      <w:r>
        <w:rPr>
          <w:sz w:val="21"/>
        </w:rPr>
        <w:t>Advance notice, transparency, and material-change requirements.</w:t>
      </w:r>
    </w:p>
    <w:p>
      <w:pPr>
        <w:pStyle w:val="ListBullet"/>
      </w:pPr>
      <w:r>
        <w:rPr>
          <w:b/>
          <w:sz w:val="21"/>
        </w:rPr>
        <w:t xml:space="preserve">Fairness. </w:t>
      </w:r>
      <w:r>
        <w:rPr>
          <w:sz w:val="21"/>
        </w:rPr>
        <w:t>Charging non-users a mandatory fee is the core fairness objection.</w:t>
      </w:r>
    </w:p>
    <w:p>
      <w:pPr>
        <w:pStyle w:val="Heading1"/>
      </w:pPr>
      <w:r>
        <w:t>6. Structure Comparison (weighted decision matrix)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547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288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Weighted Score (1-5)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Opt-in $3.99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4.30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Opt-in $4.99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4.18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Hybrid (opt-in + PPV)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4.06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Do not implement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3.74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Pay-per-visit only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3.00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Opt-out $3.99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2.66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Opt-out $4.99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2.66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Mandatory $3.99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2.40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Mandatory $4.99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2.40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Scores weight regulatory risk, financial benefit, and churn risk most heavily. Voluntary opt-in ($3.99) and the hybrid model rank highest; mandatory options rank lowest despite higher gross revenue.</w:t>
      </w:r>
    </w:p>
    <w:p>
      <w:pPr>
        <w:pStyle w:val="Heading1"/>
      </w:pPr>
      <w:r>
        <w:t>7. Recommendation</w:t>
      </w:r>
    </w:p>
    <w:p>
      <w:pPr>
        <w:pStyle w:val="ListBullet"/>
      </w:pPr>
      <w:r>
        <w:rPr>
          <w:b/>
          <w:sz w:val="21"/>
        </w:rPr>
        <w:t xml:space="preserve">Structure &amp; price: </w:t>
      </w:r>
      <w:r>
        <w:rPr>
          <w:sz w:val="21"/>
        </w:rPr>
        <w:t>Voluntary opt-in at $3.99/month, Standard coverage.</w:t>
      </w:r>
    </w:p>
    <w:p>
      <w:pPr>
        <w:pStyle w:val="ListBullet"/>
      </w:pPr>
      <w:r>
        <w:rPr>
          <w:b/>
          <w:sz w:val="21"/>
        </w:rPr>
        <w:t xml:space="preserve">Hybrid: </w:t>
      </w:r>
      <w:r>
        <w:rPr>
          <w:sz w:val="21"/>
        </w:rPr>
        <w:t>Enrollees get the plan; decliners pay a per-visit dispatch charge ($99 suggested).</w:t>
      </w:r>
    </w:p>
    <w:p>
      <w:pPr>
        <w:pStyle w:val="ListBullet"/>
      </w:pPr>
      <w:r>
        <w:rPr>
          <w:b/>
          <w:sz w:val="21"/>
        </w:rPr>
        <w:t xml:space="preserve">Enrollment mechanics: </w:t>
      </w:r>
      <w:r>
        <w:rPr>
          <w:sz w:val="21"/>
        </w:rPr>
        <w:t>Offer at installation and again after a customer's first chargeable service call; no retroactive enrollment; 30-day waiting period; pre-existing conditions excluded.</w:t>
      </w:r>
    </w:p>
    <w:p>
      <w:pPr>
        <w:pStyle w:val="ListBullet"/>
      </w:pPr>
      <w:r>
        <w:rPr>
          <w:b/>
          <w:sz w:val="21"/>
        </w:rPr>
        <w:t xml:space="preserve">Exemptions: </w:t>
      </w:r>
      <w:r>
        <w:rPr>
          <w:sz w:val="21"/>
        </w:rPr>
        <w:t>Lifeline, Tribal Lifeline, and low-income: opt-in only, never auto-charged. Bulk/managed properties excluded (handled by contract).</w:t>
      </w:r>
    </w:p>
    <w:p>
      <w:pPr>
        <w:pStyle w:val="ListBullet"/>
      </w:pPr>
      <w:r>
        <w:rPr>
          <w:b/>
          <w:sz w:val="21"/>
        </w:rPr>
        <w:t xml:space="preserve">Five-year outlook: </w:t>
      </w:r>
      <w:r>
        <w:rPr>
          <w:sz w:val="21"/>
        </w:rPr>
        <w:t>Opt-in plan revenue alone yields ~$96,194 cumulative net over five years (excludes pay-per-visit upside).</w:t>
      </w:r>
    </w:p>
    <w:p>
      <w:pPr>
        <w:pStyle w:val="Heading1"/>
      </w:pPr>
      <w:r>
        <w:t>8. Implementation Conditions &amp; Decision Gates</w:t>
      </w:r>
    </w:p>
    <w:p>
      <w:pPr>
        <w:pStyle w:val="ListNumber"/>
      </w:pPr>
      <w:r>
        <w:rPr>
          <w:sz w:val="21"/>
        </w:rPr>
        <w:t>Legal sign-off on negative-option, Lifeline, naming, and NC consumer-protection questions.</w:t>
      </w:r>
    </w:p>
    <w:p>
      <w:pPr>
        <w:pStyle w:val="ListNumber"/>
      </w:pPr>
      <w:r>
        <w:rPr>
          <w:sz w:val="21"/>
        </w:rPr>
        <w:t>NISC billing-code and tax configuration confirmed and tested.</w:t>
      </w:r>
    </w:p>
    <w:p>
      <w:pPr>
        <w:pStyle w:val="ListNumber"/>
      </w:pPr>
      <w:r>
        <w:rPr>
          <w:sz w:val="21"/>
        </w:rPr>
        <w:t>Replace the ten planning assumptions with real RIVR Tech data.</w:t>
      </w:r>
    </w:p>
    <w:p>
      <w:pPr>
        <w:pStyle w:val="ListNumber"/>
      </w:pPr>
      <w:r>
        <w:rPr>
          <w:sz w:val="21"/>
        </w:rPr>
        <w:t>Run a 90-day pilot; proceed only if enrollment ≥ target and complaints/churn within limits.</w:t>
      </w:r>
    </w:p>
    <w:p>
      <w:pPr>
        <w:pStyle w:val="ListNumber"/>
      </w:pPr>
      <w:r>
        <w:rPr>
          <w:sz w:val="21"/>
        </w:rPr>
        <w:t>Executive go/no-go after pilot review.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REVIEW REQUIRED  </w:t>
            </w:r>
            <w:r>
              <w:rPr>
                <w:color w:val="10222E"/>
                <w:sz w:val="19"/>
              </w:rPr>
              <w:t>Recommendations and labeled assumptions only — not established policy and not legal advice. Requires legal, regulatory, tax, accounting, and executive review.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Blanket Protection Executive Memo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