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b/>
          <w:color w:val="0B3D5C"/>
          <w:sz w:val="60"/>
        </w:rPr>
        <w:t>RIVR TECH</w:t>
      </w:r>
    </w:p>
    <w:p>
      <w:r>
        <w:rPr>
          <w:i/>
          <w:color w:val="6B7A82"/>
          <w:sz w:val="21"/>
        </w:rPr>
        <w:t>LREMC Technologies, LLC d/b/a RIVR Tech</w:t>
      </w:r>
    </w:p>
    <w:p>
      <w:pPr>
        <w:pBdr>
          <w:bottom w:val="single" w:sz="18" w:space="1" w:color="1B87B5"/>
        </w:pBdr>
      </w:pPr>
    </w:p>
    <w:p>
      <w:pPr>
        <w:spacing w:before="800"/>
      </w:pPr>
      <w:r>
        <w:rPr>
          <w:b/>
          <w:color w:val="10222E"/>
          <w:sz w:val="48"/>
        </w:rPr>
        <w:t>Executive Decision Summary</w:t>
      </w:r>
    </w:p>
    <w:p>
      <w:r>
        <w:rPr>
          <w:color w:val="1B87B5"/>
          <w:sz w:val="26"/>
        </w:rPr>
        <w:t>Customer-Premises Maintenance &amp; Billable Trouble-Visit Program</w:t>
      </w:r>
    </w:p>
    <w:p>
      <w:r>
        <w:rPr>
          <w:color w:val="6B7A82"/>
          <w:sz w:val="22"/>
        </w:rPr>
        <w:t>One-Read Briefing for the Executive Team</w:t>
      </w:r>
    </w:p>
    <w:p>
      <w:pPr>
        <w:spacing w:before="24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</w:tcPr>
          <w:p>
            <w:r>
              <w:rPr>
                <w:b/>
                <w:color w:val="0B3D5C"/>
                <w:sz w:val="19"/>
              </w:rPr>
              <w:t>Document Version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v1.0 (Draft for Executive Review)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0B3D5C"/>
                <w:sz w:val="19"/>
              </w:rPr>
              <w:t>Date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2026-07-20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0B3D5C"/>
                <w:sz w:val="19"/>
              </w:rPr>
              <w:t>Effective Date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[EFFECTIVE DATE — TO BE SET BY EXECUTIVE TEAM]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0B3D5C"/>
                <w:sz w:val="19"/>
              </w:rPr>
              <w:t>Prepared By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Maintenance Program Working Team (Operations / CX / Finance / Policy)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0B3D5C"/>
                <w:sz w:val="19"/>
              </w:rPr>
              <w:t>Region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Broadband services in southeastern North Carolina</w:t>
            </w:r>
          </w:p>
        </w:tc>
      </w:tr>
    </w:tbl>
    <w:p/>
    <w:p>
      <w:r>
        <w:rPr>
          <w:i/>
          <w:color w:val="C0562B"/>
          <w:sz w:val="17"/>
        </w:rPr>
        <w:t>INTERNAL DRAFT FOR EXECUTIVE REVIEW — NOT LEGAL ADVICE. Contains recommendations and labeled assumptions requiring legal, regulatory, accounting, and insurance review before adoption.</w:t>
      </w:r>
    </w:p>
    <w:p>
      <w:r>
        <w:br w:type="page"/>
      </w:r>
    </w:p>
    <w:p>
      <w:pPr>
        <w:pStyle w:val="Heading1"/>
      </w:pPr>
      <w:r>
        <w:t>The Ask</w:t>
      </w:r>
    </w:p>
    <w:p>
      <w:pPr>
        <w:spacing w:after="120"/>
      </w:pPr>
      <w:r>
        <w:rPr>
          <w:b w:val="0"/>
          <w:i w:val="0"/>
          <w:sz w:val="21"/>
        </w:rPr>
        <w:t>Approve a fair, transparent program that keeps all RIVR Tech network and equipment repairs free, adds reasonable charges only for documented customer-premises trouble visits, and offers an optional monthly maintenance-protection plan. The program prioritizes deflection and education over fee revenue.</w:t>
      </w:r>
    </w:p>
    <w:p>
      <w:pPr>
        <w:pStyle w:val="Heading1"/>
      </w:pPr>
      <w:r>
        <w:t>Why Now</w:t>
      </w:r>
    </w:p>
    <w:p>
      <w:pPr>
        <w:pStyle w:val="ListBullet"/>
      </w:pPr>
      <w:r>
        <w:rPr>
          <w:sz w:val="21"/>
        </w:rPr>
        <w:t>Customer-caused truck rolls cost an estimated $329,004 per year today, fully absorbed by RIVR Tech.</w:t>
      </w:r>
    </w:p>
    <w:p>
      <w:pPr>
        <w:pStyle w:val="ListBullet"/>
      </w:pPr>
      <w:r>
        <w:rPr>
          <w:sz w:val="21"/>
        </w:rPr>
        <w:t>No pricing signal exists to reduce avoidable visits or protect customer-owned gear.</w:t>
      </w:r>
    </w:p>
    <w:p>
      <w:pPr>
        <w:pStyle w:val="ListBullet"/>
      </w:pPr>
      <w:r>
        <w:rPr>
          <w:sz w:val="21"/>
        </w:rPr>
        <w:t>Competitors and third-party technicians already charge for this work.</w:t>
      </w:r>
    </w:p>
    <w:p>
      <w:pPr>
        <w:pStyle w:val="Heading1"/>
      </w:pPr>
      <w:r>
        <w:t>What the Customer Sees</w:t>
      </w:r>
    </w:p>
    <w:p>
      <w:pPr>
        <w:pStyle w:val="ListBullet"/>
      </w:pPr>
      <w:r>
        <w:rPr>
          <w:b/>
          <w:sz w:val="21"/>
        </w:rPr>
        <w:t xml:space="preserve">Free. </w:t>
      </w:r>
      <w:r>
        <w:rPr>
          <w:sz w:val="21"/>
        </w:rPr>
        <w:t>RIVR Tech network or equipment problem: always $0.</w:t>
      </w:r>
    </w:p>
    <w:p>
      <w:pPr>
        <w:pStyle w:val="ListBullet"/>
      </w:pPr>
      <w:r>
        <w:rPr>
          <w:b/>
          <w:sz w:val="21"/>
        </w:rPr>
        <w:t xml:space="preserve">Free. </w:t>
      </w:r>
      <w:r>
        <w:rPr>
          <w:sz w:val="21"/>
        </w:rPr>
        <w:t>Inconclusive / no-trouble-found visit: $0.</w:t>
      </w:r>
    </w:p>
    <w:p>
      <w:pPr>
        <w:pStyle w:val="ListBullet"/>
      </w:pPr>
      <w:r>
        <w:rPr>
          <w:b/>
          <w:sz w:val="21"/>
        </w:rPr>
        <w:t xml:space="preserve">Fair. </w:t>
      </w:r>
      <w:r>
        <w:rPr>
          <w:sz w:val="21"/>
        </w:rPr>
        <w:t>Documented customer-premises visit: $75 residential / $125 business — disclosed in advance, with a first-time courtesy waiver.</w:t>
      </w:r>
    </w:p>
    <w:p>
      <w:pPr>
        <w:pStyle w:val="ListBullet"/>
      </w:pPr>
      <w:r>
        <w:rPr>
          <w:b/>
          <w:sz w:val="21"/>
        </w:rPr>
        <w:t xml:space="preserve">Optional. </w:t>
      </w:r>
      <w:r>
        <w:rPr>
          <w:sz w:val="21"/>
        </w:rPr>
        <w:t>Optional protection plan avoids per-visit charges for a low monthly fee.</w:t>
      </w:r>
    </w:p>
    <w:p>
      <w:pPr>
        <w:pStyle w:val="Heading1"/>
      </w:pPr>
      <w:r>
        <w:t>Expected Financial Result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048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312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Expected Scenario</w:t>
            </w:r>
          </w:p>
        </w:tc>
      </w:tr>
      <w:tr>
        <w:tc>
          <w:tcPr>
            <w:tcW w:type="dxa" w:w="60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Year 1 net financial effect</w:t>
            </w:r>
          </w:p>
        </w:tc>
        <w:tc>
          <w:tcPr>
            <w:tcW w:type="dxa" w:w="33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$245,722</w:t>
            </w:r>
          </w:p>
        </w:tc>
      </w:tr>
      <w:tr>
        <w:tc>
          <w:tcPr>
            <w:tcW w:type="dxa" w:w="60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Payback period</w:t>
            </w:r>
          </w:p>
        </w:tc>
        <w:tc>
          <w:tcPr>
            <w:tcW w:type="dxa" w:w="331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3.3 months</w:t>
            </w:r>
          </w:p>
        </w:tc>
      </w:tr>
      <w:tr>
        <w:tc>
          <w:tcPr>
            <w:tcW w:type="dxa" w:w="60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Three-year net financial effect</w:t>
            </w:r>
          </w:p>
        </w:tc>
        <w:tc>
          <w:tcPr>
            <w:tcW w:type="dxa" w:w="33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$978,275</w:t>
            </w:r>
          </w:p>
        </w:tc>
      </w:tr>
      <w:tr>
        <w:tc>
          <w:tcPr>
            <w:tcW w:type="dxa" w:w="60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Cost recovery (customer-caused dispatch cost)</w:t>
            </w:r>
          </w:p>
        </w:tc>
        <w:tc>
          <w:tcPr>
            <w:tcW w:type="dxa" w:w="331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73%</w:t>
            </w:r>
          </w:p>
        </w:tc>
      </w:tr>
      <w:tr>
        <w:tc>
          <w:tcPr>
            <w:tcW w:type="dxa" w:w="60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Primary economic driver</w:t>
            </w:r>
          </w:p>
        </w:tc>
        <w:tc>
          <w:tcPr>
            <w:tcW w:type="dxa" w:w="33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Avoided truck rolls (deflection), not fees</w:t>
            </w:r>
          </w:p>
        </w:tc>
      </w:tr>
    </w:tbl>
    <w:p>
      <w:pPr>
        <w:pStyle w:val="Heading1"/>
      </w:pPr>
      <w:r>
        <w:t>The Five Decisions We Need</w:t>
      </w:r>
    </w:p>
    <w:p>
      <w:pPr>
        <w:spacing w:after="20"/>
      </w:pPr>
      <w:r>
        <w:rPr>
          <w:b/>
          <w:i w:val="0"/>
          <w:color w:val="0B3D5C"/>
          <w:sz w:val="22"/>
        </w:rPr>
        <w:t>1. Approve the fee posture</w:t>
      </w:r>
    </w:p>
    <w:p>
      <w:pPr>
        <w:spacing w:after="120"/>
      </w:pPr>
      <w:r>
        <w:rPr>
          <w:b w:val="0"/>
          <w:i w:val="0"/>
          <w:sz w:val="20"/>
        </w:rPr>
        <w:t>Adopt the recommended Balanced fee schedule ($75 residential / $125 business) versus Conservative or Full-Cost-Recovery.  (Owner: CEO / CFO / COO)</w:t>
      </w:r>
    </w:p>
    <w:p>
      <w:pPr>
        <w:spacing w:after="20"/>
      </w:pPr>
      <w:r>
        <w:rPr>
          <w:b/>
          <w:i w:val="0"/>
          <w:color w:val="0B3D5C"/>
          <w:sz w:val="22"/>
        </w:rPr>
        <w:t>2. Approve the protection-plan launch and price</w:t>
      </w:r>
    </w:p>
    <w:p>
      <w:pPr>
        <w:spacing w:after="120"/>
      </w:pPr>
      <w:r>
        <w:rPr>
          <w:b w:val="0"/>
          <w:i w:val="0"/>
          <w:sz w:val="20"/>
        </w:rPr>
        <w:t>Launch RIVR Tech Home Maintenance Protection at $9.99/mo (vs. $7.99 or $12.99), pending insurance/legal review.  (Owner: CEO / CFO)</w:t>
      </w:r>
    </w:p>
    <w:p>
      <w:pPr>
        <w:spacing w:after="20"/>
      </w:pPr>
      <w:r>
        <w:rPr>
          <w:b/>
          <w:i w:val="0"/>
          <w:color w:val="0B3D5C"/>
          <w:sz w:val="22"/>
        </w:rPr>
        <w:t>3. Approve the courtesy-waiver and grace period</w:t>
      </w:r>
    </w:p>
    <w:p>
      <w:pPr>
        <w:spacing w:after="120"/>
      </w:pPr>
      <w:r>
        <w:rPr>
          <w:b w:val="0"/>
          <w:i w:val="0"/>
          <w:sz w:val="20"/>
        </w:rPr>
        <w:t>Adopt the first-incident courtesy waiver and a 30-day warning-only period before billing begins.  (Owner: COO / CX)</w:t>
      </w:r>
    </w:p>
    <w:p>
      <w:pPr>
        <w:spacing w:after="20"/>
      </w:pPr>
      <w:r>
        <w:rPr>
          <w:b/>
          <w:i w:val="0"/>
          <w:color w:val="0B3D5C"/>
          <w:sz w:val="22"/>
        </w:rPr>
        <w:t>4. Approve the effective date and rollout budget</w:t>
      </w:r>
    </w:p>
    <w:p>
      <w:pPr>
        <w:spacing w:after="120"/>
      </w:pPr>
      <w:r>
        <w:rPr>
          <w:b w:val="0"/>
          <w:i w:val="0"/>
          <w:sz w:val="20"/>
        </w:rPr>
        <w:t>Set the effective date and fund the ~$95K one-time implementation.  (Owner: CEO / CFO)</w:t>
      </w:r>
    </w:p>
    <w:p>
      <w:pPr>
        <w:spacing w:after="20"/>
      </w:pPr>
      <w:r>
        <w:rPr>
          <w:b/>
          <w:i w:val="0"/>
          <w:color w:val="0B3D5C"/>
          <w:sz w:val="22"/>
        </w:rPr>
        <w:t>5. Approve legal/regulatory review scope</w:t>
      </w:r>
    </w:p>
    <w:p>
      <w:pPr>
        <w:spacing w:after="120"/>
      </w:pPr>
      <w:r>
        <w:rPr>
          <w:b w:val="0"/>
          <w:i w:val="0"/>
          <w:sz w:val="20"/>
        </w:rPr>
        <w:t>Authorize NC consumer-protection, tax, and insurance-characterization review before go-live.  (Owner: CEO / General Counsel)</w:t>
      </w:r>
    </w:p>
    <w:p>
      <w:pPr>
        <w:pStyle w:val="Heading1"/>
      </w:pPr>
      <w:r>
        <w:t>Recommended Answers</w:t>
      </w:r>
    </w:p>
    <w:p>
      <w:pPr>
        <w:pStyle w:val="ListBullet"/>
      </w:pPr>
      <w:r>
        <w:rPr>
          <w:b/>
          <w:sz w:val="21"/>
        </w:rPr>
        <w:t xml:space="preserve">Fee posture: </w:t>
      </w:r>
      <w:r>
        <w:rPr>
          <w:sz w:val="21"/>
        </w:rPr>
        <w:t>Balanced fee posture ($75 / $125).</w:t>
      </w:r>
    </w:p>
    <w:p>
      <w:pPr>
        <w:pStyle w:val="ListBullet"/>
      </w:pPr>
      <w:r>
        <w:rPr>
          <w:b/>
          <w:sz w:val="21"/>
        </w:rPr>
        <w:t xml:space="preserve">Protection plan: </w:t>
      </w:r>
      <w:r>
        <w:rPr>
          <w:sz w:val="21"/>
        </w:rPr>
        <w:t>Launch at $9.99/month.</w:t>
      </w:r>
    </w:p>
    <w:p>
      <w:pPr>
        <w:pStyle w:val="ListBullet"/>
      </w:pPr>
      <w:r>
        <w:rPr>
          <w:b/>
          <w:sz w:val="21"/>
        </w:rPr>
        <w:t xml:space="preserve">Grace period: </w:t>
      </w:r>
      <w:r>
        <w:rPr>
          <w:sz w:val="21"/>
        </w:rPr>
        <w:t>Yes — 30-day warning-only period + first-incident courtesy waiver.</w:t>
      </w:r>
    </w:p>
    <w:p>
      <w:pPr>
        <w:pStyle w:val="ListBullet"/>
      </w:pPr>
      <w:r>
        <w:rPr>
          <w:b/>
          <w:sz w:val="21"/>
        </w:rPr>
        <w:t xml:space="preserve">Budget &amp; date: </w:t>
      </w:r>
      <w:r>
        <w:rPr>
          <w:sz w:val="21"/>
        </w:rPr>
        <w:t>Fund ~$95,000 one-time; set effective date after training + legal sign-off.</w:t>
      </w:r>
    </w:p>
    <w:p>
      <w:pPr>
        <w:pStyle w:val="ListBullet"/>
      </w:pPr>
      <w:r>
        <w:rPr>
          <w:b/>
          <w:sz w:val="21"/>
        </w:rPr>
        <w:t xml:space="preserve">Legal scope: </w:t>
      </w:r>
      <w:r>
        <w:rPr>
          <w:sz w:val="21"/>
        </w:rPr>
        <w:t>Authorize NC consumer-protection, tax, and insurance-characterization review.</w:t>
      </w:r>
    </w:p>
    <w:p>
      <w:pPr>
        <w:pStyle w:val="Heading1"/>
      </w:pPr>
      <w:r>
        <w:t>Top Risks (with mitigations)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312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Risk</w:t>
            </w:r>
          </w:p>
        </w:tc>
        <w:tc>
          <w:tcPr>
            <w:tcW w:type="dxa" w:w="6048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Mitigation</w:t>
            </w:r>
          </w:p>
        </w:tc>
      </w:tr>
      <w:tr>
        <w:tc>
          <w:tcPr>
            <w:tcW w:type="dxa" w:w="33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Reputation / backlash</w:t>
            </w:r>
          </w:p>
        </w:tc>
        <w:tc>
          <w:tcPr>
            <w:tcW w:type="dxa" w:w="60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Education-first, grace period, courtesy waiver, dispute process.</w:t>
            </w:r>
          </w:p>
        </w:tc>
      </w:tr>
      <w:tr>
        <w:tc>
          <w:tcPr>
            <w:tcW w:type="dxa" w:w="331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9"/>
              </w:rPr>
              <w:t>Regulatory exposure</w:t>
            </w:r>
          </w:p>
        </w:tc>
        <w:tc>
          <w:tcPr>
            <w:tcW w:type="dxa" w:w="60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9"/>
              </w:rPr>
              <w:t>NC review; documented findings before any charge.</w:t>
            </w:r>
          </w:p>
        </w:tc>
      </w:tr>
      <w:tr>
        <w:tc>
          <w:tcPr>
            <w:tcW w:type="dxa" w:w="33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Insurance mischaracterization</w:t>
            </w:r>
          </w:p>
        </w:tc>
        <w:tc>
          <w:tcPr>
            <w:tcW w:type="dxa" w:w="60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Legal/insurance review of the protection plan.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3F7"/>
            <w:tcMar>
              <w:top w:w="80" w:type="dxa"/>
              <w:bottom w:w="80" w:type="dxa"/>
              <w:start w:w="120" w:type="dxa"/>
              <w:end w:w="120" w:type="dxa"/>
            </w:tcMar>
            <w:tcBorders>
              <w:left w:val="single" w:sz="24" w:space="0" w:color="C0562B"/>
            </w:tcBorders>
          </w:tcPr>
          <w:p>
            <w:r>
              <w:rPr>
                <w:b/>
                <w:color w:val="C0562B"/>
                <w:sz w:val="18"/>
              </w:rPr>
              <w:t xml:space="preserve">REVIEW REQUIRED  </w:t>
            </w:r>
            <w:r>
              <w:rPr>
                <w:color w:val="10222E"/>
                <w:sz w:val="19"/>
              </w:rPr>
              <w:t>Recommendations and labeled assumptions only — not established policy and not legal advice. Requires legal, regulatory, accounting, and insurance review.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B7A82"/>
        <w:sz w:val="16"/>
      </w:rPr>
      <w:t xml:space="preserve">RIVR Tech  |  Executive Decision Summary  |  v1.0 (Draft for Executive Review)  |  Page </w:t>
    </w:r>
    <w:r>
      <w:rPr>
        <w:color w:val="6B7A82"/>
        <w:sz w:val="16"/>
      </w:rPr>
      <w:fldChar w:fldCharType="begin"/>
      <w:instrText xml:space="preserve">PAGE</w:instrText>
      <w:fldChar w:fldCharType="end"/>
    </w:r>
    <w:r>
      <w:rPr>
        <w:color w:val="6B7A82"/>
        <w:sz w:val="16"/>
      </w:rPr>
      <w:t xml:space="preserve"> of </w:t>
    </w:r>
    <w:r>
      <w:rPr>
        <w:color w:val="6B7A82"/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B3D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B87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0222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