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Customer-Premises Maintenance &amp; Billable Trouble-Visit Program</w:t>
      </w:r>
    </w:p>
    <w:p>
      <w:r>
        <w:rPr>
          <w:color w:val="1B87B5"/>
          <w:sz w:val="26"/>
        </w:rPr>
        <w:t>Business Case</w:t>
      </w:r>
    </w:p>
    <w:p>
      <w:r>
        <w:rPr>
          <w:color w:val="6B7A82"/>
          <w:sz w:val="22"/>
        </w:rPr>
        <w:t>Executive Business Case &amp; Financial Justification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Maintenance Program Working Team (Operations / CX / Finance / Policy)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0B3D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RIVR Tech today performs all maintenance and trouble visits at no charge, including visits whose root cause is on the customer's side of the network — customer-owned equipment, customer actions, damaged inside wiring, premises power problems, third-party devices, and Wi-Fi limitations unrelated to the RIVR Tech network. This subsidizes a growing volume of avoidable truck rolls and diverts field capacity away from genuine network work.</w:t>
      </w:r>
    </w:p>
    <w:p>
      <w:pPr>
        <w:spacing w:after="120"/>
      </w:pPr>
      <w:r>
        <w:rPr>
          <w:b w:val="0"/>
          <w:i w:val="0"/>
          <w:sz w:val="21"/>
        </w:rPr>
        <w:t>This business case recommends a fair, transparent, customer-friendly program that keeps all RIVR Tech network and equipment repairs free, introduces reasonable charges only for documented customer-premises visits, strengthens remote troubleshooting to prevent unnecessary dispatches, and adds an optional monthly maintenance-protection plan. The design prioritizes deflection and education over fee revenue, and protects RIVR Tech's community reputation.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36B39A"/>
            </w:tcBorders>
          </w:tcPr>
          <w:p>
            <w:r>
              <w:rPr>
                <w:b/>
                <w:color w:val="36B39A"/>
                <w:sz w:val="18"/>
              </w:rPr>
              <w:t xml:space="preserve">RECOMMENDATION  </w:t>
            </w:r>
            <w:r>
              <w:rPr>
                <w:color w:val="10222E"/>
                <w:sz w:val="19"/>
              </w:rPr>
              <w:t>Adopt the Balanced fee posture ($75 residential / $125 business customer-premises visit), launch RIVR Tech Home Maintenance Protection at $9.99/month, and lead with a 30-day warning-only grace period plus a first-incident courtesy waiver.</w:t>
            </w:r>
          </w:p>
        </w:tc>
      </w:tr>
    </w:tbl>
    <w:p>
      <w:pPr>
        <w:spacing w:after="40"/>
      </w:pPr>
    </w:p>
    <w:p>
      <w:pPr>
        <w:pStyle w:val="Heading2"/>
      </w:pPr>
      <w:r>
        <w:t>1.1 Headline Financials (Expected Scenario)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624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73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Annual dispatch expense (all truck rolls)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$1,096,680</w:t>
            </w:r>
          </w:p>
        </w:tc>
      </w:tr>
      <w:tr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Annual customer-caused dispatch cost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$329,004</w:t>
            </w:r>
          </w:p>
        </w:tc>
      </w:tr>
      <w:tr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Net trouble-visit fee revenue (Year 1)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$97,436</w:t>
            </w:r>
          </w:p>
        </w:tc>
      </w:tr>
      <w:tr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Protection-plan contribution margin (Year 1)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$142,276</w:t>
            </w:r>
          </w:p>
        </w:tc>
      </w:tr>
      <w:tr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Avoided-truck-roll savings (deflection)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$144,300</w:t>
            </w:r>
          </w:p>
        </w:tc>
      </w:tr>
      <w:tr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Cost recovery of customer-caused dispatch cost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73%</w:t>
            </w:r>
          </w:p>
        </w:tc>
      </w:tr>
      <w:tr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Year 1 net financial effect (after one-time cost)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$245,722</w:t>
            </w:r>
          </w:p>
        </w:tc>
      </w:tr>
      <w:tr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Implementation payback period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3.3 months</w:t>
            </w:r>
          </w:p>
        </w:tc>
      </w:tr>
      <w:tr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Three-year net financial effect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$978,275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9A227"/>
            </w:tcBorders>
          </w:tcPr>
          <w:p>
            <w:r>
              <w:rPr>
                <w:b/>
                <w:color w:val="C9A227"/>
                <w:sz w:val="18"/>
              </w:rPr>
              <w:t xml:space="preserve">ASSUMPTION  </w:t>
            </w:r>
            <w:r>
              <w:rPr>
                <w:color w:val="10222E"/>
                <w:sz w:val="19"/>
              </w:rPr>
              <w:t>All figures are model outputs under labeled assumptions. Replace the ten RIVR Tech data points listed in Section 7 to finalize. See the financial model workbook for live formulas and scenarios.</w:t>
            </w:r>
          </w:p>
        </w:tc>
      </w:tr>
    </w:tbl>
    <w:p>
      <w:pPr>
        <w:spacing w:after="40"/>
      </w:pPr>
    </w:p>
    <w:p>
      <w:pPr>
        <w:pStyle w:val="Heading1"/>
      </w:pPr>
      <w:r>
        <w:t>2. Problem Statement</w:t>
      </w:r>
    </w:p>
    <w:p>
      <w:pPr>
        <w:spacing w:after="120"/>
      </w:pPr>
      <w:r>
        <w:rPr>
          <w:b w:val="0"/>
          <w:i w:val="0"/>
          <w:sz w:val="21"/>
        </w:rPr>
        <w:t>Every truck roll consumes a technician, a vehicle, fuel, and materials. When the root cause is on the customer's premises, RIVR Tech absorbs the full cost while the customer receives a free visit that a third-party service would bill. The consequences:</w:t>
      </w:r>
    </w:p>
    <w:p>
      <w:pPr>
        <w:pStyle w:val="ListBullet"/>
      </w:pPr>
      <w:r>
        <w:rPr>
          <w:b/>
          <w:sz w:val="21"/>
        </w:rPr>
        <w:t xml:space="preserve">Capacity drain. </w:t>
      </w:r>
      <w:r>
        <w:rPr>
          <w:sz w:val="21"/>
        </w:rPr>
        <w:t>Avoidable dispatches crowd out network and installation work.</w:t>
      </w:r>
    </w:p>
    <w:p>
      <w:pPr>
        <w:pStyle w:val="ListBullet"/>
      </w:pPr>
      <w:r>
        <w:rPr>
          <w:b/>
          <w:sz w:val="21"/>
        </w:rPr>
        <w:t xml:space="preserve">Unrecovered cost. </w:t>
      </w:r>
      <w:r>
        <w:rPr>
          <w:sz w:val="21"/>
        </w:rPr>
        <w:t>At an estimated $130 per dispatch, customer-caused visits cost roughly $329,004 per year.</w:t>
      </w:r>
    </w:p>
    <w:p>
      <w:pPr>
        <w:pStyle w:val="ListBullet"/>
      </w:pPr>
      <w:r>
        <w:rPr>
          <w:b/>
          <w:sz w:val="21"/>
        </w:rPr>
        <w:t xml:space="preserve">No incentive. </w:t>
      </w:r>
      <w:r>
        <w:rPr>
          <w:sz w:val="21"/>
        </w:rPr>
        <w:t>No pricing signal exists to encourage self-service or protect customer-owned gear.</w:t>
      </w:r>
    </w:p>
    <w:p>
      <w:pPr>
        <w:pStyle w:val="ListBullet"/>
      </w:pPr>
      <w:r>
        <w:rPr>
          <w:b/>
          <w:sz w:val="21"/>
        </w:rPr>
        <w:t xml:space="preserve">Inequity. </w:t>
      </w:r>
      <w:r>
        <w:rPr>
          <w:sz w:val="21"/>
        </w:rPr>
        <w:t>Customers are surprised later when they learn a neighbor's ISP would have charged.</w:t>
      </w:r>
    </w:p>
    <w:p>
      <w:pPr>
        <w:pStyle w:val="Heading1"/>
      </w:pPr>
      <w:r>
        <w:t>3. Program Design Principles</w:t>
      </w:r>
    </w:p>
    <w:p>
      <w:pPr>
        <w:pStyle w:val="ListBullet"/>
      </w:pPr>
      <w:r>
        <w:rPr>
          <w:b/>
          <w:sz w:val="21"/>
        </w:rPr>
        <w:t xml:space="preserve">Network repairs stay free. </w:t>
      </w:r>
      <w:r>
        <w:rPr>
          <w:sz w:val="21"/>
        </w:rPr>
        <w:t>Confirmed RIVR Tech network or equipment problems are never billed.</w:t>
      </w:r>
    </w:p>
    <w:p>
      <w:pPr>
        <w:pStyle w:val="ListBullet"/>
      </w:pPr>
      <w:r>
        <w:rPr>
          <w:b/>
          <w:sz w:val="21"/>
        </w:rPr>
        <w:t xml:space="preserve">Charge only with evidence. </w:t>
      </w:r>
      <w:r>
        <w:rPr>
          <w:sz w:val="21"/>
        </w:rPr>
        <w:t>A fee requires documented findings, tests, and — where relevant — photos.</w:t>
      </w:r>
    </w:p>
    <w:p>
      <w:pPr>
        <w:pStyle w:val="ListBullet"/>
      </w:pPr>
      <w:r>
        <w:rPr>
          <w:b/>
          <w:sz w:val="21"/>
        </w:rPr>
        <w:t xml:space="preserve">No surprise billing. </w:t>
      </w:r>
      <w:r>
        <w:rPr>
          <w:sz w:val="21"/>
        </w:rPr>
        <w:t>Advance disclosure and customer acknowledgment before any dispatch that could bill.</w:t>
      </w:r>
    </w:p>
    <w:p>
      <w:pPr>
        <w:pStyle w:val="ListBullet"/>
      </w:pPr>
      <w:r>
        <w:rPr>
          <w:b/>
          <w:sz w:val="21"/>
        </w:rPr>
        <w:t xml:space="preserve">Deflect before dispatch. </w:t>
      </w:r>
      <w:r>
        <w:rPr>
          <w:sz w:val="21"/>
        </w:rPr>
        <w:t>Strong remote troubleshooting resolves more issues without a truck.</w:t>
      </w:r>
    </w:p>
    <w:p>
      <w:pPr>
        <w:pStyle w:val="ListBullet"/>
      </w:pPr>
      <w:r>
        <w:rPr>
          <w:b/>
          <w:sz w:val="21"/>
        </w:rPr>
        <w:t xml:space="preserve">Educate, don't blame. </w:t>
      </w:r>
      <w:r>
        <w:rPr>
          <w:sz w:val="21"/>
        </w:rPr>
        <w:t>Language is 'customer-premises issue,' never 'customer fault.'</w:t>
      </w:r>
    </w:p>
    <w:p>
      <w:pPr>
        <w:pStyle w:val="ListBullet"/>
      </w:pPr>
      <w:r>
        <w:rPr>
          <w:b/>
          <w:sz w:val="21"/>
        </w:rPr>
        <w:t xml:space="preserve">Protect the vulnerable. </w:t>
      </w:r>
      <w:r>
        <w:rPr>
          <w:sz w:val="21"/>
        </w:rPr>
        <w:t>Hardship, accommodation, and courtesy waivers are built in.</w:t>
      </w:r>
    </w:p>
    <w:p>
      <w:pPr>
        <w:pStyle w:val="Heading1"/>
      </w:pPr>
      <w:r>
        <w:t>4. Recommended Fee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75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Fee Item</w:t>
            </w:r>
          </w:p>
        </w:tc>
        <w:tc>
          <w:tcPr>
            <w:tcW w:type="dxa" w:w="151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Conservative</w:t>
            </w:r>
          </w:p>
        </w:tc>
        <w:tc>
          <w:tcPr>
            <w:tcW w:type="dxa" w:w="165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Balanced (Rec.)</w:t>
            </w:r>
          </w:p>
        </w:tc>
        <w:tc>
          <w:tcPr>
            <w:tcW w:type="dxa" w:w="151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Full Recovery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Confirmed RIVR Tech network or equipment problem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16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$0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Inconclusive findings (no clear cause)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165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$0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Residential customer-premises trouble visit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$60</w:t>
            </w:r>
          </w:p>
        </w:tc>
        <w:tc>
          <w:tcPr>
            <w:tcW w:type="dxa" w:w="16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$75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$89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Business customer-premises trouble visit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$99</w:t>
            </w:r>
          </w:p>
        </w:tc>
        <w:tc>
          <w:tcPr>
            <w:tcW w:type="dxa" w:w="165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$125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$149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Additional labor after first 30 minutes (per 30 min)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$30</w:t>
            </w:r>
          </w:p>
        </w:tc>
        <w:tc>
          <w:tcPr>
            <w:tcW w:type="dxa" w:w="16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$35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$40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Missed appointment or denied access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$25</w:t>
            </w:r>
          </w:p>
        </w:tc>
        <w:tc>
          <w:tcPr>
            <w:tcW w:type="dxa" w:w="165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$35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$45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Equipment relocation (starting at, plus materials)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$85</w:t>
            </w:r>
          </w:p>
        </w:tc>
        <w:tc>
          <w:tcPr>
            <w:tcW w:type="dxa" w:w="16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$95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$115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Inside-wiring repair (starting at, plus materials)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$65</w:t>
            </w:r>
          </w:p>
        </w:tc>
        <w:tc>
          <w:tcPr>
            <w:tcW w:type="dxa" w:w="165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$75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$95</w:t>
            </w:r>
          </w:p>
        </w:tc>
      </w:tr>
      <w:tr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After-hours customer-caused visit surcharge (added)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$60</w:t>
            </w:r>
          </w:p>
        </w:tc>
        <w:tc>
          <w:tcPr>
            <w:tcW w:type="dxa" w:w="16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$75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$90</w:t>
            </w:r>
          </w:p>
        </w:tc>
      </w:tr>
    </w:tbl>
    <w:p>
      <w:pPr>
        <w:spacing w:after="120"/>
      </w:pPr>
      <w:r>
        <w:rPr>
          <w:b w:val="0"/>
          <w:i w:val="0"/>
          <w:sz w:val="18"/>
        </w:rPr>
        <w:t>Additional labor after the first 30 minutes bills at $35 per 30 minutes on billable work only. Relocation and inside-wiring items add materials at cost. The first customer-caused incident is eligible for a one-time educational courtesy waiver.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36B39A"/>
            </w:tcBorders>
          </w:tcPr>
          <w:p>
            <w:r>
              <w:rPr>
                <w:b/>
                <w:color w:val="36B39A"/>
                <w:sz w:val="18"/>
              </w:rPr>
              <w:t xml:space="preserve">RECOMMENDATION  </w:t>
            </w:r>
            <w:r>
              <w:rPr>
                <w:color w:val="10222E"/>
                <w:sz w:val="19"/>
              </w:rPr>
              <w:t>The Balanced posture recovers a meaningful share of field cost while remaining below typical third-party service-call rates in southeastern North Carolina, preserving RIVR Tech's community-first positioning.</w:t>
            </w:r>
          </w:p>
        </w:tc>
      </w:tr>
    </w:tbl>
    <w:p>
      <w:pPr>
        <w:spacing w:after="40"/>
      </w:pPr>
    </w:p>
    <w:p>
      <w:pPr>
        <w:pStyle w:val="Heading1"/>
      </w:pPr>
      <w:r>
        <w:t>5. Optional Maintenance-Protection Plan</w:t>
      </w:r>
    </w:p>
    <w:p>
      <w:pPr>
        <w:spacing w:after="120"/>
      </w:pPr>
      <w:r>
        <w:rPr>
          <w:b w:val="0"/>
          <w:i w:val="0"/>
          <w:sz w:val="21"/>
        </w:rPr>
        <w:t>RIVR Tech Home Maintenance Protection is an optional monthly plan that covers standard customer-premises trouble visits, basic inside-wiring diagnostics, Wi-Fi education, and basic device-connection assistance, with priority scheduling. It is a service plan — not insurance, not a warranty.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Price Point</w:t>
            </w:r>
          </w:p>
        </w:tc>
        <w:tc>
          <w:tcPr>
            <w:tcW w:type="dxa" w:w="244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Annual Revenue</w:t>
            </w:r>
          </w:p>
        </w:tc>
        <w:tc>
          <w:tcPr>
            <w:tcW w:type="dxa" w:w="273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Contribution Margin</w:t>
            </w:r>
          </w:p>
        </w:tc>
        <w:tc>
          <w:tcPr>
            <w:tcW w:type="dxa" w:w="216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Break-even Price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$7.99/mo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$162,037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$104,150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$2.53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$9.99/mo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$202,597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$142,276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$2.53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$12.99/mo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$263,437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$199,466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$2.53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36B39A"/>
            </w:tcBorders>
          </w:tcPr>
          <w:p>
            <w:r>
              <w:rPr>
                <w:b/>
                <w:color w:val="36B39A"/>
                <w:sz w:val="18"/>
              </w:rPr>
              <w:t xml:space="preserve">RECOMMENDATION  </w:t>
            </w:r>
            <w:r>
              <w:rPr>
                <w:color w:val="10222E"/>
                <w:sz w:val="19"/>
              </w:rPr>
              <w:t>Launch at $9.99/month — the price that balances adoption, perceived value, and margin. Requires legal and insurance characterization review before launch.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LEGAL / REGULATORY REVIEW  </w:t>
            </w:r>
            <w:r>
              <w:rPr>
                <w:color w:val="10222E"/>
                <w:sz w:val="19"/>
              </w:rPr>
              <w:t>The plan must not be marketed or structured as insurance. Confirm characterization with legal and insurance advisors.</w:t>
            </w:r>
          </w:p>
        </w:tc>
      </w:tr>
    </w:tbl>
    <w:p>
      <w:pPr>
        <w:spacing w:after="40"/>
      </w:pPr>
    </w:p>
    <w:p>
      <w:pPr>
        <w:pStyle w:val="Heading1"/>
      </w:pPr>
      <w:r>
        <w:t>6. Scenario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44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Net Fees</w:t>
            </w:r>
          </w:p>
        </w:tc>
        <w:tc>
          <w:tcPr>
            <w:tcW w:type="dxa" w:w="151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Plan Margin</w:t>
            </w:r>
          </w:p>
        </w:tc>
        <w:tc>
          <w:tcPr>
            <w:tcW w:type="dxa" w:w="151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Deflection</w:t>
            </w:r>
          </w:p>
        </w:tc>
        <w:tc>
          <w:tcPr>
            <w:tcW w:type="dxa" w:w="151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Year 1 Net</w:t>
            </w:r>
          </w:p>
        </w:tc>
        <w:tc>
          <w:tcPr>
            <w:tcW w:type="dxa" w:w="151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3-Yr Net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$52,963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$99,593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$86,580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$100,847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$521,917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$97,436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$142,276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$144,300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$245,722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$978,275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$142,864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$256,097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$259,740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$520,412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$1,843,546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Even the Low scenario delivers positive three-year value, driven primarily by avoided truck rolls rather than fee revenue — reinforcing that deflection, not billing, is the main economic engine.</w:t>
      </w:r>
    </w:p>
    <w:p>
      <w:pPr>
        <w:pStyle w:val="Heading1"/>
      </w:pPr>
      <w:r>
        <w:t>7. Assumptions to Replace</w:t>
      </w:r>
    </w:p>
    <w:p>
      <w:pPr>
        <w:spacing w:after="120"/>
      </w:pPr>
      <w:r>
        <w:rPr>
          <w:b w:val="0"/>
          <w:i w:val="0"/>
          <w:sz w:val="21"/>
        </w:rPr>
        <w:t>The following RIVR Tech data points should replace the modeled assumptions before final approval:</w:t>
      </w:r>
    </w:p>
    <w:p>
      <w:pPr>
        <w:pStyle w:val="ListBullet"/>
      </w:pPr>
      <w:r>
        <w:rPr>
          <w:sz w:val="21"/>
        </w:rPr>
        <w:t>Total customers — Assumption — replace with billing-system count.</w:t>
      </w:r>
    </w:p>
    <w:p>
      <w:pPr>
        <w:pStyle w:val="ListBullet"/>
      </w:pPr>
      <w:r>
        <w:rPr>
          <w:sz w:val="21"/>
        </w:rPr>
        <w:t>Residential customers — Assumption.</w:t>
      </w:r>
    </w:p>
    <w:p>
      <w:pPr>
        <w:pStyle w:val="ListBullet"/>
      </w:pPr>
      <w:r>
        <w:rPr>
          <w:sz w:val="21"/>
        </w:rPr>
        <w:t>Business customers — Assumption.</w:t>
      </w:r>
    </w:p>
    <w:p>
      <w:pPr>
        <w:pStyle w:val="ListBullet"/>
      </w:pPr>
      <w:r>
        <w:rPr>
          <w:sz w:val="21"/>
        </w:rPr>
        <w:t>Monthly trouble tickets — Assumption — replace with ticketing export.</w:t>
      </w:r>
    </w:p>
    <w:p>
      <w:pPr>
        <w:pStyle w:val="ListBullet"/>
      </w:pPr>
      <w:r>
        <w:rPr>
          <w:sz w:val="21"/>
        </w:rPr>
        <w:t>Remote-resolution rate — Assumption — baseline before program.</w:t>
      </w:r>
    </w:p>
    <w:p>
      <w:pPr>
        <w:pStyle w:val="ListBullet"/>
      </w:pPr>
      <w:r>
        <w:rPr>
          <w:sz w:val="21"/>
        </w:rPr>
        <w:t>Dispatch rate (of tickets) — Derived complement of remote resolution.</w:t>
      </w:r>
    </w:p>
    <w:p>
      <w:pPr>
        <w:pStyle w:val="ListBullet"/>
      </w:pPr>
      <w:r>
        <w:rPr>
          <w:sz w:val="21"/>
        </w:rPr>
        <w:t>Customer-caused % of dispatches — Assumption — validate from historical dispositions.</w:t>
      </w:r>
    </w:p>
    <w:p>
      <w:pPr>
        <w:pStyle w:val="ListBullet"/>
      </w:pPr>
      <w:r>
        <w:rPr>
          <w:sz w:val="21"/>
        </w:rPr>
        <w:t>Billable % of customer-caused — After inconclusive/shared/courtesy removals.</w:t>
      </w:r>
    </w:p>
    <w:p>
      <w:pPr>
        <w:pStyle w:val="ListBullet"/>
      </w:pPr>
      <w:r>
        <w:rPr>
          <w:sz w:val="21"/>
        </w:rPr>
        <w:t>Average billable visit duration (hr) — 45 minutes on site.</w:t>
      </w:r>
    </w:p>
    <w:p>
      <w:pPr>
        <w:pStyle w:val="ListBullet"/>
      </w:pPr>
      <w:r>
        <w:rPr>
          <w:sz w:val="21"/>
        </w:rPr>
        <w:t>Loaded technician hourly cost — Wages + benefits + burden.</w:t>
      </w:r>
    </w:p>
    <w:p>
      <w:pPr>
        <w:pStyle w:val="ListBullet"/>
      </w:pPr>
      <w:r>
        <w:rPr>
          <w:sz w:val="21"/>
        </w:rPr>
        <w:t>Avg travel time per dispatch (hr) — Windshield time per truck roll.</w:t>
      </w:r>
    </w:p>
    <w:p>
      <w:pPr>
        <w:pStyle w:val="ListBullet"/>
      </w:pPr>
      <w:r>
        <w:rPr>
          <w:sz w:val="21"/>
        </w:rPr>
        <w:t>Vehicle cost per visit — Depreciation + maintenance allocation.</w:t>
      </w:r>
    </w:p>
    <w:p>
      <w:pPr>
        <w:pStyle w:val="Heading1"/>
      </w:pPr>
      <w:r>
        <w:t>8.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604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Customer backlash / reputation</w:t>
            </w:r>
          </w:p>
        </w:tc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Lead with education, 30-day grace, courtesy waiver, warm messaging, robust dispute process.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Perception as a money grab</w:t>
            </w:r>
          </w:p>
        </w:tc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Cap fees below market; publish what stays free; emphasize deflection savings over revenue.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Regulatory / consumer-protection</w:t>
            </w:r>
          </w:p>
        </w:tc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Full NC review; clear disclosures; documented findings before any charge.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Employee inconsistency</w:t>
            </w:r>
          </w:p>
        </w:tc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Mandatory training, coding accuracy audits, supervisor approvals, QA review.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Protection-plan mischaracterization</w:t>
            </w:r>
          </w:p>
        </w:tc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Legal/insurance review; avoid insurance/warranty language.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Churn</w:t>
            </w:r>
          </w:p>
        </w:tc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Model includes churn cost; monitor policy-related churn KPI; hardship waivers.</w:t>
            </w:r>
          </w:p>
        </w:tc>
      </w:tr>
    </w:tbl>
    <w:p>
      <w:pPr>
        <w:pStyle w:val="Heading1"/>
      </w:pPr>
      <w:r>
        <w:t>9. Recommendation</w:t>
      </w:r>
    </w:p>
    <w:p>
      <w:pPr>
        <w:spacing w:after="120"/>
      </w:pPr>
      <w:r>
        <w:rPr>
          <w:b w:val="0"/>
          <w:i w:val="0"/>
          <w:sz w:val="21"/>
        </w:rPr>
        <w:t>Approve the Balanced fee posture, launch the $9.99 protection plan, and proceed with the 90-day phased implementation. Under the expected scenario the program returns approximately $245,722 in Year 1 (payback ~3.3 months) and $978,275 over three years, while reducing unnecessary truck rolls and keeping all genuine network repairs free.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REVIEW REQUIRED  </w:t>
            </w:r>
            <w:r>
              <w:rPr>
                <w:color w:val="10222E"/>
                <w:sz w:val="19"/>
              </w:rPr>
              <w:t>This document is a recommendation, not established RIVR Tech policy, and is not legal advice. Provisions require legal, regulatory, accounting, and insurance review before adoption.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Maintenance Program Business Case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