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b/>
          <w:color w:val="0B3D5C"/>
          <w:sz w:val="60"/>
        </w:rPr>
        <w:t>RIVR TECH</w:t>
      </w:r>
    </w:p>
    <w:p>
      <w:r>
        <w:rPr>
          <w:i/>
          <w:color w:val="6B7A82"/>
          <w:sz w:val="21"/>
        </w:rPr>
        <w:t>LREMC Technologies, LLC d/b/a RIVR Tech</w:t>
      </w:r>
    </w:p>
    <w:p>
      <w:pPr>
        <w:pBdr>
          <w:bottom w:val="single" w:sz="18" w:space="1" w:color="1B87B5"/>
        </w:pBdr>
      </w:pPr>
    </w:p>
    <w:p>
      <w:pPr>
        <w:spacing w:before="800"/>
      </w:pPr>
      <w:r>
        <w:rPr>
          <w:b/>
          <w:color w:val="10222E"/>
          <w:sz w:val="48"/>
        </w:rPr>
        <w:t>Support &amp; Field Operations SOP</w:t>
      </w:r>
    </w:p>
    <w:p>
      <w:r>
        <w:rPr>
          <w:color w:val="1B87B5"/>
          <w:sz w:val="26"/>
        </w:rPr>
        <w:t>Remote Triage + Field-Technician Standard Operating Procedures</w:t>
      </w:r>
    </w:p>
    <w:p>
      <w:r>
        <w:rPr>
          <w:color w:val="6B7A82"/>
          <w:sz w:val="22"/>
        </w:rPr>
        <w:t>Operational Procedures for Support, Dispatch, and Field Teams</w:t>
      </w:r>
    </w:p>
    <w:p>
      <w:pPr>
        <w:spacing w:before="24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Document Version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v1.0 (Draft for Executive Review)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Date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2026-07-20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Effective Date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[EFFECTIVE DATE — TO BE SET BY EXECUTIVE TEAM]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Prepared By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Maintenance Program Working Team (Operations / CX / Finance / Policy)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Region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Broadband services in southeastern North Carolina</w:t>
            </w:r>
          </w:p>
        </w:tc>
      </w:tr>
    </w:tbl>
    <w:p/>
    <w:p>
      <w:r>
        <w:rPr>
          <w:i/>
          <w:color w:val="C0562B"/>
          <w:sz w:val="17"/>
        </w:rPr>
        <w:t>INTERNAL DRAFT FOR EXECUTIVE REVIEW — NOT LEGAL ADVICE. Contains recommendations and labeled assumptions requiring legal, regulatory, accounting, and insurance review before adoption.</w:t>
      </w:r>
    </w:p>
    <w:p>
      <w:r>
        <w:br w:type="page"/>
      </w:r>
    </w:p>
    <w:p>
      <w:pPr>
        <w:spacing w:after="120"/>
      </w:pPr>
      <w:r>
        <w:rPr>
          <w:b/>
          <w:i w:val="0"/>
          <w:color w:val="0B3D5C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'Update Field'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Part A — Remote Troubleshooting (Support Triage) SOP</w:t>
      </w:r>
    </w:p>
    <w:p>
      <w:pPr>
        <w:spacing w:after="120"/>
      </w:pPr>
      <w:r>
        <w:rPr>
          <w:b w:val="0"/>
          <w:i w:val="0"/>
          <w:sz w:val="21"/>
        </w:rPr>
        <w:t>Support must complete these steps, when technically appropriate, before any dispatch. Strong remote troubleshooting is the primary tool for reducing unnecessary truck rolls.</w:t>
      </w:r>
    </w:p>
    <w:p>
      <w:pPr>
        <w:pStyle w:val="ListNumber"/>
      </w:pPr>
      <w:r>
        <w:rPr>
          <w:sz w:val="21"/>
        </w:rPr>
        <w:t>Verify the customer and account.</w:t>
      </w:r>
    </w:p>
    <w:p>
      <w:pPr>
        <w:pStyle w:val="ListNumber"/>
      </w:pPr>
      <w:r>
        <w:rPr>
          <w:sz w:val="21"/>
        </w:rPr>
        <w:t>Check for a known area or facility outage.</w:t>
      </w:r>
    </w:p>
    <w:p>
      <w:pPr>
        <w:pStyle w:val="ListNumber"/>
      </w:pPr>
      <w:r>
        <w:rPr>
          <w:sz w:val="21"/>
        </w:rPr>
        <w:t>Review service and ticket history for repeats and prior repairs.</w:t>
      </w:r>
    </w:p>
    <w:p>
      <w:pPr>
        <w:pStyle w:val="ListNumber"/>
      </w:pPr>
      <w:r>
        <w:rPr>
          <w:sz w:val="21"/>
        </w:rPr>
        <w:t>Review ONT and gateway status remotely.</w:t>
      </w:r>
    </w:p>
    <w:p>
      <w:pPr>
        <w:pStyle w:val="ListNumber"/>
      </w:pPr>
      <w:r>
        <w:rPr>
          <w:sz w:val="21"/>
        </w:rPr>
        <w:t>Review alarms and optical levels.</w:t>
      </w:r>
    </w:p>
    <w:p>
      <w:pPr>
        <w:pStyle w:val="ListNumber"/>
      </w:pPr>
      <w:r>
        <w:rPr>
          <w:sz w:val="21"/>
        </w:rPr>
        <w:t>Confirm premises power (outlets, strips, adapters).</w:t>
      </w:r>
    </w:p>
    <w:p>
      <w:pPr>
        <w:pStyle w:val="ListNumber"/>
      </w:pPr>
      <w:r>
        <w:rPr>
          <w:sz w:val="21"/>
        </w:rPr>
        <w:t>Confirm cables and connections.</w:t>
      </w:r>
    </w:p>
    <w:p>
      <w:pPr>
        <w:pStyle w:val="ListNumber"/>
      </w:pPr>
      <w:r>
        <w:rPr>
          <w:sz w:val="21"/>
        </w:rPr>
        <w:t>Reboot equipment in the correct order (ONT → gateway → device).</w:t>
      </w:r>
    </w:p>
    <w:p>
      <w:pPr>
        <w:pStyle w:val="ListNumber"/>
      </w:pPr>
      <w:r>
        <w:rPr>
          <w:sz w:val="21"/>
        </w:rPr>
        <w:t>Separate internet-delivery problems from Wi-Fi problems.</w:t>
      </w:r>
    </w:p>
    <w:p>
      <w:pPr>
        <w:pStyle w:val="ListNumber"/>
      </w:pPr>
      <w:r>
        <w:rPr>
          <w:sz w:val="21"/>
        </w:rPr>
        <w:t>Separate whole-home problems from individual-device problems.</w:t>
      </w:r>
    </w:p>
    <w:p>
      <w:pPr>
        <w:pStyle w:val="ListNumber"/>
      </w:pPr>
      <w:r>
        <w:rPr>
          <w:sz w:val="21"/>
        </w:rPr>
        <w:t>Perform an approved speed test.</w:t>
      </w:r>
    </w:p>
    <w:p>
      <w:pPr>
        <w:pStyle w:val="ListNumber"/>
      </w:pPr>
      <w:r>
        <w:rPr>
          <w:sz w:val="21"/>
        </w:rPr>
        <w:t>Request a wired test when available (device connected directly to the gateway).</w:t>
      </w:r>
    </w:p>
    <w:p>
      <w:pPr>
        <w:pStyle w:val="ListNumber"/>
      </w:pPr>
      <w:r>
        <w:rPr>
          <w:sz w:val="21"/>
        </w:rPr>
        <w:t>Identify any third-party networking equipment (mesh, firewall, extenders).</w:t>
      </w:r>
    </w:p>
    <w:p>
      <w:pPr>
        <w:pStyle w:val="ListNumber"/>
      </w:pPr>
      <w:r>
        <w:rPr>
          <w:sz w:val="21"/>
        </w:rPr>
        <w:t>Educate the customer when the issue can be resolved remotely.</w:t>
      </w:r>
    </w:p>
    <w:p>
      <w:pPr>
        <w:pStyle w:val="ListNumber"/>
      </w:pPr>
      <w:r>
        <w:rPr>
          <w:sz w:val="21"/>
        </w:rPr>
        <w:t>Explain potential charges before dispatch and record acknowledgment.</w:t>
      </w:r>
    </w:p>
    <w:p>
      <w:pPr>
        <w:pStyle w:val="ListNumber"/>
      </w:pPr>
      <w:r>
        <w:rPr>
          <w:sz w:val="21"/>
        </w:rPr>
        <w:t>Select the appropriate dispatch and billing code.</w:t>
      </w:r>
    </w:p>
    <w:p>
      <w:pPr>
        <w:pStyle w:val="ListNumber"/>
      </w:pPr>
      <w:r>
        <w:rPr>
          <w:sz w:val="21"/>
        </w:rPr>
        <w:t>Escalate network-related problems to Network Operations.</w:t>
      </w:r>
    </w:p>
    <w:p>
      <w:pPr>
        <w:pStyle w:val="Heading2"/>
      </w:pPr>
      <w:r>
        <w:t>A.1 Triage Decision Tree</w:t>
      </w:r>
    </w:p>
    <w:p>
      <w:pPr>
        <w:spacing w:after="120"/>
      </w:pPr>
      <w:r>
        <w:rPr>
          <w:b w:val="0"/>
          <w:i w:val="0"/>
          <w:sz w:val="21"/>
        </w:rPr>
        <w:t>Use this decision logic after the steps above: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608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Condition</w:t>
            </w:r>
          </w:p>
        </w:tc>
        <w:tc>
          <w:tcPr>
            <w:tcW w:type="dxa" w:w="4752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Route</w:t>
            </w:r>
          </w:p>
        </w:tc>
      </w:tr>
      <w:tr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Resolved remotely?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Close as remote resolution. Educate. No dispatch.</w:t>
            </w:r>
          </w:p>
        </w:tc>
      </w:tr>
      <w:tr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Network alarm / optical fault / outage?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Escalate to Network Operations. Nonbillable dispatch if needed.</w:t>
            </w:r>
          </w:p>
        </w:tc>
      </w:tr>
      <w:tr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Wired test at gateway = plan speed, problem persists on customer gear?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Potentially billable dispatch. Disclose fee. Record acknowledgment.</w:t>
            </w:r>
          </w:p>
        </w:tc>
      </w:tr>
      <w:tr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Whole-home outage, no customer cause visible?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Nonbillable dispatch (suspected RIVR Tech).</w:t>
            </w:r>
          </w:p>
        </w:tc>
      </w:tr>
      <w:tr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Third-party equipment / business custom config?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Educate; offer referral to third-party IT; potentially billable if RIVR performs work.</w:t>
            </w:r>
          </w:p>
        </w:tc>
      </w:tr>
      <w:tr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Ambiguous or safety concern?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Escalate to Supervisor before dispatch.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3F7"/>
            <w:tcMar>
              <w:top w:w="80" w:type="dxa"/>
              <w:bottom w:w="80" w:type="dxa"/>
              <w:start w:w="120" w:type="dxa"/>
              <w:end w:w="120" w:type="dxa"/>
            </w:tcMar>
            <w:tcBorders>
              <w:left w:val="single" w:sz="24" w:space="0" w:color="C0562B"/>
            </w:tcBorders>
          </w:tcPr>
          <w:p>
            <w:r>
              <w:rPr>
                <w:b/>
                <w:color w:val="C0562B"/>
                <w:sz w:val="18"/>
              </w:rPr>
              <w:t xml:space="preserve">REVIEW REQUIRED  </w:t>
            </w:r>
            <w:r>
              <w:rPr>
                <w:color w:val="10222E"/>
                <w:sz w:val="19"/>
              </w:rPr>
              <w:t>A dispatch code is NOT a billing decision. Billing is determined only after documented field findings.</w:t>
            </w:r>
          </w:p>
        </w:tc>
      </w:tr>
    </w:tbl>
    <w:p>
      <w:pPr>
        <w:spacing w:after="40"/>
      </w:pPr>
    </w:p>
    <w:p>
      <w:pPr>
        <w:pStyle w:val="Heading1"/>
      </w:pPr>
      <w:r>
        <w:t>Part B — Field-Technician SOP</w:t>
      </w:r>
    </w:p>
    <w:p>
      <w:pPr>
        <w:spacing w:after="120"/>
      </w:pPr>
      <w:r>
        <w:rPr>
          <w:b w:val="0"/>
          <w:i w:val="0"/>
          <w:sz w:val="21"/>
        </w:rPr>
        <w:t>Field technicians follow this sequence on every trouble visit:</w:t>
      </w:r>
    </w:p>
    <w:p>
      <w:pPr>
        <w:spacing w:after="20"/>
      </w:pPr>
      <w:r>
        <w:rPr>
          <w:b/>
          <w:i w:val="0"/>
          <w:color w:val="1B87B5"/>
          <w:sz w:val="21"/>
        </w:rPr>
        <w:t>Arrival &amp; customer communication</w:t>
      </w:r>
    </w:p>
    <w:p>
      <w:pPr>
        <w:spacing w:after="120"/>
      </w:pPr>
      <w:r>
        <w:rPr>
          <w:b w:val="0"/>
          <w:i w:val="0"/>
          <w:sz w:val="20"/>
        </w:rPr>
        <w:t>Introduce yourself, confirm the reported issue, set expectations. Never use blaming language.</w:t>
      </w:r>
    </w:p>
    <w:p>
      <w:pPr>
        <w:spacing w:after="20"/>
      </w:pPr>
      <w:r>
        <w:rPr>
          <w:b/>
          <w:i w:val="0"/>
          <w:color w:val="1B87B5"/>
          <w:sz w:val="21"/>
        </w:rPr>
        <w:t>Review support notes</w:t>
      </w:r>
    </w:p>
    <w:p>
      <w:pPr>
        <w:spacing w:after="120"/>
      </w:pPr>
      <w:r>
        <w:rPr>
          <w:b w:val="0"/>
          <w:i w:val="0"/>
          <w:sz w:val="20"/>
        </w:rPr>
        <w:t>Read the triage history, prior tickets, and any disclosure already made.</w:t>
      </w:r>
    </w:p>
    <w:p>
      <w:pPr>
        <w:spacing w:after="20"/>
      </w:pPr>
      <w:r>
        <w:rPr>
          <w:b/>
          <w:i w:val="0"/>
          <w:color w:val="1B87B5"/>
          <w:sz w:val="21"/>
        </w:rPr>
        <w:t>Optical testing</w:t>
      </w:r>
    </w:p>
    <w:p>
      <w:pPr>
        <w:spacing w:after="120"/>
      </w:pPr>
      <w:r>
        <w:rPr>
          <w:b w:val="0"/>
          <w:i w:val="0"/>
          <w:sz w:val="20"/>
        </w:rPr>
        <w:t>Measure optical levels at the ONT; compare to spec.</w:t>
      </w:r>
    </w:p>
    <w:p>
      <w:pPr>
        <w:spacing w:after="20"/>
      </w:pPr>
      <w:r>
        <w:rPr>
          <w:b/>
          <w:i w:val="0"/>
          <w:color w:val="1B87B5"/>
          <w:sz w:val="21"/>
        </w:rPr>
        <w:t>ONT testing</w:t>
      </w:r>
    </w:p>
    <w:p>
      <w:pPr>
        <w:spacing w:after="120"/>
      </w:pPr>
      <w:r>
        <w:rPr>
          <w:b w:val="0"/>
          <w:i w:val="0"/>
          <w:sz w:val="20"/>
        </w:rPr>
        <w:t>Confirm ONT status, alarms, and provisioning.</w:t>
      </w:r>
    </w:p>
    <w:p>
      <w:pPr>
        <w:spacing w:after="20"/>
      </w:pPr>
      <w:r>
        <w:rPr>
          <w:b/>
          <w:i w:val="0"/>
          <w:color w:val="1B87B5"/>
          <w:sz w:val="21"/>
        </w:rPr>
        <w:t>Gateway testing</w:t>
      </w:r>
    </w:p>
    <w:p>
      <w:pPr>
        <w:spacing w:after="120"/>
      </w:pPr>
      <w:r>
        <w:rPr>
          <w:b w:val="0"/>
          <w:i w:val="0"/>
          <w:sz w:val="20"/>
        </w:rPr>
        <w:t>Verify gateway WAN/LAN status and firmware.</w:t>
      </w:r>
    </w:p>
    <w:p>
      <w:pPr>
        <w:spacing w:after="20"/>
      </w:pPr>
      <w:r>
        <w:rPr>
          <w:b/>
          <w:i w:val="0"/>
          <w:color w:val="1B87B5"/>
          <w:sz w:val="21"/>
        </w:rPr>
        <w:t>Wired testing</w:t>
      </w:r>
    </w:p>
    <w:p>
      <w:pPr>
        <w:spacing w:after="120"/>
      </w:pPr>
      <w:r>
        <w:rPr>
          <w:b w:val="0"/>
          <w:i w:val="0"/>
          <w:sz w:val="20"/>
        </w:rPr>
        <w:t>Run a wired speed test at the gateway to isolate delivery vs. Wi-Fi.</w:t>
      </w:r>
    </w:p>
    <w:p>
      <w:pPr>
        <w:spacing w:after="20"/>
      </w:pPr>
      <w:r>
        <w:rPr>
          <w:b/>
          <w:i w:val="0"/>
          <w:color w:val="1B87B5"/>
          <w:sz w:val="21"/>
        </w:rPr>
        <w:t>Wireless testing</w:t>
      </w:r>
    </w:p>
    <w:p>
      <w:pPr>
        <w:spacing w:after="120"/>
      </w:pPr>
      <w:r>
        <w:rPr>
          <w:b w:val="0"/>
          <w:i w:val="0"/>
          <w:sz w:val="20"/>
        </w:rPr>
        <w:t>Survey Wi-Fi signal; check bands and placement.</w:t>
      </w:r>
    </w:p>
    <w:p>
      <w:pPr>
        <w:spacing w:after="20"/>
      </w:pPr>
      <w:r>
        <w:rPr>
          <w:b/>
          <w:i w:val="0"/>
          <w:color w:val="1B87B5"/>
          <w:sz w:val="21"/>
        </w:rPr>
        <w:t>Customer-owned equipment</w:t>
      </w:r>
    </w:p>
    <w:p>
      <w:pPr>
        <w:spacing w:after="120"/>
      </w:pPr>
      <w:r>
        <w:rPr>
          <w:b w:val="0"/>
          <w:i w:val="0"/>
          <w:sz w:val="20"/>
        </w:rPr>
        <w:t>Identify make/model; bypass to prove RIVR Tech service is healthy.</w:t>
      </w:r>
    </w:p>
    <w:p>
      <w:pPr>
        <w:spacing w:after="20"/>
      </w:pPr>
      <w:r>
        <w:rPr>
          <w:b/>
          <w:i w:val="0"/>
          <w:color w:val="1B87B5"/>
          <w:sz w:val="21"/>
        </w:rPr>
        <w:t>Inside-wiring evaluation</w:t>
      </w:r>
    </w:p>
    <w:p>
      <w:pPr>
        <w:spacing w:after="120"/>
      </w:pPr>
      <w:r>
        <w:rPr>
          <w:b w:val="0"/>
          <w:i w:val="0"/>
          <w:sz w:val="20"/>
        </w:rPr>
        <w:t>Check continuity where relevant; note pre-existing conditions.</w:t>
      </w:r>
    </w:p>
    <w:p>
      <w:pPr>
        <w:spacing w:after="20"/>
      </w:pPr>
      <w:r>
        <w:rPr>
          <w:b/>
          <w:i w:val="0"/>
          <w:color w:val="1B87B5"/>
          <w:sz w:val="21"/>
        </w:rPr>
        <w:t>Photographs</w:t>
      </w:r>
    </w:p>
    <w:p>
      <w:pPr>
        <w:spacing w:after="120"/>
      </w:pPr>
      <w:r>
        <w:rPr>
          <w:b w:val="0"/>
          <w:i w:val="0"/>
          <w:sz w:val="20"/>
        </w:rPr>
        <w:t>Photograph damage, power issues, and relevant conditions.</w:t>
      </w:r>
    </w:p>
    <w:p>
      <w:pPr>
        <w:spacing w:after="20"/>
      </w:pPr>
      <w:r>
        <w:rPr>
          <w:b/>
          <w:i w:val="0"/>
          <w:color w:val="1B87B5"/>
          <w:sz w:val="21"/>
        </w:rPr>
        <w:t>Test-result documentation</w:t>
      </w:r>
    </w:p>
    <w:p>
      <w:pPr>
        <w:spacing w:after="120"/>
      </w:pPr>
      <w:r>
        <w:rPr>
          <w:b w:val="0"/>
          <w:i w:val="0"/>
          <w:sz w:val="20"/>
        </w:rPr>
        <w:t>Record all pre/post results in the ticket.</w:t>
      </w:r>
    </w:p>
    <w:p>
      <w:pPr>
        <w:spacing w:after="20"/>
      </w:pPr>
      <w:r>
        <w:rPr>
          <w:b/>
          <w:i w:val="0"/>
          <w:color w:val="1B87B5"/>
          <w:sz w:val="21"/>
        </w:rPr>
        <w:t>Ticket disposition</w:t>
      </w:r>
    </w:p>
    <w:p>
      <w:pPr>
        <w:spacing w:after="120"/>
      </w:pPr>
      <w:r>
        <w:rPr>
          <w:b w:val="0"/>
          <w:i w:val="0"/>
          <w:sz w:val="20"/>
        </w:rPr>
        <w:t>Select the correct classification and billing code.</w:t>
      </w:r>
    </w:p>
    <w:p>
      <w:pPr>
        <w:spacing w:after="20"/>
      </w:pPr>
      <w:r>
        <w:rPr>
          <w:b/>
          <w:i w:val="0"/>
          <w:color w:val="1B87B5"/>
          <w:sz w:val="21"/>
        </w:rPr>
        <w:t>Customer explanation</w:t>
      </w:r>
    </w:p>
    <w:p>
      <w:pPr>
        <w:spacing w:after="120"/>
      </w:pPr>
      <w:r>
        <w:rPr>
          <w:b w:val="0"/>
          <w:i w:val="0"/>
          <w:sz w:val="20"/>
        </w:rPr>
        <w:t>Explain findings plainly using 'customer-premises issue' language.</w:t>
      </w:r>
    </w:p>
    <w:p>
      <w:pPr>
        <w:spacing w:after="20"/>
      </w:pPr>
      <w:r>
        <w:rPr>
          <w:b/>
          <w:i w:val="0"/>
          <w:color w:val="1B87B5"/>
          <w:sz w:val="21"/>
        </w:rPr>
        <w:t>Electronic acknowledgment</w:t>
      </w:r>
    </w:p>
    <w:p>
      <w:pPr>
        <w:spacing w:after="120"/>
      </w:pPr>
      <w:r>
        <w:rPr>
          <w:b w:val="0"/>
          <w:i w:val="0"/>
          <w:sz w:val="20"/>
        </w:rPr>
        <w:t>Capture the customer's acknowledgment that a charge may apply.</w:t>
      </w:r>
    </w:p>
    <w:p>
      <w:pPr>
        <w:spacing w:after="20"/>
      </w:pPr>
      <w:r>
        <w:rPr>
          <w:b/>
          <w:i w:val="0"/>
          <w:color w:val="1B87B5"/>
          <w:sz w:val="21"/>
        </w:rPr>
        <w:t>Supervisor review</w:t>
      </w:r>
    </w:p>
    <w:p>
      <w:pPr>
        <w:spacing w:after="120"/>
      </w:pPr>
      <w:r>
        <w:rPr>
          <w:b w:val="0"/>
          <w:i w:val="0"/>
          <w:sz w:val="20"/>
        </w:rPr>
        <w:t>Route shared/damage/relocation/repeat items for approval.</w:t>
      </w:r>
    </w:p>
    <w:p>
      <w:pPr>
        <w:spacing w:after="20"/>
      </w:pPr>
      <w:r>
        <w:rPr>
          <w:b/>
          <w:i w:val="0"/>
          <w:color w:val="1B87B5"/>
          <w:sz w:val="21"/>
        </w:rPr>
        <w:t>Repeat-ticket handling</w:t>
      </w:r>
    </w:p>
    <w:p>
      <w:pPr>
        <w:spacing w:after="120"/>
      </w:pPr>
      <w:r>
        <w:rPr>
          <w:b w:val="0"/>
          <w:i w:val="0"/>
          <w:sz w:val="20"/>
        </w:rPr>
        <w:t>Link prior tickets; waive if it follows a recent RIVR Tech repair.</w:t>
      </w:r>
    </w:p>
    <w:p>
      <w:pPr>
        <w:spacing w:after="20"/>
      </w:pPr>
      <w:r>
        <w:rPr>
          <w:b/>
          <w:i w:val="0"/>
          <w:color w:val="1B87B5"/>
          <w:sz w:val="21"/>
        </w:rPr>
        <w:t>Quality audits</w:t>
      </w:r>
    </w:p>
    <w:p>
      <w:pPr>
        <w:spacing w:after="120"/>
      </w:pPr>
      <w:r>
        <w:rPr>
          <w:b w:val="0"/>
          <w:i w:val="0"/>
          <w:sz w:val="20"/>
        </w:rPr>
        <w:t>Expect random QA review of documentation and coding accuracy.</w:t>
      </w:r>
    </w:p>
    <w:p>
      <w:pPr>
        <w:pStyle w:val="Heading2"/>
      </w:pPr>
      <w:r>
        <w:t>B.1 Technicians Must Not</w:t>
      </w:r>
    </w:p>
    <w:p>
      <w:pPr>
        <w:pStyle w:val="ListBullet"/>
      </w:pPr>
      <w:r>
        <w:rPr>
          <w:sz w:val="21"/>
        </w:rPr>
        <w:t>Collect cash from customers.</w:t>
      </w:r>
    </w:p>
    <w:p>
      <w:pPr>
        <w:pStyle w:val="ListBullet"/>
      </w:pPr>
      <w:r>
        <w:rPr>
          <w:sz w:val="21"/>
        </w:rPr>
        <w:t>Guarantee that a charge will be removed.</w:t>
      </w:r>
    </w:p>
    <w:p>
      <w:pPr>
        <w:pStyle w:val="ListBullet"/>
      </w:pPr>
      <w:r>
        <w:rPr>
          <w:sz w:val="21"/>
        </w:rPr>
        <w:t>Classify a visit as billable without documented evidence.</w:t>
      </w:r>
    </w:p>
    <w:p>
      <w:pPr>
        <w:pStyle w:val="ListBullet"/>
      </w:pPr>
      <w:r>
        <w:rPr>
          <w:sz w:val="21"/>
        </w:rPr>
        <w:t>Use blaming language ('your fault').</w:t>
      </w:r>
    </w:p>
    <w:p>
      <w:pPr>
        <w:pStyle w:val="ListBullet"/>
      </w:pPr>
      <w:r>
        <w:rPr>
          <w:sz w:val="21"/>
        </w:rPr>
        <w:t>Perform unapproved major wiring or construction work.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3F7"/>
            <w:tcMar>
              <w:top w:w="80" w:type="dxa"/>
              <w:bottom w:w="80" w:type="dxa"/>
              <w:start w:w="120" w:type="dxa"/>
              <w:end w:w="120" w:type="dxa"/>
            </w:tcMar>
            <w:tcBorders>
              <w:left w:val="single" w:sz="24" w:space="0" w:color="36B39A"/>
            </w:tcBorders>
          </w:tcPr>
          <w:p>
            <w:r>
              <w:rPr>
                <w:b/>
                <w:color w:val="36B39A"/>
                <w:sz w:val="18"/>
              </w:rPr>
              <w:t xml:space="preserve">RECOMMENDATION  </w:t>
            </w:r>
            <w:r>
              <w:rPr>
                <w:color w:val="10222E"/>
                <w:sz w:val="19"/>
              </w:rPr>
              <w:t>Always say 'customer-premises issue' or 'issue outside the RIVR Tech network' — never 'customer fault.'</w:t>
            </w:r>
          </w:p>
        </w:tc>
      </w:tr>
    </w:tbl>
    <w:p>
      <w:pPr>
        <w:spacing w:after="40"/>
      </w:pPr>
    </w:p>
    <w:p>
      <w:pPr>
        <w:pStyle w:val="Heading1"/>
      </w:pPr>
      <w:r>
        <w:t>Part C — Ticket &amp; Billing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440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type="dxa" w:w="2736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1440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Billable</w:t>
            </w:r>
          </w:p>
        </w:tc>
        <w:tc>
          <w:tcPr>
            <w:tcW w:type="dxa" w:w="1872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Approval</w:t>
            </w:r>
          </w:p>
        </w:tc>
        <w:tc>
          <w:tcPr>
            <w:tcW w:type="dxa" w:w="1440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Billing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NET-OUT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Network failure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NB-000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EQP-FAIL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Company equipment failure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NB-000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FIB-DROP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Fiber/drop failure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NB-000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PWR-CUST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Customer power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May apply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Technician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BL-PWR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EQP-CUST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Customer equipment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May apply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Technician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BL-CEQ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WIR-INSD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Inside wiring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May apply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Technician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BL-WIR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DMG-PHYS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Physical damage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May apply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Supervisor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BL-DMG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WIFI-EDU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Wi-Fi education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May apply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Technician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BL-EDU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DEV-INDV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Individual-device problem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May apply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Technician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BL-DEV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NET-3RDP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Third-party network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May apply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Technician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BL-3PN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ACC-NONE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No access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May apply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Technician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BL-ACC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ACC-NOHM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Customer not home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May apply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Technician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BL-ACC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NTF-000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No trouble found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Supervisor (to bill)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NB-000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INC-000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Inconclusive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Manager (to bill)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NB-000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RPT-CUST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Repeat customer-premises issue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May apply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Manager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BL-RPT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REL-MOVE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Relocation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May apply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Technician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BL-REL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WVR-MGR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Manager waiver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Manager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WV-MGR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WVR-HRD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Hardship waiver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Manager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WV-HRD</w:t>
            </w:r>
          </w:p>
        </w:tc>
      </w:tr>
    </w:tbl>
    <w:p>
      <w:pPr>
        <w:spacing w:after="120"/>
      </w:pPr>
      <w:r>
        <w:rPr>
          <w:b w:val="0"/>
          <w:i/>
          <w:sz w:val="18"/>
        </w:rPr>
        <w:t>Full code documentation (descriptions, required documentation, and customer-facing language) is maintained in the Responsibility Matrix workbook.</w:t>
      </w:r>
    </w:p>
    <w:p>
      <w:pPr>
        <w:pStyle w:val="Heading1"/>
      </w:pPr>
      <w:r>
        <w:t>Part D — Customer Authorization Language</w:t>
      </w:r>
    </w:p>
    <w:p>
      <w:pPr>
        <w:spacing w:after="120"/>
      </w:pPr>
      <w:r>
        <w:rPr>
          <w:b w:val="0"/>
          <w:i w:val="0"/>
          <w:sz w:val="21"/>
        </w:rPr>
        <w:t>Use the approved disclosure across every channel. The customer acknowledges only that a charge MAY apply based on documented findings — not that they are at fault.</w:t>
      </w:r>
    </w:p>
    <w:p>
      <w:pPr>
        <w:spacing w:after="20"/>
      </w:pPr>
      <w:r>
        <w:rPr>
          <w:b/>
          <w:i w:val="0"/>
          <w:color w:val="0B3D5C"/>
          <w:sz w:val="20"/>
        </w:rPr>
        <w:t>Recorded telephone call</w:t>
      </w:r>
    </w:p>
    <w:p>
      <w:pPr>
        <w:spacing w:after="120"/>
      </w:pPr>
      <w:r>
        <w:rPr>
          <w:b w:val="0"/>
          <w:i w:val="0"/>
          <w:sz w:val="19"/>
        </w:rPr>
        <w:t>"Before we send a technician, I want you to know that if the issue is found to be with equipment or wiring at your home or business — not the RIVR Tech network — a service charge may apply based on what the technician documents. There's no charge if it's our network or equipment. May I note your acknowledgment?"</w:t>
      </w:r>
    </w:p>
    <w:p>
      <w:pPr>
        <w:spacing w:after="20"/>
      </w:pPr>
      <w:r>
        <w:rPr>
          <w:b/>
          <w:i w:val="0"/>
          <w:color w:val="0B3D5C"/>
          <w:sz w:val="20"/>
        </w:rPr>
        <w:t>Email</w:t>
      </w:r>
    </w:p>
    <w:p>
      <w:pPr>
        <w:spacing w:after="120"/>
      </w:pPr>
      <w:r>
        <w:rPr>
          <w:b w:val="0"/>
          <w:i w:val="0"/>
          <w:sz w:val="19"/>
        </w:rPr>
        <w:t>"A technician visit may include a service charge only if the documented cause is on your premises (your equipment, wiring, or power). RIVR Tech network and equipment repairs are always free."</w:t>
      </w:r>
    </w:p>
    <w:p>
      <w:pPr>
        <w:spacing w:after="20"/>
      </w:pPr>
      <w:r>
        <w:rPr>
          <w:b/>
          <w:i w:val="0"/>
          <w:color w:val="0B3D5C"/>
          <w:sz w:val="20"/>
        </w:rPr>
        <w:t>SMS</w:t>
      </w:r>
    </w:p>
    <w:p>
      <w:pPr>
        <w:spacing w:after="120"/>
      </w:pPr>
      <w:r>
        <w:rPr>
          <w:b w:val="0"/>
          <w:i w:val="0"/>
          <w:sz w:val="19"/>
        </w:rPr>
        <w:t>"RIVR Tech: A visit fee may apply only if the issue is on your premises (not our network). Reply YES to acknowledge and confirm your appointment."</w:t>
      </w:r>
    </w:p>
    <w:p>
      <w:pPr>
        <w:spacing w:after="20"/>
      </w:pPr>
      <w:r>
        <w:rPr>
          <w:b/>
          <w:i w:val="0"/>
          <w:color w:val="0B3D5C"/>
          <w:sz w:val="20"/>
        </w:rPr>
        <w:t>Customer portal</w:t>
      </w:r>
    </w:p>
    <w:p>
      <w:pPr>
        <w:spacing w:after="120"/>
      </w:pPr>
      <w:r>
        <w:rPr>
          <w:b w:val="0"/>
          <w:i w:val="0"/>
          <w:sz w:val="19"/>
        </w:rPr>
        <w:t>"I understand a service charge may apply only if the documented cause is a customer-premises issue. RIVR Tech network/equipment repairs are free."</w:t>
      </w:r>
    </w:p>
    <w:p>
      <w:pPr>
        <w:spacing w:after="20"/>
      </w:pPr>
      <w:r>
        <w:rPr>
          <w:b/>
          <w:i w:val="0"/>
          <w:color w:val="0B3D5C"/>
          <w:sz w:val="20"/>
        </w:rPr>
        <w:t>Technician work order</w:t>
      </w:r>
    </w:p>
    <w:p>
      <w:pPr>
        <w:spacing w:after="120"/>
      </w:pPr>
      <w:r>
        <w:rPr>
          <w:b w:val="0"/>
          <w:i w:val="0"/>
          <w:sz w:val="19"/>
        </w:rPr>
        <w:t>"Findings recorded on this order determine whether a charge applies. Signing acknowledges the visit and disclosure — not responsibility."</w:t>
      </w:r>
    </w:p>
    <w:p>
      <w:pPr>
        <w:spacing w:after="20"/>
      </w:pPr>
      <w:r>
        <w:rPr>
          <w:b/>
          <w:i w:val="0"/>
          <w:color w:val="0B3D5C"/>
          <w:sz w:val="20"/>
        </w:rPr>
        <w:t>Paper acknowledgment</w:t>
      </w:r>
    </w:p>
    <w:p>
      <w:pPr>
        <w:spacing w:after="120"/>
      </w:pPr>
      <w:r>
        <w:rPr>
          <w:b w:val="0"/>
          <w:i w:val="0"/>
          <w:sz w:val="19"/>
        </w:rPr>
        <w:t>"I acknowledge RIVR Tech disclosed that a charge may apply based on documented findings if the cause is a customer-premises issue."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3F7"/>
            <w:tcMar>
              <w:top w:w="80" w:type="dxa"/>
              <w:bottom w:w="80" w:type="dxa"/>
              <w:start w:w="120" w:type="dxa"/>
              <w:end w:w="120" w:type="dxa"/>
            </w:tcMar>
            <w:tcBorders>
              <w:left w:val="single" w:sz="24" w:space="0" w:color="C0562B"/>
            </w:tcBorders>
          </w:tcPr>
          <w:p>
            <w:r>
              <w:rPr>
                <w:b/>
                <w:color w:val="C0562B"/>
                <w:sz w:val="18"/>
              </w:rPr>
              <w:t xml:space="preserve">LEGAL / REGULATORY REVIEW  </w:t>
            </w:r>
            <w:r>
              <w:rPr>
                <w:color w:val="10222E"/>
                <w:sz w:val="19"/>
              </w:rPr>
              <w:t>Call recording, e-acknowledgment (E-SIGN/UETA), and disclosure wording require legal review.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A82"/>
        <w:sz w:val="16"/>
      </w:rPr>
      <w:t xml:space="preserve">RIVR Tech  |  Support &amp; Field Operations SOP  |  v1.0 (Draft for Executive Review)  |  Page </w:t>
    </w:r>
    <w:r>
      <w:rPr>
        <w:color w:val="6B7A82"/>
        <w:sz w:val="16"/>
      </w:rPr>
      <w:fldChar w:fldCharType="begin"/>
      <w:instrText xml:space="preserve">PAGE</w:instrText>
      <w:fldChar w:fldCharType="end"/>
    </w:r>
    <w:r>
      <w:rPr>
        <w:color w:val="6B7A82"/>
        <w:sz w:val="16"/>
      </w:rPr>
      <w:t xml:space="preserve"> of </w:t>
    </w:r>
    <w:r>
      <w:rPr>
        <w:color w:val="6B7A82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87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22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