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0B3D5C"/>
          <w:sz w:val="60"/>
        </w:rPr>
        <w:t>RIVR TECH</w:t>
      </w:r>
    </w:p>
    <w:p>
      <w:r>
        <w:rPr>
          <w:i/>
          <w:color w:val="6B7A82"/>
          <w:sz w:val="21"/>
        </w:rPr>
        <w:t>LREMC Technologies, LLC d/b/a RIVR Tech</w:t>
      </w:r>
    </w:p>
    <w:p>
      <w:pPr>
        <w:pBdr>
          <w:bottom w:val="single" w:sz="18" w:space="1" w:color="1B87B5"/>
        </w:pBdr>
      </w:pPr>
    </w:p>
    <w:p>
      <w:pPr>
        <w:spacing w:before="800"/>
      </w:pPr>
      <w:r>
        <w:rPr>
          <w:b/>
          <w:color w:val="10222E"/>
          <w:sz w:val="48"/>
        </w:rPr>
        <w:t>Customer Communication Package</w:t>
      </w:r>
    </w:p>
    <w:p>
      <w:r>
        <w:rPr>
          <w:color w:val="1B87B5"/>
          <w:sz w:val="26"/>
        </w:rPr>
        <w:t>Customer-Premises Maintenance Program</w:t>
      </w:r>
    </w:p>
    <w:p>
      <w:r>
        <w:rPr>
          <w:color w:val="6B7A82"/>
          <w:sz w:val="22"/>
        </w:rPr>
        <w:t>Templates for a 60-Day Customer Education Program</w:t>
      </w:r>
    </w:p>
    <w:p>
      <w:pPr>
        <w:spacing w:before="2400"/>
      </w:pPr>
    </w:p>
    <w:tbl>
      <w:tblPr>
        <w:tblW w:type="auto" w:w="0"/>
        <w:tblLook w:firstColumn="1" w:firstRow="1" w:lastColumn="0" w:lastRow="0" w:noHBand="0" w:noVBand="1" w:val="04A0"/>
      </w:tblPr>
      <w:tblGrid>
        <w:gridCol w:w="4824"/>
        <w:gridCol w:w="4824"/>
      </w:tblGrid>
      <w:tr>
        <w:tc>
          <w:tcPr>
            <w:tcW w:type="dxa" w:w="2592"/>
          </w:tcPr>
          <w:p>
            <w:r>
              <w:rPr>
                <w:b/>
                <w:color w:val="0B3D5C"/>
                <w:sz w:val="19"/>
              </w:rPr>
              <w:t>Document Version</w:t>
            </w:r>
          </w:p>
        </w:tc>
        <w:tc>
          <w:tcPr>
            <w:tcW w:type="dxa" w:w="6768"/>
          </w:tcPr>
          <w:p>
            <w:r>
              <w:rPr>
                <w:sz w:val="19"/>
              </w:rPr>
              <w:t>v1.0 (Draft for Executive Review)</w:t>
            </w:r>
          </w:p>
        </w:tc>
      </w:tr>
      <w:tr>
        <w:tc>
          <w:tcPr>
            <w:tcW w:type="dxa" w:w="2592"/>
          </w:tcPr>
          <w:p>
            <w:r>
              <w:rPr>
                <w:b/>
                <w:color w:val="0B3D5C"/>
                <w:sz w:val="19"/>
              </w:rPr>
              <w:t>Date</w:t>
            </w:r>
          </w:p>
        </w:tc>
        <w:tc>
          <w:tcPr>
            <w:tcW w:type="dxa" w:w="6768"/>
          </w:tcPr>
          <w:p>
            <w:r>
              <w:rPr>
                <w:sz w:val="19"/>
              </w:rPr>
              <w:t>2026-07-20</w:t>
            </w:r>
          </w:p>
        </w:tc>
      </w:tr>
      <w:tr>
        <w:tc>
          <w:tcPr>
            <w:tcW w:type="dxa" w:w="2592"/>
          </w:tcPr>
          <w:p>
            <w:r>
              <w:rPr>
                <w:b/>
                <w:color w:val="0B3D5C"/>
                <w:sz w:val="19"/>
              </w:rPr>
              <w:t>Effective Date</w:t>
            </w:r>
          </w:p>
        </w:tc>
        <w:tc>
          <w:tcPr>
            <w:tcW w:type="dxa" w:w="6768"/>
          </w:tcPr>
          <w:p>
            <w:r>
              <w:rPr>
                <w:sz w:val="19"/>
              </w:rPr>
              <w:t>[EFFECTIVE DATE — TO BE SET BY EXECUTIVE TEAM]</w:t>
            </w:r>
          </w:p>
        </w:tc>
      </w:tr>
      <w:tr>
        <w:tc>
          <w:tcPr>
            <w:tcW w:type="dxa" w:w="2592"/>
          </w:tcPr>
          <w:p>
            <w:r>
              <w:rPr>
                <w:b/>
                <w:color w:val="0B3D5C"/>
                <w:sz w:val="19"/>
              </w:rPr>
              <w:t>Prepared By</w:t>
            </w:r>
          </w:p>
        </w:tc>
        <w:tc>
          <w:tcPr>
            <w:tcW w:type="dxa" w:w="6768"/>
          </w:tcPr>
          <w:p>
            <w:r>
              <w:rPr>
                <w:sz w:val="19"/>
              </w:rPr>
              <w:t>Maintenance Program Working Team (Operations / CX / Finance / Policy)</w:t>
            </w:r>
          </w:p>
        </w:tc>
      </w:tr>
      <w:tr>
        <w:tc>
          <w:tcPr>
            <w:tcW w:type="dxa" w:w="2592"/>
          </w:tcPr>
          <w:p>
            <w:r>
              <w:rPr>
                <w:b/>
                <w:color w:val="0B3D5C"/>
                <w:sz w:val="19"/>
              </w:rPr>
              <w:t>Region</w:t>
            </w:r>
          </w:p>
        </w:tc>
        <w:tc>
          <w:tcPr>
            <w:tcW w:type="dxa" w:w="6768"/>
          </w:tcPr>
          <w:p>
            <w:r>
              <w:rPr>
                <w:sz w:val="19"/>
              </w:rPr>
              <w:t>Broadband services in southeastern North Carolina</w:t>
            </w:r>
          </w:p>
        </w:tc>
      </w:tr>
    </w:tbl>
    <w:p/>
    <w:p>
      <w:r>
        <w:rPr>
          <w:i/>
          <w:color w:val="C0562B"/>
          <w:sz w:val="17"/>
        </w:rPr>
        <w:t>INTERNAL DRAFT FOR EXECUTIVE REVIEW — NOT LEGAL ADVICE. Contains recommendations and labeled assumptions requiring legal, regulatory, accounting, and insurance review before adoption.</w:t>
      </w:r>
    </w:p>
    <w:p>
      <w:r>
        <w:br w:type="page"/>
      </w:r>
    </w:p>
    <w:p>
      <w:pPr>
        <w:spacing w:after="120"/>
      </w:pPr>
      <w:r>
        <w:rPr>
          <w:b/>
          <w:i w:val="0"/>
          <w:color w:val="0B3D5C"/>
          <w:sz w:val="26"/>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60-Day Customer Education Plan</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0B3D5C"/>
            <w:tcMar>
              <w:top w:w="40" w:type="dxa"/>
              <w:bottom w:w="40" w:type="dxa"/>
              <w:start w:w="80" w:type="dxa"/>
              <w:end w:w="80" w:type="dxa"/>
            </w:tcMar>
          </w:tcPr>
          <w:p>
            <w:r>
              <w:rPr>
                <w:b/>
                <w:color w:val="FFFFFF"/>
                <w:sz w:val="19"/>
              </w:rPr>
              <w:t>Days</w:t>
            </w:r>
          </w:p>
        </w:tc>
        <w:tc>
          <w:tcPr>
            <w:tcW w:type="dxa" w:w="2736"/>
            <w:shd w:val="clear" w:color="auto" w:fill="0B3D5C"/>
            <w:tcMar>
              <w:top w:w="40" w:type="dxa"/>
              <w:bottom w:w="40" w:type="dxa"/>
              <w:start w:w="80" w:type="dxa"/>
              <w:end w:w="80" w:type="dxa"/>
            </w:tcMar>
          </w:tcPr>
          <w:p>
            <w:r>
              <w:rPr>
                <w:b/>
                <w:color w:val="FFFFFF"/>
                <w:sz w:val="19"/>
              </w:rPr>
              <w:t>Channel</w:t>
            </w:r>
          </w:p>
        </w:tc>
        <w:tc>
          <w:tcPr>
            <w:tcW w:type="dxa" w:w="4752"/>
            <w:shd w:val="clear" w:color="auto" w:fill="0B3D5C"/>
            <w:tcMar>
              <w:top w:w="40" w:type="dxa"/>
              <w:bottom w:w="40" w:type="dxa"/>
              <w:start w:w="80" w:type="dxa"/>
              <w:end w:w="80" w:type="dxa"/>
            </w:tcMar>
          </w:tcPr>
          <w:p>
            <w:r>
              <w:rPr>
                <w:b/>
                <w:color w:val="FFFFFF"/>
                <w:sz w:val="19"/>
              </w:rPr>
              <w:t>Message</w:t>
            </w:r>
          </w:p>
        </w:tc>
      </w:tr>
      <w:tr>
        <w:tc>
          <w:tcPr>
            <w:tcW w:type="dxa" w:w="1872"/>
            <w:tcMar>
              <w:top w:w="40" w:type="dxa"/>
              <w:bottom w:w="40" w:type="dxa"/>
              <w:start w:w="80" w:type="dxa"/>
              <w:end w:w="80" w:type="dxa"/>
            </w:tcMar>
          </w:tcPr>
          <w:p>
            <w:r>
              <w:rPr>
                <w:sz w:val="19"/>
              </w:rPr>
              <w:t>Day 1–10</w:t>
            </w:r>
          </w:p>
        </w:tc>
        <w:tc>
          <w:tcPr>
            <w:tcW w:type="dxa" w:w="2736"/>
            <w:tcMar>
              <w:top w:w="40" w:type="dxa"/>
              <w:bottom w:w="40" w:type="dxa"/>
              <w:start w:w="80" w:type="dxa"/>
              <w:end w:w="80" w:type="dxa"/>
            </w:tcMar>
          </w:tcPr>
          <w:p>
            <w:r>
              <w:rPr>
                <w:sz w:val="19"/>
              </w:rPr>
              <w:t>Website + Customer portal</w:t>
            </w:r>
          </w:p>
        </w:tc>
        <w:tc>
          <w:tcPr>
            <w:tcW w:type="dxa" w:w="4752"/>
            <w:tcMar>
              <w:top w:w="40" w:type="dxa"/>
              <w:bottom w:w="40" w:type="dxa"/>
              <w:start w:w="80" w:type="dxa"/>
              <w:end w:w="80" w:type="dxa"/>
            </w:tcMar>
          </w:tcPr>
          <w:p>
            <w:r>
              <w:rPr>
                <w:sz w:val="19"/>
              </w:rPr>
              <w:t>Publish the policy, FAQs, and 'what stays free.'</w:t>
            </w:r>
          </w:p>
        </w:tc>
      </w:tr>
      <w:tr>
        <w:tc>
          <w:tcPr>
            <w:tcW w:type="dxa" w:w="1872"/>
            <w:tcMar>
              <w:top w:w="40" w:type="dxa"/>
              <w:bottom w:w="40" w:type="dxa"/>
              <w:start w:w="80" w:type="dxa"/>
              <w:end w:w="80" w:type="dxa"/>
            </w:tcMar>
            <w:shd w:val="clear" w:color="auto" w:fill="EAF3F7"/>
          </w:tcPr>
          <w:p>
            <w:r>
              <w:rPr>
                <w:sz w:val="19"/>
              </w:rPr>
              <w:t>Day 5–15</w:t>
            </w:r>
          </w:p>
        </w:tc>
        <w:tc>
          <w:tcPr>
            <w:tcW w:type="dxa" w:w="2736"/>
            <w:tcMar>
              <w:top w:w="40" w:type="dxa"/>
              <w:bottom w:w="40" w:type="dxa"/>
              <w:start w:w="80" w:type="dxa"/>
              <w:end w:w="80" w:type="dxa"/>
            </w:tcMar>
            <w:shd w:val="clear" w:color="auto" w:fill="EAF3F7"/>
          </w:tcPr>
          <w:p>
            <w:r>
              <w:rPr>
                <w:sz w:val="19"/>
              </w:rPr>
              <w:t>Email #1</w:t>
            </w:r>
          </w:p>
        </w:tc>
        <w:tc>
          <w:tcPr>
            <w:tcW w:type="dxa" w:w="4752"/>
            <w:tcMar>
              <w:top w:w="40" w:type="dxa"/>
              <w:bottom w:w="40" w:type="dxa"/>
              <w:start w:w="80" w:type="dxa"/>
              <w:end w:w="80" w:type="dxa"/>
            </w:tcMar>
            <w:shd w:val="clear" w:color="auto" w:fill="EAF3F7"/>
          </w:tcPr>
          <w:p>
            <w:r>
              <w:rPr>
                <w:sz w:val="19"/>
              </w:rPr>
              <w:t>Announcement: fairer program, network repairs stay free.</w:t>
            </w:r>
          </w:p>
        </w:tc>
      </w:tr>
      <w:tr>
        <w:tc>
          <w:tcPr>
            <w:tcW w:type="dxa" w:w="1872"/>
            <w:tcMar>
              <w:top w:w="40" w:type="dxa"/>
              <w:bottom w:w="40" w:type="dxa"/>
              <w:start w:w="80" w:type="dxa"/>
              <w:end w:w="80" w:type="dxa"/>
            </w:tcMar>
          </w:tcPr>
          <w:p>
            <w:r>
              <w:rPr>
                <w:sz w:val="19"/>
              </w:rPr>
              <w:t>Day 10–20</w:t>
            </w:r>
          </w:p>
        </w:tc>
        <w:tc>
          <w:tcPr>
            <w:tcW w:type="dxa" w:w="2736"/>
            <w:tcMar>
              <w:top w:w="40" w:type="dxa"/>
              <w:bottom w:w="40" w:type="dxa"/>
              <w:start w:w="80" w:type="dxa"/>
              <w:end w:w="80" w:type="dxa"/>
            </w:tcMar>
          </w:tcPr>
          <w:p>
            <w:r>
              <w:rPr>
                <w:sz w:val="19"/>
              </w:rPr>
              <w:t>Bill message</w:t>
            </w:r>
          </w:p>
        </w:tc>
        <w:tc>
          <w:tcPr>
            <w:tcW w:type="dxa" w:w="4752"/>
            <w:tcMar>
              <w:top w:w="40" w:type="dxa"/>
              <w:bottom w:w="40" w:type="dxa"/>
              <w:start w:w="80" w:type="dxa"/>
              <w:end w:w="80" w:type="dxa"/>
            </w:tcMar>
          </w:tcPr>
          <w:p>
            <w:r>
              <w:rPr>
                <w:sz w:val="19"/>
              </w:rPr>
              <w:t>Short notice + link to learn more.</w:t>
            </w:r>
          </w:p>
        </w:tc>
      </w:tr>
      <w:tr>
        <w:tc>
          <w:tcPr>
            <w:tcW w:type="dxa" w:w="1872"/>
            <w:tcMar>
              <w:top w:w="40" w:type="dxa"/>
              <w:bottom w:w="40" w:type="dxa"/>
              <w:start w:w="80" w:type="dxa"/>
              <w:end w:w="80" w:type="dxa"/>
            </w:tcMar>
            <w:shd w:val="clear" w:color="auto" w:fill="EAF3F7"/>
          </w:tcPr>
          <w:p>
            <w:r>
              <w:rPr>
                <w:sz w:val="19"/>
              </w:rPr>
              <w:t>Day 15–30</w:t>
            </w:r>
          </w:p>
        </w:tc>
        <w:tc>
          <w:tcPr>
            <w:tcW w:type="dxa" w:w="2736"/>
            <w:tcMar>
              <w:top w:w="40" w:type="dxa"/>
              <w:bottom w:w="40" w:type="dxa"/>
              <w:start w:w="80" w:type="dxa"/>
              <w:end w:w="80" w:type="dxa"/>
            </w:tcMar>
            <w:shd w:val="clear" w:color="auto" w:fill="EAF3F7"/>
          </w:tcPr>
          <w:p>
            <w:r>
              <w:rPr>
                <w:sz w:val="19"/>
              </w:rPr>
              <w:t>Social media</w:t>
            </w:r>
          </w:p>
        </w:tc>
        <w:tc>
          <w:tcPr>
            <w:tcW w:type="dxa" w:w="4752"/>
            <w:tcMar>
              <w:top w:w="40" w:type="dxa"/>
              <w:bottom w:w="40" w:type="dxa"/>
              <w:start w:w="80" w:type="dxa"/>
              <w:end w:w="80" w:type="dxa"/>
            </w:tcMar>
            <w:shd w:val="clear" w:color="auto" w:fill="EAF3F7"/>
          </w:tcPr>
          <w:p>
            <w:r>
              <w:rPr>
                <w:sz w:val="19"/>
              </w:rPr>
              <w:t>Warm, local posts: internet vs. Wi-Fi, self-help tips.</w:t>
            </w:r>
          </w:p>
        </w:tc>
      </w:tr>
      <w:tr>
        <w:tc>
          <w:tcPr>
            <w:tcW w:type="dxa" w:w="1872"/>
            <w:tcMar>
              <w:top w:w="40" w:type="dxa"/>
              <w:bottom w:w="40" w:type="dxa"/>
              <w:start w:w="80" w:type="dxa"/>
              <w:end w:w="80" w:type="dxa"/>
            </w:tcMar>
          </w:tcPr>
          <w:p>
            <w:r>
              <w:rPr>
                <w:sz w:val="19"/>
              </w:rPr>
              <w:t>Day 20–35</w:t>
            </w:r>
          </w:p>
        </w:tc>
        <w:tc>
          <w:tcPr>
            <w:tcW w:type="dxa" w:w="2736"/>
            <w:tcMar>
              <w:top w:w="40" w:type="dxa"/>
              <w:bottom w:w="40" w:type="dxa"/>
              <w:start w:w="80" w:type="dxa"/>
              <w:end w:w="80" w:type="dxa"/>
            </w:tcMar>
          </w:tcPr>
          <w:p>
            <w:r>
              <w:rPr>
                <w:sz w:val="19"/>
              </w:rPr>
              <w:t>Bill insert</w:t>
            </w:r>
          </w:p>
        </w:tc>
        <w:tc>
          <w:tcPr>
            <w:tcW w:type="dxa" w:w="4752"/>
            <w:tcMar>
              <w:top w:w="40" w:type="dxa"/>
              <w:bottom w:w="40" w:type="dxa"/>
              <w:start w:w="80" w:type="dxa"/>
              <w:end w:w="80" w:type="dxa"/>
            </w:tcMar>
          </w:tcPr>
          <w:p>
            <w:r>
              <w:rPr>
                <w:sz w:val="19"/>
              </w:rPr>
              <w:t>One-page explainer mailed with statements.</w:t>
            </w:r>
          </w:p>
        </w:tc>
      </w:tr>
      <w:tr>
        <w:tc>
          <w:tcPr>
            <w:tcW w:type="dxa" w:w="1872"/>
            <w:tcMar>
              <w:top w:w="40" w:type="dxa"/>
              <w:bottom w:w="40" w:type="dxa"/>
              <w:start w:w="80" w:type="dxa"/>
              <w:end w:w="80" w:type="dxa"/>
            </w:tcMar>
            <w:shd w:val="clear" w:color="auto" w:fill="EAF3F7"/>
          </w:tcPr>
          <w:p>
            <w:r>
              <w:rPr>
                <w:sz w:val="19"/>
              </w:rPr>
              <w:t>Day 25–40</w:t>
            </w:r>
          </w:p>
        </w:tc>
        <w:tc>
          <w:tcPr>
            <w:tcW w:type="dxa" w:w="2736"/>
            <w:tcMar>
              <w:top w:w="40" w:type="dxa"/>
              <w:bottom w:w="40" w:type="dxa"/>
              <w:start w:w="80" w:type="dxa"/>
              <w:end w:w="80" w:type="dxa"/>
            </w:tcMar>
            <w:shd w:val="clear" w:color="auto" w:fill="EAF3F7"/>
          </w:tcPr>
          <w:p>
            <w:r>
              <w:rPr>
                <w:sz w:val="19"/>
              </w:rPr>
              <w:t>IVR / hold message</w:t>
            </w:r>
          </w:p>
        </w:tc>
        <w:tc>
          <w:tcPr>
            <w:tcW w:type="dxa" w:w="4752"/>
            <w:tcMar>
              <w:top w:w="40" w:type="dxa"/>
              <w:bottom w:w="40" w:type="dxa"/>
              <w:start w:w="80" w:type="dxa"/>
              <w:end w:w="80" w:type="dxa"/>
            </w:tcMar>
            <w:shd w:val="clear" w:color="auto" w:fill="EAF3F7"/>
          </w:tcPr>
          <w:p>
            <w:r>
              <w:rPr>
                <w:sz w:val="19"/>
              </w:rPr>
              <w:t>Brief spoken summary + where to learn more.</w:t>
            </w:r>
          </w:p>
        </w:tc>
      </w:tr>
      <w:tr>
        <w:tc>
          <w:tcPr>
            <w:tcW w:type="dxa" w:w="1872"/>
            <w:tcMar>
              <w:top w:w="40" w:type="dxa"/>
              <w:bottom w:w="40" w:type="dxa"/>
              <w:start w:w="80" w:type="dxa"/>
              <w:end w:w="80" w:type="dxa"/>
            </w:tcMar>
          </w:tcPr>
          <w:p>
            <w:r>
              <w:rPr>
                <w:sz w:val="19"/>
              </w:rPr>
              <w:t>Day 30–45</w:t>
            </w:r>
          </w:p>
        </w:tc>
        <w:tc>
          <w:tcPr>
            <w:tcW w:type="dxa" w:w="2736"/>
            <w:tcMar>
              <w:top w:w="40" w:type="dxa"/>
              <w:bottom w:w="40" w:type="dxa"/>
              <w:start w:w="80" w:type="dxa"/>
              <w:end w:w="80" w:type="dxa"/>
            </w:tcMar>
          </w:tcPr>
          <w:p>
            <w:r>
              <w:rPr>
                <w:sz w:val="19"/>
              </w:rPr>
              <w:t>Email #2</w:t>
            </w:r>
          </w:p>
        </w:tc>
        <w:tc>
          <w:tcPr>
            <w:tcW w:type="dxa" w:w="4752"/>
            <w:tcMar>
              <w:top w:w="40" w:type="dxa"/>
              <w:bottom w:w="40" w:type="dxa"/>
              <w:start w:w="80" w:type="dxa"/>
              <w:end w:w="80" w:type="dxa"/>
            </w:tcMar>
          </w:tcPr>
          <w:p>
            <w:r>
              <w:rPr>
                <w:sz w:val="19"/>
              </w:rPr>
              <w:t>Reminder + protection-plan introduction.</w:t>
            </w:r>
          </w:p>
        </w:tc>
      </w:tr>
      <w:tr>
        <w:tc>
          <w:tcPr>
            <w:tcW w:type="dxa" w:w="1872"/>
            <w:tcMar>
              <w:top w:w="40" w:type="dxa"/>
              <w:bottom w:w="40" w:type="dxa"/>
              <w:start w:w="80" w:type="dxa"/>
              <w:end w:w="80" w:type="dxa"/>
            </w:tcMar>
            <w:shd w:val="clear" w:color="auto" w:fill="EAF3F7"/>
          </w:tcPr>
          <w:p>
            <w:r>
              <w:rPr>
                <w:sz w:val="19"/>
              </w:rPr>
              <w:t>Day 35–50</w:t>
            </w:r>
          </w:p>
        </w:tc>
        <w:tc>
          <w:tcPr>
            <w:tcW w:type="dxa" w:w="2736"/>
            <w:tcMar>
              <w:top w:w="40" w:type="dxa"/>
              <w:bottom w:w="40" w:type="dxa"/>
              <w:start w:w="80" w:type="dxa"/>
              <w:end w:w="80" w:type="dxa"/>
            </w:tcMar>
            <w:shd w:val="clear" w:color="auto" w:fill="EAF3F7"/>
          </w:tcPr>
          <w:p>
            <w:r>
              <w:rPr>
                <w:sz w:val="19"/>
              </w:rPr>
              <w:t>Technician leave-behind</w:t>
            </w:r>
          </w:p>
        </w:tc>
        <w:tc>
          <w:tcPr>
            <w:tcW w:type="dxa" w:w="4752"/>
            <w:tcMar>
              <w:top w:w="40" w:type="dxa"/>
              <w:bottom w:w="40" w:type="dxa"/>
              <w:start w:w="80" w:type="dxa"/>
              <w:end w:w="80" w:type="dxa"/>
            </w:tcMar>
            <w:shd w:val="clear" w:color="auto" w:fill="EAF3F7"/>
          </w:tcPr>
          <w:p>
            <w:r>
              <w:rPr>
                <w:sz w:val="19"/>
              </w:rPr>
              <w:t>Handout at every visit.</w:t>
            </w:r>
          </w:p>
        </w:tc>
      </w:tr>
      <w:tr>
        <w:tc>
          <w:tcPr>
            <w:tcW w:type="dxa" w:w="1872"/>
            <w:tcMar>
              <w:top w:w="40" w:type="dxa"/>
              <w:bottom w:w="40" w:type="dxa"/>
              <w:start w:w="80" w:type="dxa"/>
              <w:end w:w="80" w:type="dxa"/>
            </w:tcMar>
          </w:tcPr>
          <w:p>
            <w:r>
              <w:rPr>
                <w:sz w:val="19"/>
              </w:rPr>
              <w:t>Day 40–55</w:t>
            </w:r>
          </w:p>
        </w:tc>
        <w:tc>
          <w:tcPr>
            <w:tcW w:type="dxa" w:w="2736"/>
            <w:tcMar>
              <w:top w:w="40" w:type="dxa"/>
              <w:bottom w:w="40" w:type="dxa"/>
              <w:start w:w="80" w:type="dxa"/>
              <w:end w:w="80" w:type="dxa"/>
            </w:tcMar>
          </w:tcPr>
          <w:p>
            <w:r>
              <w:rPr>
                <w:sz w:val="19"/>
              </w:rPr>
              <w:t>New-customer materials</w:t>
            </w:r>
          </w:p>
        </w:tc>
        <w:tc>
          <w:tcPr>
            <w:tcW w:type="dxa" w:w="4752"/>
            <w:tcMar>
              <w:top w:w="40" w:type="dxa"/>
              <w:bottom w:w="40" w:type="dxa"/>
              <w:start w:w="80" w:type="dxa"/>
              <w:end w:w="80" w:type="dxa"/>
            </w:tcMar>
          </w:tcPr>
          <w:p>
            <w:r>
              <w:rPr>
                <w:sz w:val="19"/>
              </w:rPr>
              <w:t>Include disclosure in onboarding.</w:t>
            </w:r>
          </w:p>
        </w:tc>
      </w:tr>
      <w:tr>
        <w:tc>
          <w:tcPr>
            <w:tcW w:type="dxa" w:w="1872"/>
            <w:tcMar>
              <w:top w:w="40" w:type="dxa"/>
              <w:bottom w:w="40" w:type="dxa"/>
              <w:start w:w="80" w:type="dxa"/>
              <w:end w:w="80" w:type="dxa"/>
            </w:tcMar>
            <w:shd w:val="clear" w:color="auto" w:fill="EAF3F7"/>
          </w:tcPr>
          <w:p>
            <w:r>
              <w:rPr>
                <w:sz w:val="19"/>
              </w:rPr>
              <w:t>Day 45–60</w:t>
            </w:r>
          </w:p>
        </w:tc>
        <w:tc>
          <w:tcPr>
            <w:tcW w:type="dxa" w:w="2736"/>
            <w:tcMar>
              <w:top w:w="40" w:type="dxa"/>
              <w:bottom w:w="40" w:type="dxa"/>
              <w:start w:w="80" w:type="dxa"/>
              <w:end w:w="80" w:type="dxa"/>
            </w:tcMar>
            <w:shd w:val="clear" w:color="auto" w:fill="EAF3F7"/>
          </w:tcPr>
          <w:p>
            <w:r>
              <w:rPr>
                <w:sz w:val="19"/>
              </w:rPr>
              <w:t>Business-customer letter</w:t>
            </w:r>
          </w:p>
        </w:tc>
        <w:tc>
          <w:tcPr>
            <w:tcW w:type="dxa" w:w="4752"/>
            <w:tcMar>
              <w:top w:w="40" w:type="dxa"/>
              <w:bottom w:w="40" w:type="dxa"/>
              <w:start w:w="80" w:type="dxa"/>
              <w:end w:w="80" w:type="dxa"/>
            </w:tcMar>
            <w:shd w:val="clear" w:color="auto" w:fill="EAF3F7"/>
          </w:tcPr>
          <w:p>
            <w:r>
              <w:rPr>
                <w:sz w:val="19"/>
              </w:rPr>
              <w:t>Direct outreach to business accounts.</w:t>
            </w:r>
          </w:p>
        </w:tc>
      </w:tr>
    </w:tbl>
    <w:tbl>
      <w:tblPr>
        <w:tblW w:type="auto" w:w="0"/>
        <w:jc w:val="center"/>
        <w:tblLook w:firstColumn="1" w:firstRow="1" w:lastColumn="0" w:lastRow="0" w:noHBand="0" w:noVBand="1" w:val="04A0"/>
      </w:tblPr>
      <w:tblGrid>
        <w:gridCol w:w="9648"/>
      </w:tblGrid>
      <w:tr>
        <w:tc>
          <w:tcPr>
            <w:tcW w:type="dxa" w:w="9648"/>
            <w:shd w:val="clear" w:color="auto" w:fill="EAF3F7"/>
            <w:tcMar>
              <w:top w:w="80" w:type="dxa"/>
              <w:bottom w:w="80" w:type="dxa"/>
              <w:start w:w="120" w:type="dxa"/>
              <w:end w:w="120" w:type="dxa"/>
            </w:tcMar>
            <w:tcBorders>
              <w:left w:val="single" w:sz="24" w:space="0" w:color="36B39A"/>
            </w:tcBorders>
          </w:tcPr>
          <w:p>
            <w:r>
              <w:rPr>
                <w:b/>
                <w:color w:val="36B39A"/>
                <w:sz w:val="18"/>
              </w:rPr>
              <w:t xml:space="preserve">RECOMMENDATION  </w:t>
            </w:r>
            <w:r>
              <w:rPr>
                <w:color w:val="10222E"/>
                <w:sz w:val="19"/>
              </w:rPr>
              <w:t>Keep every message warm, local, simple, and respectful. Lead with what stays free. Never lead with fees.</w:t>
            </w:r>
          </w:p>
        </w:tc>
      </w:tr>
    </w:tbl>
    <w:p>
      <w:pPr>
        <w:spacing w:after="40"/>
      </w:pPr>
    </w:p>
    <w:p>
      <w:pPr>
        <w:pStyle w:val="Heading1"/>
      </w:pPr>
      <w:r>
        <w:t>2. Policy Announcement</w:t>
      </w:r>
    </w:p>
    <w:p>
      <w:pPr>
        <w:spacing w:after="120"/>
      </w:pPr>
      <w:r>
        <w:rPr>
          <w:b/>
          <w:i w:val="0"/>
          <w:color w:val="0B3D5C"/>
          <w:sz w:val="24"/>
        </w:rPr>
        <w:t>A Fairer, Clearer Way to Handle Service Visits</w:t>
      </w:r>
    </w:p>
    <w:p>
      <w:pPr>
        <w:spacing w:after="120"/>
      </w:pPr>
      <w:r>
        <w:rPr>
          <w:b w:val="0"/>
          <w:i w:val="0"/>
          <w:sz w:val="21"/>
        </w:rPr>
        <w:t>At RIVR Tech, keeping your neighbors connected is personal. That's why repairs to the RIVR Tech network and equipment will always be free. Starting soon, a fair service charge may apply only when a documented problem is on your side — your own equipment, wiring, or power. We'll always tell you before we send a technician, and there's never a charge if it's our network. You'll also be able to choose an optional low-cost protection plan for extra peace of mind.</w:t>
      </w:r>
    </w:p>
    <w:p>
      <w:pPr>
        <w:pStyle w:val="Heading1"/>
      </w:pPr>
      <w:r>
        <w:t>3. Customer Email</w:t>
      </w:r>
    </w:p>
    <w:p>
      <w:pPr>
        <w:spacing w:after="120"/>
      </w:pPr>
      <w:r>
        <w:rPr>
          <w:b/>
          <w:i w:val="0"/>
          <w:sz w:val="21"/>
        </w:rPr>
        <w:t>Subject: Free network repairs — and a clearer, fairer service-visit policy</w:t>
      </w:r>
    </w:p>
    <w:p>
      <w:pPr>
        <w:spacing w:after="120"/>
      </w:pPr>
      <w:r>
        <w:rPr>
          <w:b w:val="0"/>
          <w:i w:val="0"/>
          <w:sz w:val="21"/>
        </w:rPr>
        <w:t>Dear [Customer Name],</w:t>
      </w:r>
    </w:p>
    <w:p>
      <w:pPr>
        <w:spacing w:after="120"/>
      </w:pPr>
      <w:r>
        <w:rPr>
          <w:b w:val="0"/>
          <w:i w:val="0"/>
          <w:sz w:val="21"/>
        </w:rPr>
        <w:t>We're writing to share a clearer, fairer approach to service visits. RIVR Tech network and equipment repairs remain free — always. A service charge may apply only when a technician documents that the cause is on your premises (for example, your own router, inside wiring, or a power issue). We will always disclose any potential charge before we dispatch, and there is no charge for inconclusive or no-trouble-found visits.</w:t>
      </w:r>
    </w:p>
    <w:p>
      <w:pPr>
        <w:spacing w:after="120"/>
      </w:pPr>
      <w:r>
        <w:rPr>
          <w:b w:val="0"/>
          <w:i w:val="0"/>
          <w:sz w:val="21"/>
        </w:rPr>
        <w:t>To help you avoid charges, we're offering an optional RIVR Tech Home Maintenance Protection plan for $9.99/month. Learn more at [link].</w:t>
      </w:r>
    </w:p>
    <w:p>
      <w:pPr>
        <w:spacing w:after="120"/>
      </w:pPr>
      <w:r>
        <w:rPr>
          <w:b w:val="0"/>
          <w:i w:val="0"/>
          <w:sz w:val="21"/>
        </w:rPr>
        <w:t>Questions? We're local, and we're here to help. — The RIVR Tech Team</w:t>
      </w:r>
    </w:p>
    <w:p>
      <w:pPr>
        <w:pStyle w:val="Heading1"/>
      </w:pPr>
      <w:r>
        <w:t>4. Bill Message</w:t>
      </w:r>
    </w:p>
    <w:p>
      <w:pPr>
        <w:spacing w:after="120"/>
      </w:pPr>
      <w:r>
        <w:rPr>
          <w:b w:val="0"/>
          <w:i/>
          <w:sz w:val="21"/>
        </w:rPr>
        <w:t>"Good news: RIVR Tech network &amp; equipment repairs are always free. A fair charge may apply only for documented customer-premises visits. We'll always tell you first. Learn more: [link]."</w:t>
      </w:r>
    </w:p>
    <w:p>
      <w:pPr>
        <w:pStyle w:val="Heading1"/>
      </w:pPr>
      <w:r>
        <w:t>5. Bill Insert (one page)</w:t>
      </w:r>
    </w:p>
    <w:p>
      <w:pPr>
        <w:spacing w:after="120"/>
      </w:pPr>
      <w:r>
        <w:rPr>
          <w:b/>
          <w:i w:val="0"/>
          <w:color w:val="2E7D5B"/>
          <w:sz w:val="21"/>
        </w:rPr>
        <w:t>What RIVR Tech maintains (free):</w:t>
      </w:r>
    </w:p>
    <w:p>
      <w:pPr>
        <w:pStyle w:val="ListBullet"/>
      </w:pPr>
      <w:r>
        <w:rPr>
          <w:sz w:val="21"/>
        </w:rPr>
        <w:t>The RIVR Tech network, fiber, and drops</w:t>
      </w:r>
    </w:p>
    <w:p>
      <w:pPr>
        <w:pStyle w:val="ListBullet"/>
      </w:pPr>
      <w:r>
        <w:rPr>
          <w:sz w:val="21"/>
        </w:rPr>
        <w:t>Your RIVR Tech ONT and gateway</w:t>
      </w:r>
    </w:p>
    <w:p>
      <w:pPr>
        <w:pStyle w:val="ListBullet"/>
      </w:pPr>
      <w:r>
        <w:rPr>
          <w:sz w:val="21"/>
        </w:rPr>
        <w:t>No-trouble-found and inconclusive visits</w:t>
      </w:r>
    </w:p>
    <w:p>
      <w:pPr>
        <w:spacing w:after="120"/>
      </w:pPr>
      <w:r>
        <w:rPr>
          <w:b/>
          <w:i w:val="0"/>
          <w:color w:val="C0562B"/>
          <w:sz w:val="21"/>
        </w:rPr>
        <w:t>What you maintain (may be billable if we're dispatched):</w:t>
      </w:r>
    </w:p>
    <w:p>
      <w:pPr>
        <w:pStyle w:val="ListBullet"/>
      </w:pPr>
      <w:r>
        <w:rPr>
          <w:sz w:val="21"/>
        </w:rPr>
        <w:t>Your own router, mesh, and devices</w:t>
      </w:r>
    </w:p>
    <w:p>
      <w:pPr>
        <w:pStyle w:val="ListBullet"/>
      </w:pPr>
      <w:r>
        <w:rPr>
          <w:sz w:val="21"/>
        </w:rPr>
        <w:t>Inside wiring and premises power</w:t>
      </w:r>
    </w:p>
    <w:p>
      <w:pPr>
        <w:pStyle w:val="ListBullet"/>
      </w:pPr>
      <w:r>
        <w:rPr>
          <w:sz w:val="21"/>
        </w:rPr>
        <w:t>Third-party cameras, TVs, and smart-home gear</w:t>
      </w:r>
    </w:p>
    <w:p>
      <w:pPr>
        <w:spacing w:after="120"/>
      </w:pPr>
      <w:r>
        <w:rPr>
          <w:b w:val="0"/>
          <w:i w:val="0"/>
          <w:sz w:val="21"/>
        </w:rPr>
        <w:t>Before any charge, we disclose it and document findings. Ask about the optional protection plan ($9.99/mo).</w:t>
      </w:r>
    </w:p>
    <w:p>
      <w:pPr>
        <w:pStyle w:val="Heading1"/>
      </w:pPr>
      <w:r>
        <w:t>6. Website Policy (customer-facing summary)</w:t>
      </w:r>
    </w:p>
    <w:p>
      <w:pPr>
        <w:spacing w:after="120"/>
      </w:pPr>
      <w:r>
        <w:rPr>
          <w:b w:val="0"/>
          <w:i w:val="0"/>
          <w:sz w:val="21"/>
        </w:rPr>
        <w:t>RIVR Tech keeps all network and equipment repairs free. When a documented issue is on your premises, a fair service charge may apply: $75 residential / $125 business, plus materials for relocation or inside wiring. We disclose potential charges in advance, never bill inconclusive visits, and offer courtesy, hardship, and accommodation waivers. An optional protection plan is available.</w:t>
      </w:r>
    </w:p>
    <w:p>
      <w:pPr>
        <w:pStyle w:val="Heading1"/>
      </w:pPr>
      <w:r>
        <w:t>7. Frequently Asked Questions</w:t>
      </w:r>
    </w:p>
    <w:p>
      <w:pPr>
        <w:spacing w:after="20"/>
      </w:pPr>
      <w:r>
        <w:rPr>
          <w:b/>
          <w:i w:val="0"/>
          <w:color w:val="1B87B5"/>
          <w:sz w:val="20"/>
        </w:rPr>
        <w:t>Q1. Is RIVR Tech charging for all service visits now?</w:t>
      </w:r>
    </w:p>
    <w:p>
      <w:pPr>
        <w:spacing w:after="120"/>
      </w:pPr>
      <w:r>
        <w:rPr>
          <w:b w:val="0"/>
          <w:i w:val="0"/>
          <w:sz w:val="20"/>
        </w:rPr>
        <w:t>No. RIVR Tech network and equipment repairs are always free. A charge may apply only when a documented issue is on your premises — your equipment, wiring, or power.</w:t>
      </w:r>
    </w:p>
    <w:p>
      <w:pPr>
        <w:spacing w:after="20"/>
      </w:pPr>
      <w:r>
        <w:rPr>
          <w:b/>
          <w:i w:val="0"/>
          <w:color w:val="1B87B5"/>
          <w:sz w:val="20"/>
        </w:rPr>
        <w:t>Q2. What does RIVR Tech still fix for free?</w:t>
      </w:r>
    </w:p>
    <w:p>
      <w:pPr>
        <w:spacing w:after="120"/>
      </w:pPr>
      <w:r>
        <w:rPr>
          <w:b w:val="0"/>
          <w:i w:val="0"/>
          <w:sz w:val="20"/>
        </w:rPr>
        <w:t>Network outages, failed RIVR Tech ONTs and gateways, fiber and normal drop failures, no-trouble-found visits, and repeat visits after a RIVR Tech repair.</w:t>
      </w:r>
    </w:p>
    <w:p>
      <w:pPr>
        <w:spacing w:after="20"/>
      </w:pPr>
      <w:r>
        <w:rPr>
          <w:b/>
          <w:i w:val="0"/>
          <w:color w:val="1B87B5"/>
          <w:sz w:val="20"/>
        </w:rPr>
        <w:t>Q3. When could a visit be billable?</w:t>
      </w:r>
    </w:p>
    <w:p>
      <w:pPr>
        <w:spacing w:after="120"/>
      </w:pPr>
      <w:r>
        <w:rPr>
          <w:b w:val="0"/>
          <w:i w:val="0"/>
          <w:sz w:val="20"/>
        </w:rPr>
        <w:t>When the documented cause is a customer-premises issue: customer-owned equipment, customer-damaged wiring, premises power problems, third-party device setup, or a requested equipment relocation.</w:t>
      </w:r>
    </w:p>
    <w:p>
      <w:pPr>
        <w:spacing w:after="20"/>
      </w:pPr>
      <w:r>
        <w:rPr>
          <w:b/>
          <w:i w:val="0"/>
          <w:color w:val="1B87B5"/>
          <w:sz w:val="20"/>
        </w:rPr>
        <w:t>Q4. How much is a customer-premises visit?</w:t>
      </w:r>
    </w:p>
    <w:p>
      <w:pPr>
        <w:spacing w:after="120"/>
      </w:pPr>
      <w:r>
        <w:rPr>
          <w:b w:val="0"/>
          <w:i w:val="0"/>
          <w:sz w:val="20"/>
        </w:rPr>
        <w:t>$75 for residential and $125 for business, plus any materials. Other fees (relocation, inside wiring, after-hours) are disclosed in advance.</w:t>
      </w:r>
    </w:p>
    <w:p>
      <w:pPr>
        <w:spacing w:after="20"/>
      </w:pPr>
      <w:r>
        <w:rPr>
          <w:b/>
          <w:i w:val="0"/>
          <w:color w:val="1B87B5"/>
          <w:sz w:val="20"/>
        </w:rPr>
        <w:t>Q5. Will I be surprised by a charge?</w:t>
      </w:r>
    </w:p>
    <w:p>
      <w:pPr>
        <w:spacing w:after="120"/>
      </w:pPr>
      <w:r>
        <w:rPr>
          <w:b w:val="0"/>
          <w:i w:val="0"/>
          <w:sz w:val="20"/>
        </w:rPr>
        <w:t>No. We disclose any potential charge before we send a technician and ask you to acknowledge it. You are only acknowledging that a charge may apply based on findings — not admitting fault.</w:t>
      </w:r>
    </w:p>
    <w:p>
      <w:pPr>
        <w:spacing w:after="20"/>
      </w:pPr>
      <w:r>
        <w:rPr>
          <w:b/>
          <w:i w:val="0"/>
          <w:color w:val="1B87B5"/>
          <w:sz w:val="20"/>
        </w:rPr>
        <w:t>Q6. What if the technician can't find the problem?</w:t>
      </w:r>
    </w:p>
    <w:p>
      <w:pPr>
        <w:spacing w:after="120"/>
      </w:pPr>
      <w:r>
        <w:rPr>
          <w:b w:val="0"/>
          <w:i w:val="0"/>
          <w:sz w:val="20"/>
        </w:rPr>
        <w:t>If findings are inconclusive or no trouble is found, there is no charge.</w:t>
      </w:r>
    </w:p>
    <w:p>
      <w:pPr>
        <w:spacing w:after="20"/>
      </w:pPr>
      <w:r>
        <w:rPr>
          <w:b/>
          <w:i w:val="0"/>
          <w:color w:val="1B87B5"/>
          <w:sz w:val="20"/>
        </w:rPr>
        <w:t>Q7. What's the difference between internet and Wi-Fi?</w:t>
      </w:r>
    </w:p>
    <w:p>
      <w:pPr>
        <w:spacing w:after="120"/>
      </w:pPr>
      <w:r>
        <w:rPr>
          <w:b w:val="0"/>
          <w:i w:val="0"/>
          <w:sz w:val="20"/>
        </w:rPr>
        <w:t>Internet is the connection RIVR Tech delivers to your home. Wi-Fi is the wireless signal inside your home, which is affected by your devices, walls, and layout.</w:t>
      </w:r>
    </w:p>
    <w:p>
      <w:pPr>
        <w:spacing w:after="20"/>
      </w:pPr>
      <w:r>
        <w:rPr>
          <w:b/>
          <w:i w:val="0"/>
          <w:color w:val="1B87B5"/>
          <w:sz w:val="20"/>
        </w:rPr>
        <w:t>Q8. Why is my Wi-Fi slow in one room?</w:t>
      </w:r>
    </w:p>
    <w:p>
      <w:pPr>
        <w:spacing w:after="120"/>
      </w:pPr>
      <w:r>
        <w:rPr>
          <w:b w:val="0"/>
          <w:i w:val="0"/>
          <w:sz w:val="20"/>
        </w:rPr>
        <w:t>Wi-Fi weakens with distance and through walls. A wired test at the gateway usually shows full speed. We can suggest placement changes, mesh, or extenders.</w:t>
      </w:r>
    </w:p>
    <w:p>
      <w:pPr>
        <w:spacing w:after="20"/>
      </w:pPr>
      <w:r>
        <w:rPr>
          <w:b/>
          <w:i w:val="0"/>
          <w:color w:val="1B87B5"/>
          <w:sz w:val="20"/>
        </w:rPr>
        <w:t>Q9. Can one old device slow everything down?</w:t>
      </w:r>
    </w:p>
    <w:p>
      <w:pPr>
        <w:spacing w:after="120"/>
      </w:pPr>
      <w:r>
        <w:rPr>
          <w:b w:val="0"/>
          <w:i w:val="0"/>
          <w:sz w:val="20"/>
        </w:rPr>
        <w:t>An old or unsupported device can limit its own speed. The RIVR Tech connection can still be delivering full plan speed to other devices.</w:t>
      </w:r>
    </w:p>
    <w:p>
      <w:pPr>
        <w:spacing w:after="20"/>
      </w:pPr>
      <w:r>
        <w:rPr>
          <w:b/>
          <w:i w:val="0"/>
          <w:color w:val="1B87B5"/>
          <w:sz w:val="20"/>
        </w:rPr>
        <w:t>Q10. How do I reboot my equipment?</w:t>
      </w:r>
    </w:p>
    <w:p>
      <w:pPr>
        <w:spacing w:after="120"/>
      </w:pPr>
      <w:r>
        <w:rPr>
          <w:b w:val="0"/>
          <w:i w:val="0"/>
          <w:sz w:val="20"/>
        </w:rPr>
        <w:t>Power off the ONT, then the gateway; wait 30 seconds; power the ONT back on, then the gateway; then restart your device.</w:t>
      </w:r>
    </w:p>
    <w:p>
      <w:pPr>
        <w:spacing w:after="20"/>
      </w:pPr>
      <w:r>
        <w:rPr>
          <w:b/>
          <w:i w:val="0"/>
          <w:color w:val="1B87B5"/>
          <w:sz w:val="20"/>
        </w:rPr>
        <w:t>Q11. How are charges determined?</w:t>
      </w:r>
    </w:p>
    <w:p>
      <w:pPr>
        <w:spacing w:after="120"/>
      </w:pPr>
      <w:r>
        <w:rPr>
          <w:b w:val="0"/>
          <w:i w:val="0"/>
          <w:sz w:val="20"/>
        </w:rPr>
        <w:t>Only after a technician documents findings, test results, and (where relevant) photos, and the visit is classified as a customer-premises responsibility.</w:t>
      </w:r>
    </w:p>
    <w:p>
      <w:pPr>
        <w:spacing w:after="20"/>
      </w:pPr>
      <w:r>
        <w:rPr>
          <w:b/>
          <w:i w:val="0"/>
          <w:color w:val="1B87B5"/>
          <w:sz w:val="20"/>
        </w:rPr>
        <w:t>Q12. How do I dispute a charge?</w:t>
      </w:r>
    </w:p>
    <w:p>
      <w:pPr>
        <w:spacing w:after="120"/>
      </w:pPr>
      <w:r>
        <w:rPr>
          <w:b w:val="0"/>
          <w:i w:val="0"/>
          <w:sz w:val="20"/>
        </w:rPr>
        <w:t>Contact RIVR Tech. We start with a frontline explanation, then supervisor and technical review, and adjust billing if warranted, within a defined timeline.</w:t>
      </w:r>
    </w:p>
    <w:p>
      <w:pPr>
        <w:spacing w:after="20"/>
      </w:pPr>
      <w:r>
        <w:rPr>
          <w:b/>
          <w:i w:val="0"/>
          <w:color w:val="1B87B5"/>
          <w:sz w:val="20"/>
        </w:rPr>
        <w:t>Q13. Do you offer any way to avoid these charges?</w:t>
      </w:r>
    </w:p>
    <w:p>
      <w:pPr>
        <w:spacing w:after="120"/>
      </w:pPr>
      <w:r>
        <w:rPr>
          <w:b w:val="0"/>
          <w:i w:val="0"/>
          <w:sz w:val="20"/>
        </w:rPr>
        <w:t>Yes — the optional RIVR Tech Home Maintenance Protection plan ($9.99/month) covers standard customer-premises visits and more.</w:t>
      </w:r>
    </w:p>
    <w:p>
      <w:pPr>
        <w:spacing w:after="20"/>
      </w:pPr>
      <w:r>
        <w:rPr>
          <w:b/>
          <w:i w:val="0"/>
          <w:color w:val="1B87B5"/>
          <w:sz w:val="20"/>
        </w:rPr>
        <w:t>Q14. Is the protection plan insurance?</w:t>
      </w:r>
    </w:p>
    <w:p>
      <w:pPr>
        <w:spacing w:after="120"/>
      </w:pPr>
      <w:r>
        <w:rPr>
          <w:b w:val="0"/>
          <w:i w:val="0"/>
          <w:sz w:val="20"/>
        </w:rPr>
        <w:t>No. It is an optional service and maintenance plan, not insurance or a warranty.</w:t>
      </w:r>
    </w:p>
    <w:p>
      <w:pPr>
        <w:spacing w:after="20"/>
      </w:pPr>
      <w:r>
        <w:rPr>
          <w:b/>
          <w:i w:val="0"/>
          <w:color w:val="1B87B5"/>
          <w:sz w:val="20"/>
        </w:rPr>
        <w:t>Q15. What does the protection plan cover?</w:t>
      </w:r>
    </w:p>
    <w:p>
      <w:pPr>
        <w:spacing w:after="120"/>
      </w:pPr>
      <w:r>
        <w:rPr>
          <w:b w:val="0"/>
          <w:i w:val="0"/>
          <w:sz w:val="20"/>
        </w:rPr>
        <w:t>Standard customer-premises trouble visits, basic inside-wiring diagnostics, Wi-Fi education, basic device-connection help, and priority scheduling.</w:t>
      </w:r>
    </w:p>
    <w:p>
      <w:pPr>
        <w:spacing w:after="20"/>
      </w:pPr>
      <w:r>
        <w:rPr>
          <w:b/>
          <w:i w:val="0"/>
          <w:color w:val="1B87B5"/>
          <w:sz w:val="20"/>
        </w:rPr>
        <w:t>Q16. What is not covered by the plan?</w:t>
      </w:r>
    </w:p>
    <w:p>
      <w:pPr>
        <w:spacing w:after="120"/>
      </w:pPr>
      <w:r>
        <w:rPr>
          <w:b w:val="0"/>
          <w:i w:val="0"/>
          <w:sz w:val="20"/>
        </w:rPr>
        <w:t>Replacing your own devices, major rewiring, concealed wiring, construction, commercial network administration, willful damage, and fire or flood damage.</w:t>
      </w:r>
    </w:p>
    <w:p>
      <w:pPr>
        <w:spacing w:after="20"/>
      </w:pPr>
      <w:r>
        <w:rPr>
          <w:b/>
          <w:i w:val="0"/>
          <w:color w:val="1B87B5"/>
          <w:sz w:val="20"/>
        </w:rPr>
        <w:t>Q17. What if I miss my appointment?</w:t>
      </w:r>
    </w:p>
    <w:p>
      <w:pPr>
        <w:spacing w:after="120"/>
      </w:pPr>
      <w:r>
        <w:rPr>
          <w:b w:val="0"/>
          <w:i w:val="0"/>
          <w:sz w:val="20"/>
        </w:rPr>
        <w:t>A $35 fee may apply, and we typically waive it the first time. Please let us know if you need to reschedule.</w:t>
      </w:r>
    </w:p>
    <w:p>
      <w:pPr>
        <w:spacing w:after="20"/>
      </w:pPr>
      <w:r>
        <w:rPr>
          <w:b/>
          <w:i w:val="0"/>
          <w:color w:val="1B87B5"/>
          <w:sz w:val="20"/>
        </w:rPr>
        <w:t>Q18. I have a disability or financial hardship. Can you help?</w:t>
      </w:r>
    </w:p>
    <w:p>
      <w:pPr>
        <w:spacing w:after="120"/>
      </w:pPr>
      <w:r>
        <w:rPr>
          <w:b w:val="0"/>
          <w:i w:val="0"/>
          <w:sz w:val="20"/>
        </w:rPr>
        <w:t>Yes. We offer reasonable accommodations and hardship waivers. Please tell us so we can help.</w:t>
      </w:r>
    </w:p>
    <w:p>
      <w:pPr>
        <w:spacing w:after="20"/>
      </w:pPr>
      <w:r>
        <w:rPr>
          <w:b/>
          <w:i w:val="0"/>
          <w:color w:val="1B87B5"/>
          <w:sz w:val="20"/>
        </w:rPr>
        <w:t>Q19. Does this apply to my business service?</w:t>
      </w:r>
    </w:p>
    <w:p>
      <w:pPr>
        <w:spacing w:after="120"/>
      </w:pPr>
      <w:r>
        <w:rPr>
          <w:b w:val="0"/>
          <w:i w:val="0"/>
          <w:sz w:val="20"/>
        </w:rPr>
        <w:t>Business customer-premises visits are $125. Custom network configuration may be additional or referred to your IT provider. Your service agreement governs where applicable.</w:t>
      </w:r>
    </w:p>
    <w:p>
      <w:pPr>
        <w:spacing w:after="20"/>
      </w:pPr>
      <w:r>
        <w:rPr>
          <w:b/>
          <w:i w:val="0"/>
          <w:color w:val="1B87B5"/>
          <w:sz w:val="20"/>
        </w:rPr>
        <w:t>Q20. When does this start?</w:t>
      </w:r>
    </w:p>
    <w:p>
      <w:pPr>
        <w:spacing w:after="120"/>
      </w:pPr>
      <w:r>
        <w:rPr>
          <w:b w:val="0"/>
          <w:i w:val="0"/>
          <w:sz w:val="20"/>
        </w:rPr>
        <w:t>After a customer-education period and a 30-day warning-only grace period, during which we explain charges but do not bill customer-premises visits.</w:t>
      </w:r>
    </w:p>
    <w:p>
      <w:pPr>
        <w:spacing w:after="20"/>
      </w:pPr>
      <w:r>
        <w:rPr>
          <w:b/>
          <w:i w:val="0"/>
          <w:color w:val="1B87B5"/>
          <w:sz w:val="20"/>
        </w:rPr>
        <w:t>Q21. What if the same problem comes back after a RIVR Tech repair?</w:t>
      </w:r>
    </w:p>
    <w:p>
      <w:pPr>
        <w:spacing w:after="120"/>
      </w:pPr>
      <w:r>
        <w:rPr>
          <w:b w:val="0"/>
          <w:i w:val="0"/>
          <w:sz w:val="20"/>
        </w:rPr>
        <w:t>If it recurs shortly after we repaired something, there is no charge.</w:t>
      </w:r>
    </w:p>
    <w:p>
      <w:pPr>
        <w:spacing w:after="20"/>
      </w:pPr>
      <w:r>
        <w:rPr>
          <w:b/>
          <w:i w:val="0"/>
          <w:color w:val="1B87B5"/>
          <w:sz w:val="20"/>
        </w:rPr>
        <w:t>Q22. Will my rates go up because of this?</w:t>
      </w:r>
    </w:p>
    <w:p>
      <w:pPr>
        <w:spacing w:after="120"/>
      </w:pPr>
      <w:r>
        <w:rPr>
          <w:b w:val="0"/>
          <w:i w:val="0"/>
          <w:sz w:val="20"/>
        </w:rPr>
        <w:t>No. This program does not change your monthly service rate. It only introduces fees for specific customer-premises visits, which you can avoid with self-service or the optional plan.</w:t>
      </w:r>
    </w:p>
    <w:p>
      <w:pPr>
        <w:pStyle w:val="Heading1"/>
      </w:pPr>
      <w:r>
        <w:t>8. Call-Center Script</w:t>
      </w:r>
    </w:p>
    <w:p>
      <w:pPr>
        <w:spacing w:after="120"/>
      </w:pPr>
      <w:r>
        <w:rPr>
          <w:b w:val="0"/>
          <w:i w:val="0"/>
          <w:sz w:val="21"/>
        </w:rPr>
        <w:t>Opening: "Thanks for calling RIVR Tech, this is [name]. I can help with that."</w:t>
      </w:r>
    </w:p>
    <w:p>
      <w:pPr>
        <w:spacing w:after="120"/>
      </w:pPr>
      <w:r>
        <w:rPr>
          <w:b w:val="0"/>
          <w:i w:val="0"/>
          <w:sz w:val="21"/>
        </w:rPr>
        <w:t>Disclosure (if potentially billable): "Before I schedule a technician, I want to be upfront: if the technician documents that the cause is on your premises — like your own equipment, wiring, or power — a service charge may apply. If it's our network or equipment, there's no charge. Is it okay if I note your acknowledgment?"</w:t>
      </w:r>
    </w:p>
    <w:p>
      <w:pPr>
        <w:spacing w:after="120"/>
      </w:pPr>
      <w:r>
        <w:rPr>
          <w:b w:val="0"/>
          <w:i w:val="0"/>
          <w:sz w:val="21"/>
        </w:rPr>
        <w:t>Close: "You'll only be charged if findings show a customer-premises cause, and we'll explain everything. Would an optional protection plan be helpful for peace of mind?"</w:t>
      </w:r>
    </w:p>
    <w:p>
      <w:pPr>
        <w:pStyle w:val="Heading1"/>
      </w:pPr>
      <w:r>
        <w:t>9. Dispatch Disclosure (verbatim)</w:t>
      </w:r>
    </w:p>
    <w:p>
      <w:pPr>
        <w:spacing w:after="120"/>
      </w:pPr>
      <w:r>
        <w:rPr>
          <w:b w:val="0"/>
          <w:i/>
          <w:sz w:val="21"/>
        </w:rPr>
        <w:t>"A service charge may apply only if the technician documents a customer-premises cause. RIVR Tech network/equipment repairs are free. Do you acknowledge this disclosure?"</w:t>
      </w:r>
    </w:p>
    <w:p>
      <w:pPr>
        <w:pStyle w:val="Heading1"/>
      </w:pPr>
      <w:r>
        <w:t>10. SMS Confirmation</w:t>
      </w:r>
    </w:p>
    <w:p>
      <w:pPr>
        <w:spacing w:after="120"/>
      </w:pPr>
      <w:r>
        <w:rPr>
          <w:b w:val="0"/>
          <w:i/>
          <w:sz w:val="21"/>
        </w:rPr>
        <w:t>"RIVR Tech: Appt confirmed for [date/time]. A visit fee may apply only if the issue is on your premises (not our network). Reply YES to acknowledge. Reply R to reschedule."</w:t>
      </w:r>
    </w:p>
    <w:p>
      <w:pPr>
        <w:pStyle w:val="Heading1"/>
      </w:pPr>
      <w:r>
        <w:t>11. Technician Script (on site)</w:t>
      </w:r>
    </w:p>
    <w:p>
      <w:pPr>
        <w:spacing w:after="120"/>
      </w:pPr>
      <w:r>
        <w:rPr>
          <w:b w:val="0"/>
          <w:i/>
          <w:sz w:val="21"/>
        </w:rPr>
        <w:t>"Here's what I found and tested. The RIVR Tech service is testing good to your gateway. The issue is a customer-premises one — [plain explanation]. Because of that, a service charge may apply. I'll document everything, and you can always ask about a waiver or the protection plan."</w:t>
      </w:r>
    </w:p>
    <w:p>
      <w:pPr>
        <w:pStyle w:val="Heading1"/>
      </w:pPr>
      <w:r>
        <w:t>12. Charge Notice</w:t>
      </w:r>
    </w:p>
    <w:p>
      <w:pPr>
        <w:spacing w:after="120"/>
      </w:pPr>
      <w:r>
        <w:rPr>
          <w:b w:val="0"/>
          <w:i/>
          <w:sz w:val="21"/>
        </w:rPr>
        <w:t>"Following your recent visit on [date], our documented findings show a customer-premises cause ([code/summary]). A service charge of $75 applies and will appear on your next statement. If you have questions or wish to dispute, contact us within [timeline]."</w:t>
      </w:r>
    </w:p>
    <w:p>
      <w:pPr>
        <w:pStyle w:val="Heading1"/>
      </w:pPr>
      <w:r>
        <w:t>13. Dispute Acknowledgment</w:t>
      </w:r>
    </w:p>
    <w:p>
      <w:pPr>
        <w:spacing w:after="120"/>
      </w:pPr>
      <w:r>
        <w:rPr>
          <w:b w:val="0"/>
          <w:i/>
          <w:sz w:val="21"/>
        </w:rPr>
        <w:t>"We've received your dispute regarding the charge on [date]. A supervisor will review the technician's findings and respond within [timeline]. No collection action occurs while your dispute is under review."</w:t>
      </w:r>
    </w:p>
    <w:p>
      <w:pPr>
        <w:pStyle w:val="Heading1"/>
      </w:pPr>
      <w:r>
        <w:t>14. Approved Waiver Notice</w:t>
      </w:r>
    </w:p>
    <w:p>
      <w:pPr>
        <w:spacing w:after="120"/>
      </w:pPr>
      <w:r>
        <w:rPr>
          <w:b w:val="0"/>
          <w:i/>
          <w:sz w:val="21"/>
        </w:rPr>
        <w:t>"Good news — we've waived the service charge from your visit on [date] as a [courtesy/hardship/accommodation]. No action is needed. Thank you for being a RIVR Tech customer."</w:t>
      </w:r>
    </w:p>
    <w:p>
      <w:pPr>
        <w:pStyle w:val="Heading1"/>
      </w:pPr>
      <w:r>
        <w:t>15. Denied Dispute Notice</w:t>
      </w:r>
    </w:p>
    <w:p>
      <w:pPr>
        <w:spacing w:after="120"/>
      </w:pPr>
      <w:r>
        <w:rPr>
          <w:b w:val="0"/>
          <w:i/>
          <w:sz w:val="21"/>
        </w:rPr>
        <w:t>"We carefully reviewed your dispute and the technician's documented findings ([summary]). The customer-premises charge stands. Here's what we found: [detail]. You may escalate to [role] within [timeline]."</w:t>
      </w:r>
    </w:p>
    <w:p>
      <w:pPr>
        <w:pStyle w:val="Heading1"/>
      </w:pPr>
      <w:r>
        <w:t>16. Business-Customer Letter</w:t>
      </w:r>
    </w:p>
    <w:p>
      <w:pPr>
        <w:spacing w:after="120"/>
      </w:pPr>
      <w:r>
        <w:rPr>
          <w:b w:val="0"/>
          <w:i w:val="0"/>
          <w:sz w:val="21"/>
        </w:rPr>
        <w:t>Dear [Business Name], As part of a clearer service-visit policy, RIVR Tech will continue to repair all network and equipment issues at no charge. Documented customer-premises visits are billed at $125; custom network configuration may be additional or referred to your IT provider. Your service agreement governs where applicable. Ask about priority protection options for your accounts.</w:t>
      </w:r>
    </w:p>
    <w:p>
      <w:pPr>
        <w:pStyle w:val="Heading1"/>
      </w:pPr>
      <w:r>
        <w:t>17. New-Customer Disclosure</w:t>
      </w:r>
    </w:p>
    <w:p>
      <w:pPr>
        <w:spacing w:after="120"/>
      </w:pPr>
      <w:r>
        <w:rPr>
          <w:b w:val="0"/>
          <w:i/>
          <w:sz w:val="21"/>
        </w:rPr>
        <w:t>"Welcome to RIVR Tech! Please note: our network and equipment repairs are always free. If a future visit documents a customer-premises cause (your equipment, wiring, or power), a service charge may apply — always disclosed in advance. An optional protection plan is available."</w:t>
      </w:r>
    </w:p>
    <w:p>
      <w:pPr>
        <w:pStyle w:val="Heading1"/>
      </w:pPr>
      <w:r>
        <w:t>18. Protection-Plan Sales Script</w:t>
      </w:r>
    </w:p>
    <w:p>
      <w:pPr>
        <w:spacing w:after="120"/>
      </w:pPr>
      <w:r>
        <w:rPr>
          <w:b w:val="0"/>
          <w:i/>
          <w:sz w:val="21"/>
        </w:rPr>
        <w:t>"For $9.99 a month, RIVR Tech Home Maintenance Protection covers standard customer-premises trouble visits, basic inside-wiring diagnostics, Wi-Fi education, and basic device help, with priority scheduling. It's an optional service plan — not insurance — and it can save you money if you ever need a premises visit. Would you like to add it?"</w:t>
      </w:r>
    </w:p>
    <w:tbl>
      <w:tblPr>
        <w:tblW w:type="auto" w:w="0"/>
        <w:jc w:val="center"/>
        <w:tblLook w:firstColumn="1" w:firstRow="1" w:lastColumn="0" w:lastRow="0" w:noHBand="0" w:noVBand="1" w:val="04A0"/>
      </w:tblPr>
      <w:tblGrid>
        <w:gridCol w:w="9648"/>
      </w:tblGrid>
      <w:tr>
        <w:tc>
          <w:tcPr>
            <w:tcW w:type="dxa" w:w="9648"/>
            <w:shd w:val="clear" w:color="auto" w:fill="EAF3F7"/>
            <w:tcMar>
              <w:top w:w="80" w:type="dxa"/>
              <w:bottom w:w="80" w:type="dxa"/>
              <w:start w:w="120" w:type="dxa"/>
              <w:end w:w="120" w:type="dxa"/>
            </w:tcMar>
            <w:tcBorders>
              <w:left w:val="single" w:sz="24" w:space="0" w:color="C0562B"/>
            </w:tcBorders>
          </w:tcPr>
          <w:p>
            <w:r>
              <w:rPr>
                <w:b/>
                <w:color w:val="C0562B"/>
                <w:sz w:val="18"/>
              </w:rPr>
              <w:t xml:space="preserve">LEGAL / REGULATORY REVIEW  </w:t>
            </w:r>
            <w:r>
              <w:rPr>
                <w:color w:val="10222E"/>
                <w:sz w:val="19"/>
              </w:rPr>
              <w:t>All customer-facing wording, disclosures, call recording, and the protection-plan description require legal and insurance review before use.</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A82"/>
        <w:sz w:val="16"/>
      </w:rPr>
      <w:t xml:space="preserve">RIVR Tech  |  Customer Communication Package  |  v1.0 (Draft for Executive Review)  |  Page </w:t>
    </w:r>
    <w:r>
      <w:rPr>
        <w:color w:val="6B7A82"/>
        <w:sz w:val="16"/>
      </w:rPr>
      <w:fldChar w:fldCharType="begin"/>
      <w:instrText xml:space="preserve">PAGE</w:instrText>
      <w:fldChar w:fldCharType="end"/>
    </w:r>
    <w:r>
      <w:rPr>
        <w:color w:val="6B7A82"/>
        <w:sz w:val="16"/>
      </w:rPr>
      <w:t xml:space="preserve"> of </w:t>
    </w:r>
    <w:r>
      <w:rPr>
        <w:color w:val="6B7A82"/>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B3D5C"/>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B87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022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