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595959"/>
          <w:sz w:val="22"/>
        </w:rPr>
        <w:t>LREMC Technologies, LLC d/b/a RIVR Tech</w:t>
      </w:r>
    </w:p>
    <w:p>
      <w:r>
        <w:rPr>
          <w:b/>
          <w:color w:val="1F3864"/>
          <w:sz w:val="48"/>
        </w:rPr>
        <w:t>Phase 1 Kickoff Memo</w:t>
      </w:r>
    </w:p>
    <w:p>
      <w:r>
        <w:rPr>
          <w:color w:val="2E5496"/>
          <w:sz w:val="26"/>
        </w:rPr>
        <w:t>ETC approved → USAC onboarding: what happens now</w:t>
      </w:r>
    </w:p>
    <w:p/>
    <w:tbl>
      <w:tblPr>
        <w:tblStyle w:val="LightList-Accent1"/>
        <w:tblW w:type="auto" w:w="0"/>
        <w:tblLook w:firstColumn="1" w:firstRow="1" w:lastColumn="0" w:lastRow="0" w:noHBand="0" w:noVBand="1" w:val="04A0"/>
      </w:tblPr>
      <w:tblGrid>
        <w:gridCol w:w="4320"/>
        <w:gridCol w:w="4320"/>
      </w:tblGrid>
      <w:tr>
        <w:tc>
          <w:tcPr>
            <w:tcW w:type="dxa" w:w="4320"/>
          </w:tcPr>
          <w:p>
            <w:r>
              <w:rPr>
                <w:b/>
              </w:rPr>
              <w:t>Deliverable</w:t>
            </w:r>
          </w:p>
        </w:tc>
        <w:tc>
          <w:tcPr>
            <w:tcW w:type="dxa" w:w="4320"/>
          </w:tcPr>
          <w:p>
            <w:r>
              <w:t>16 of series</w:t>
            </w:r>
          </w:p>
        </w:tc>
      </w:tr>
      <w:tr>
        <w:tc>
          <w:tcPr>
            <w:tcW w:type="dxa" w:w="4320"/>
          </w:tcPr>
          <w:p>
            <w:r>
              <w:rPr>
                <w:b/>
              </w:rPr>
              <w:t>Document owner</w:t>
            </w:r>
          </w:p>
        </w:tc>
        <w:tc>
          <w:tcPr>
            <w:tcW w:type="dxa" w:w="4320"/>
          </w:tcPr>
          <w:p>
            <w:r>
              <w:t>Program Owner (with Executive Sponsor)</w:t>
            </w:r>
          </w:p>
        </w:tc>
      </w:tr>
      <w:tr>
        <w:tc>
          <w:tcPr>
            <w:tcW w:type="dxa" w:w="4320"/>
          </w:tcPr>
          <w:p>
            <w:r>
              <w:rPr>
                <w:b/>
              </w:rPr>
              <w:t>Approval / sign-off</w:t>
            </w:r>
          </w:p>
        </w:tc>
        <w:tc>
          <w:tcPr>
            <w:tcW w:type="dxa" w:w="4320"/>
          </w:tcPr>
          <w:p>
            <w:r>
              <w:t>________________________  (name / title / date)</w:t>
            </w:r>
          </w:p>
        </w:tc>
      </w:tr>
      <w:tr>
        <w:tc>
          <w:tcPr>
            <w:tcW w:type="dxa" w:w="4320"/>
          </w:tcPr>
          <w:p>
            <w:r>
              <w:rPr>
                <w:b/>
              </w:rPr>
              <w:t>Version</w:t>
            </w:r>
          </w:p>
        </w:tc>
        <w:tc>
          <w:tcPr>
            <w:tcW w:type="dxa" w:w="4320"/>
          </w:tcPr>
          <w:p>
            <w:r>
              <w:t>v0.1 — Phase 1 kickoff</w:t>
            </w:r>
          </w:p>
        </w:tc>
      </w:tr>
      <w:tr>
        <w:tc>
          <w:tcPr>
            <w:tcW w:type="dxa" w:w="4320"/>
          </w:tcPr>
          <w:p>
            <w:r>
              <w:rPr>
                <w:b/>
              </w:rPr>
              <w:t>Status</w:t>
            </w:r>
          </w:p>
        </w:tc>
        <w:tc>
          <w:tcPr>
            <w:tcW w:type="dxa" w:w="4320"/>
          </w:tcPr>
          <w:p>
            <w:r>
              <w:t>PRE-DECISION build artifact. Figures are illustrative/placeholder pending confirmation.</w:t>
            </w:r>
          </w:p>
        </w:tc>
      </w:tr>
      <w:tr>
        <w:tc>
          <w:tcPr>
            <w:tcW w:type="dxa" w:w="4320"/>
          </w:tcPr>
          <w:p>
            <w:r>
              <w:rPr>
                <w:b/>
              </w:rPr>
              <w:t>Source basis</w:t>
            </w:r>
          </w:p>
        </w:tc>
        <w:tc>
          <w:tcPr>
            <w:tcW w:type="dxa" w:w="4320"/>
          </w:tcPr>
          <w:p>
            <w:r>
              <w:t>See 00_Regulatory_Source_Register.md (item refs 'SR-x.y').</w:t>
            </w:r>
          </w:p>
        </w:tc>
      </w:tr>
    </w:tbl>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Internal kickoff memo issued on NCUC ETC approval. Pair with the Phase 1 Onboarding Tracker (Deliverable 14) for dated tasks/owners and the Compliance Checklist (07) for evidence.</w:t>
            </w:r>
          </w:p>
        </w:tc>
      </w:tr>
    </w:tbl>
    <w:p>
      <w:r>
        <w:br w:type="page"/>
      </w:r>
    </w:p>
    <w:p>
      <w:pPr>
        <w:pStyle w:val="Heading1"/>
      </w:pPr>
      <w:r>
        <w:t>Table of Contents</w:t>
      </w:r>
    </w:p>
    <w:p>
      <w:r/>
      <w:fldSimple w:instr="TOC \o &quot;1-3&quot; \h \z \u">
        <w:r>
          <w:t>Right-click and 'Update Field' to build the table of contents.</w:t>
        </w:r>
      </w:fldSimple>
    </w:p>
    <w:p>
      <w:r>
        <w:br w:type="page"/>
      </w:r>
    </w:p>
    <w:p>
      <w:pPr>
        <w:pStyle w:val="Heading1"/>
      </w:pPr>
      <w:r>
        <w:t>1. Where we are</w:t>
      </w:r>
    </w:p>
    <w:p>
      <w:r>
        <w:rPr>
          <w:b w:val="0"/>
          <w:i w:val="0"/>
          <w:sz w:val="21"/>
        </w:rPr>
        <w:t>The North Carolina Utilities Commission has designated RIVR Tech as an Eligible Telecommunications Carrier for Lifeline. That closes Phase 0 (application pending) and opens Phase 1 (USAC onboarding). This memo states what the approval does and does not authorize, the critical path to first enrollment, the decisions due now, and the gate before public launch.</w:t>
      </w:r>
    </w:p>
    <w:tbl>
      <w:tblPr>
        <w:tblW w:type="auto" w:w="0"/>
        <w:jc w:val="center"/>
        <w:tblLook w:firstColumn="1" w:firstRow="1" w:lastColumn="0" w:lastRow="0" w:noHBand="0" w:noVBand="1" w:val="04A0"/>
      </w:tblPr>
      <w:tblGrid>
        <w:gridCol w:w="8640"/>
      </w:tblGrid>
      <w:tr>
        <w:tc>
          <w:tcPr>
            <w:tcW w:type="dxa" w:w="8640"/>
            <w:shd w:val="clear" w:fill="E2EFDA"/>
          </w:tcPr>
          <w:p>
            <w:r>
              <w:rPr>
                <w:color w:val="376E37"/>
                <w:sz w:val="20"/>
              </w:rPr>
              <w:t>✔ What approval authorizes: RIVR Tech may complete USAC onboarding and, once onboarded, provide the STANDARD Lifeline benefit (up to $9.25/mo) to eligible customers in the designated service area, and publicize its availability (47 C.F.R. §54.405(b)).</w:t>
            </w:r>
          </w:p>
        </w:tc>
      </w:tr>
    </w:tbl>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What approval does NOT authorize: paying the ENHANCED $34.25 Tribal benefit based on Lumbee membership or four-county residence. Enhanced support requires the customer's principal residence to be on qualifying “Tribal lands” (47 C.F.R. §54.400(e)), verified per-address via USAC's Tribal Lands Verification Tool. Until a written USAC/legal determination confirms qualifying Tribal lands exist in the area, we operate with ZERO enhanced-Tribal subscribers (Open Issue ISS-01).</w:t>
            </w:r>
          </w:p>
        </w:tc>
      </w:tr>
    </w:tbl>
    <w:p>
      <w:pPr>
        <w:pStyle w:val="Heading1"/>
      </w:pPr>
      <w:r>
        <w:t>2. Two things to start on Day 1</w:t>
      </w:r>
    </w:p>
    <w:p>
      <w:pPr>
        <w:pStyle w:val="ListNumber"/>
      </w:pPr>
      <w:r>
        <w:t>SAM.gov registration (UEI + active bank account). This can take ~6 weeks and blocks USF disbursement — it is the critical path. Begin immediately, in parallel with everything else.</w:t>
      </w:r>
    </w:p>
    <w:p>
      <w:pPr>
        <w:pStyle w:val="ListNumber"/>
      </w:pPr>
      <w:r>
        <w:t>The written Tribal-lands determination (ISS-01). Engage regulatory counsel / USAC now so the enhanced-benefit question is answered on paper before any customer is told about $34.25.</w:t>
      </w:r>
    </w:p>
    <w:p>
      <w:pPr>
        <w:pStyle w:val="Heading1"/>
      </w:pPr>
      <w:r>
        <w:t>3. Critical path to first enrollment (USAC onboarding)</w:t>
      </w:r>
    </w:p>
    <w:p>
      <w:r>
        <w:rPr>
          <w:b w:val="0"/>
          <w:i w:val="0"/>
          <w:sz w:val="21"/>
        </w:rPr>
        <w:t>Do these in order; several run in parallel. Dated targets and owners are in Deliverable 14; evidence columns are in Deliverable 07. Source: SR-6.</w:t>
      </w:r>
    </w:p>
    <w:tbl>
      <w:tblPr>
        <w:tblStyle w:val="TableGrid"/>
        <w:tblW w:type="auto" w:w="0"/>
        <w:jc w:val="center"/>
        <w:tblLook w:firstColumn="1" w:firstRow="1" w:lastColumn="0" w:lastRow="0" w:noHBand="0" w:noVBand="1" w:val="04A0"/>
      </w:tblPr>
      <w:tblGrid>
        <w:gridCol w:w="2880"/>
        <w:gridCol w:w="2880"/>
        <w:gridCol w:w="2880"/>
      </w:tblGrid>
      <w:tr>
        <w:tc>
          <w:tcPr>
            <w:tcW w:type="dxa" w:w="5184"/>
            <w:shd w:val="clear" w:fill="2E5496"/>
          </w:tcPr>
          <w:p>
            <w:r>
              <w:rPr>
                <w:b/>
                <w:color w:val="FFFFFF"/>
                <w:sz w:val="18"/>
              </w:rPr>
              <w:t>Step</w:t>
            </w:r>
          </w:p>
        </w:tc>
        <w:tc>
          <w:tcPr>
            <w:tcW w:type="dxa" w:w="2736"/>
            <w:shd w:val="clear" w:fill="2E5496"/>
          </w:tcPr>
          <w:p>
            <w:r>
              <w:rPr>
                <w:b/>
                <w:color w:val="FFFFFF"/>
                <w:sz w:val="18"/>
              </w:rPr>
              <w:t>Owner</w:t>
            </w:r>
          </w:p>
        </w:tc>
        <w:tc>
          <w:tcPr>
            <w:tcW w:type="dxa" w:w="2592"/>
            <w:shd w:val="clear" w:fill="2E5496"/>
          </w:tcPr>
          <w:p>
            <w:r>
              <w:rPr>
                <w:b/>
                <w:color w:val="FFFFFF"/>
                <w:sz w:val="18"/>
              </w:rPr>
              <w:t>Blocks</w:t>
            </w:r>
          </w:p>
        </w:tc>
      </w:tr>
      <w:tr>
        <w:tc>
          <w:tcPr>
            <w:tcW w:type="dxa" w:w="5184"/>
          </w:tcPr>
          <w:p>
            <w:r>
              <w:rPr>
                <w:sz w:val="17"/>
              </w:rPr>
              <w:t>File final NCUC order; capture service area, effective date, conditions</w:t>
            </w:r>
          </w:p>
        </w:tc>
        <w:tc>
          <w:tcPr>
            <w:tcW w:type="dxa" w:w="2736"/>
          </w:tcPr>
          <w:p>
            <w:r>
              <w:rPr>
                <w:sz w:val="17"/>
              </w:rPr>
              <w:t>Reg. Counsel</w:t>
            </w:r>
          </w:p>
        </w:tc>
        <w:tc>
          <w:tcPr>
            <w:tcW w:type="dxa" w:w="2592"/>
          </w:tcPr>
          <w:p>
            <w:r>
              <w:rPr>
                <w:sz w:val="17"/>
              </w:rPr>
              <w:t>All downstream</w:t>
            </w:r>
          </w:p>
        </w:tc>
      </w:tr>
      <w:tr>
        <w:tc>
          <w:tcPr>
            <w:tcW w:type="dxa" w:w="5184"/>
          </w:tcPr>
          <w:p>
            <w:r>
              <w:rPr>
                <w:sz w:val="17"/>
              </w:rPr>
              <w:t>SAM.gov UEI + bank account (⏱ long pole)</w:t>
            </w:r>
          </w:p>
        </w:tc>
        <w:tc>
          <w:tcPr>
            <w:tcW w:type="dxa" w:w="2736"/>
          </w:tcPr>
          <w:p>
            <w:r>
              <w:rPr>
                <w:sz w:val="17"/>
              </w:rPr>
              <w:t>Finance</w:t>
            </w:r>
          </w:p>
        </w:tc>
        <w:tc>
          <w:tcPr>
            <w:tcW w:type="dxa" w:w="2592"/>
          </w:tcPr>
          <w:p>
            <w:r>
              <w:rPr>
                <w:sz w:val="17"/>
              </w:rPr>
              <w:t>Disbursement</w:t>
            </w:r>
          </w:p>
        </w:tc>
      </w:tr>
      <w:tr>
        <w:tc>
          <w:tcPr>
            <w:tcW w:type="dxa" w:w="5184"/>
          </w:tcPr>
          <w:p>
            <w:r>
              <w:rPr>
                <w:sz w:val="17"/>
              </w:rPr>
              <w:t>FRN via FCC CORES (if not held)</w:t>
            </w:r>
          </w:p>
        </w:tc>
        <w:tc>
          <w:tcPr>
            <w:tcW w:type="dxa" w:w="2736"/>
          </w:tcPr>
          <w:p>
            <w:r>
              <w:rPr>
                <w:sz w:val="17"/>
              </w:rPr>
              <w:t>Finance</w:t>
            </w:r>
          </w:p>
        </w:tc>
        <w:tc>
          <w:tcPr>
            <w:tcW w:type="dxa" w:w="2592"/>
          </w:tcPr>
          <w:p>
            <w:r>
              <w:rPr>
                <w:sz w:val="17"/>
              </w:rPr>
              <w:t>SAM / 498</w:t>
            </w:r>
          </w:p>
        </w:tc>
      </w:tr>
      <w:tr>
        <w:tc>
          <w:tcPr>
            <w:tcW w:type="dxa" w:w="5184"/>
          </w:tcPr>
          <w:p>
            <w:r>
              <w:rPr>
                <w:sz w:val="17"/>
              </w:rPr>
              <w:t>Study Area Code (SAC) from USAC — submit the order</w:t>
            </w:r>
          </w:p>
        </w:tc>
        <w:tc>
          <w:tcPr>
            <w:tcW w:type="dxa" w:w="2736"/>
          </w:tcPr>
          <w:p>
            <w:r>
              <w:rPr>
                <w:sz w:val="17"/>
              </w:rPr>
              <w:t>Compliance</w:t>
            </w:r>
          </w:p>
        </w:tc>
        <w:tc>
          <w:tcPr>
            <w:tcW w:type="dxa" w:w="2592"/>
          </w:tcPr>
          <w:p>
            <w:r>
              <w:rPr>
                <w:sz w:val="17"/>
              </w:rPr>
              <w:t>498 / claims</w:t>
            </w:r>
          </w:p>
        </w:tc>
      </w:tr>
      <w:tr>
        <w:tc>
          <w:tcPr>
            <w:tcW w:type="dxa" w:w="5184"/>
          </w:tcPr>
          <w:p>
            <w:r>
              <w:rPr>
                <w:sz w:val="17"/>
              </w:rPr>
              <w:t>FCC Form 498 → 498 ID; Company Officer certifies</w:t>
            </w:r>
          </w:p>
        </w:tc>
        <w:tc>
          <w:tcPr>
            <w:tcW w:type="dxa" w:w="2736"/>
          </w:tcPr>
          <w:p>
            <w:r>
              <w:rPr>
                <w:sz w:val="17"/>
              </w:rPr>
              <w:t>Finance/Officer</w:t>
            </w:r>
          </w:p>
        </w:tc>
        <w:tc>
          <w:tcPr>
            <w:tcW w:type="dxa" w:w="2592"/>
          </w:tcPr>
          <w:p>
            <w:r>
              <w:rPr>
                <w:sz w:val="17"/>
              </w:rPr>
              <w:t>Reimbursement</w:t>
            </w:r>
          </w:p>
        </w:tc>
      </w:tr>
      <w:tr>
        <w:tc>
          <w:tcPr>
            <w:tcW w:type="dxa" w:w="5184"/>
          </w:tcPr>
          <w:p>
            <w:r>
              <w:rPr>
                <w:sz w:val="17"/>
              </w:rPr>
              <w:t>Assign 497 Officer + ETC Administrator</w:t>
            </w:r>
          </w:p>
        </w:tc>
        <w:tc>
          <w:tcPr>
            <w:tcW w:type="dxa" w:w="2736"/>
          </w:tcPr>
          <w:p>
            <w:r>
              <w:rPr>
                <w:sz w:val="17"/>
              </w:rPr>
              <w:t>Finance/Compliance</w:t>
            </w:r>
          </w:p>
        </w:tc>
        <w:tc>
          <w:tcPr>
            <w:tcW w:type="dxa" w:w="2592"/>
          </w:tcPr>
          <w:p>
            <w:r>
              <w:rPr>
                <w:sz w:val="17"/>
              </w:rPr>
              <w:t>NV/NLAD/LCS setup</w:t>
            </w:r>
          </w:p>
        </w:tc>
      </w:tr>
      <w:tr>
        <w:tc>
          <w:tcPr>
            <w:tcW w:type="dxa" w:w="5184"/>
          </w:tcPr>
          <w:p>
            <w:r>
              <w:rPr>
                <w:sz w:val="17"/>
              </w:rPr>
              <w:t>RAD Rep IDs for all enrollment reps (LifelineRAD.org)</w:t>
            </w:r>
          </w:p>
        </w:tc>
        <w:tc>
          <w:tcPr>
            <w:tcW w:type="dxa" w:w="2736"/>
          </w:tcPr>
          <w:p>
            <w:r>
              <w:rPr>
                <w:sz w:val="17"/>
              </w:rPr>
              <w:t>Compliance</w:t>
            </w:r>
          </w:p>
        </w:tc>
        <w:tc>
          <w:tcPr>
            <w:tcW w:type="dxa" w:w="2592"/>
          </w:tcPr>
          <w:p>
            <w:r>
              <w:rPr>
                <w:sz w:val="17"/>
              </w:rPr>
              <w:t>Enrolling anyone</w:t>
            </w:r>
          </w:p>
        </w:tc>
      </w:tr>
      <w:tr>
        <w:tc>
          <w:tcPr>
            <w:tcW w:type="dxa" w:w="5184"/>
          </w:tcPr>
          <w:p>
            <w:r>
              <w:rPr>
                <w:sz w:val="17"/>
              </w:rPr>
              <w:t>National Verifier access + roles</w:t>
            </w:r>
          </w:p>
        </w:tc>
        <w:tc>
          <w:tcPr>
            <w:tcW w:type="dxa" w:w="2736"/>
          </w:tcPr>
          <w:p>
            <w:r>
              <w:rPr>
                <w:sz w:val="17"/>
              </w:rPr>
              <w:t>Compliance/IT</w:t>
            </w:r>
          </w:p>
        </w:tc>
        <w:tc>
          <w:tcPr>
            <w:tcW w:type="dxa" w:w="2592"/>
          </w:tcPr>
          <w:p>
            <w:r>
              <w:rPr>
                <w:sz w:val="17"/>
              </w:rPr>
              <w:t>Eligibility checks</w:t>
            </w:r>
          </w:p>
        </w:tc>
      </w:tr>
      <w:tr>
        <w:tc>
          <w:tcPr>
            <w:tcW w:type="dxa" w:w="5184"/>
          </w:tcPr>
          <w:p>
            <w:r>
              <w:rPr>
                <w:sz w:val="17"/>
              </w:rPr>
              <w:t>NLAD access + roles</w:t>
            </w:r>
          </w:p>
        </w:tc>
        <w:tc>
          <w:tcPr>
            <w:tcW w:type="dxa" w:w="2736"/>
          </w:tcPr>
          <w:p>
            <w:r>
              <w:rPr>
                <w:sz w:val="17"/>
              </w:rPr>
              <w:t>Compliance/IT</w:t>
            </w:r>
          </w:p>
        </w:tc>
        <w:tc>
          <w:tcPr>
            <w:tcW w:type="dxa" w:w="2592"/>
          </w:tcPr>
          <w:p>
            <w:r>
              <w:rPr>
                <w:sz w:val="17"/>
              </w:rPr>
              <w:t>Enrollment</w:t>
            </w:r>
          </w:p>
        </w:tc>
      </w:tr>
      <w:tr>
        <w:tc>
          <w:tcPr>
            <w:tcW w:type="dxa" w:w="5184"/>
          </w:tcPr>
          <w:p>
            <w:r>
              <w:rPr>
                <w:sz w:val="17"/>
              </w:rPr>
              <w:t>LCS access</w:t>
            </w:r>
          </w:p>
        </w:tc>
        <w:tc>
          <w:tcPr>
            <w:tcW w:type="dxa" w:w="2736"/>
          </w:tcPr>
          <w:p>
            <w:r>
              <w:rPr>
                <w:sz w:val="17"/>
              </w:rPr>
              <w:t>Finance</w:t>
            </w:r>
          </w:p>
        </w:tc>
        <w:tc>
          <w:tcPr>
            <w:tcW w:type="dxa" w:w="2592"/>
          </w:tcPr>
          <w:p>
            <w:r>
              <w:rPr>
                <w:sz w:val="17"/>
              </w:rPr>
              <w:t>Monthly claims</w:t>
            </w:r>
          </w:p>
        </w:tc>
      </w:tr>
    </w:tbl>
    <w:p>
      <w:pPr>
        <w:pStyle w:val="Heading1"/>
      </w:pPr>
      <w:r>
        <w:t>4. Parallel workstreams</w:t>
      </w:r>
    </w:p>
    <w:p>
      <w:pPr>
        <w:pStyle w:val="ListBullet"/>
      </w:pPr>
      <w:r>
        <w:t>Pricing &amp; plan: confirm the RIVR price sheet; lock the Senior 100/100 design (recommended Alternative D — $10 net after subsidies).</w:t>
      </w:r>
    </w:p>
    <w:p>
      <w:pPr>
        <w:pStyle w:val="ListBullet"/>
      </w:pPr>
      <w:r>
        <w:t>Tax: obtain the tax-advisor opinion on which components are taxable; no “plus tax” advertising until it is back (broadband access is non-taxable under ITFA).</w:t>
      </w:r>
    </w:p>
    <w:p>
      <w:pPr>
        <w:pStyle w:val="ListBullet"/>
      </w:pPr>
      <w:r>
        <w:t>NISC: build rate/credit codes, tax config, separate-GL accounts (Lifeline / grant / RIVR / Tribe), bill descriptions, and full pass-through; test before the pilot.</w:t>
      </w:r>
    </w:p>
    <w:p>
      <w:pPr>
        <w:pStyle w:val="ListBullet"/>
      </w:pPr>
      <w:r>
        <w:t>Policies: finalize WFA, record-retention (≥3 yrs / duration of service), and privacy/data-security controls (no full SSNs, eligibility docs, or tribal-roll in unsecured fields).</w:t>
      </w:r>
    </w:p>
    <w:p>
      <w:pPr>
        <w:pStyle w:val="ListBullet"/>
      </w:pPr>
      <w:r>
        <w:t>Training: train RAD-registered reps before they enroll anyone; drill the prohibited-statements list.</w:t>
      </w:r>
    </w:p>
    <w:p>
      <w:pPr>
        <w:pStyle w:val="ListBullet"/>
      </w:pPr>
      <w:r>
        <w:t>Comms: finalize website/FAQ/letters/scripts (Deliverable 09) within the guardrails; begin publicizing Lifeline availability.</w:t>
      </w:r>
    </w:p>
    <w:p>
      <w:pPr>
        <w:pStyle w:val="ListBullet"/>
      </w:pPr>
      <w:r>
        <w:t>Lumbee MOU: execute if the Tribe will fund a discount or run privacy-preserving membership verification (Deliverable 11).</w:t>
      </w:r>
    </w:p>
    <w:p>
      <w:pPr>
        <w:pStyle w:val="Heading1"/>
      </w:pPr>
      <w:r>
        <w:t>5. Decisions due now</w:t>
      </w:r>
    </w:p>
    <w:p>
      <w:r>
        <w:rPr>
          <w:b w:val="0"/>
          <w:i w:val="0"/>
          <w:sz w:val="21"/>
        </w:rPr>
        <w:t>Formalize these (full table in Deliverable 01 §11; log in Deliverable 13; dated in Deliverable 14):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fill="2E5496"/>
          </w:tcPr>
          <w:p>
            <w:r>
              <w:rPr>
                <w:b/>
                <w:color w:val="FFFFFF"/>
                <w:sz w:val="18"/>
              </w:rPr>
              <w:t>Ref</w:t>
            </w:r>
          </w:p>
        </w:tc>
        <w:tc>
          <w:tcPr>
            <w:tcW w:type="dxa" w:w="3312"/>
            <w:shd w:val="clear" w:fill="2E5496"/>
          </w:tcPr>
          <w:p>
            <w:r>
              <w:rPr>
                <w:b/>
                <w:color w:val="FFFFFF"/>
                <w:sz w:val="18"/>
              </w:rPr>
              <w:t>Decision</w:t>
            </w:r>
          </w:p>
        </w:tc>
        <w:tc>
          <w:tcPr>
            <w:tcW w:type="dxa" w:w="4320"/>
            <w:shd w:val="clear" w:fill="2E5496"/>
          </w:tcPr>
          <w:p>
            <w:r>
              <w:rPr>
                <w:b/>
                <w:color w:val="FFFFFF"/>
                <w:sz w:val="18"/>
              </w:rPr>
              <w:t>Recommended</w:t>
            </w:r>
          </w:p>
        </w:tc>
        <w:tc>
          <w:tcPr>
            <w:tcW w:type="dxa" w:w="1872"/>
            <w:shd w:val="clear" w:fill="2E5496"/>
          </w:tcPr>
          <w:p>
            <w:r>
              <w:rPr>
                <w:b/>
                <w:color w:val="FFFFFF"/>
                <w:sz w:val="18"/>
              </w:rPr>
              <w:t>Owner</w:t>
            </w:r>
          </w:p>
        </w:tc>
      </w:tr>
      <w:tr>
        <w:tc>
          <w:tcPr>
            <w:tcW w:type="dxa" w:w="1008"/>
          </w:tcPr>
          <w:p>
            <w:r>
              <w:rPr>
                <w:sz w:val="17"/>
              </w:rPr>
              <w:t>ISS-14</w:t>
            </w:r>
          </w:p>
        </w:tc>
        <w:tc>
          <w:tcPr>
            <w:tcW w:type="dxa" w:w="3312"/>
          </w:tcPr>
          <w:p>
            <w:r>
              <w:rPr>
                <w:sz w:val="17"/>
              </w:rPr>
              <w:t>Enhanced Tribal legal determination</w:t>
            </w:r>
          </w:p>
        </w:tc>
        <w:tc>
          <w:tcPr>
            <w:tcW w:type="dxa" w:w="4320"/>
          </w:tcPr>
          <w:p>
            <w:r>
              <w:rPr>
                <w:sz w:val="17"/>
              </w:rPr>
              <w:t>Obtain written USAC/legal determination; assume 0 until confirmed</w:t>
            </w:r>
          </w:p>
        </w:tc>
        <w:tc>
          <w:tcPr>
            <w:tcW w:type="dxa" w:w="1872"/>
          </w:tcPr>
          <w:p>
            <w:r>
              <w:rPr>
                <w:sz w:val="17"/>
              </w:rPr>
              <w:t>Reg. Counsel + USAC</w:t>
            </w:r>
          </w:p>
        </w:tc>
      </w:tr>
      <w:tr>
        <w:tc>
          <w:tcPr>
            <w:tcW w:type="dxa" w:w="1008"/>
          </w:tcPr>
          <w:p>
            <w:r>
              <w:rPr>
                <w:sz w:val="17"/>
              </w:rPr>
              <w:t>ISS-02</w:t>
            </w:r>
          </w:p>
        </w:tc>
        <w:tc>
          <w:tcPr>
            <w:tcW w:type="dxa" w:w="3312"/>
          </w:tcPr>
          <w:p>
            <w:r>
              <w:rPr>
                <w:sz w:val="17"/>
              </w:rPr>
              <w:t>Tax treatment / 'plus tax'</w:t>
            </w:r>
          </w:p>
        </w:tc>
        <w:tc>
          <w:tcPr>
            <w:tcW w:type="dxa" w:w="4320"/>
          </w:tcPr>
          <w:p>
            <w:r>
              <w:rPr>
                <w:sz w:val="17"/>
              </w:rPr>
              <w:t>Tax opinion first; no 'plus tax' until confirmed</w:t>
            </w:r>
          </w:p>
        </w:tc>
        <w:tc>
          <w:tcPr>
            <w:tcW w:type="dxa" w:w="1872"/>
          </w:tcPr>
          <w:p>
            <w:r>
              <w:rPr>
                <w:sz w:val="17"/>
              </w:rPr>
              <w:t>Tax Advisor + CFO</w:t>
            </w:r>
          </w:p>
        </w:tc>
      </w:tr>
      <w:tr>
        <w:tc>
          <w:tcPr>
            <w:tcW w:type="dxa" w:w="1008"/>
          </w:tcPr>
          <w:p>
            <w:r>
              <w:rPr>
                <w:sz w:val="17"/>
              </w:rPr>
              <w:t>ISS-03</w:t>
            </w:r>
          </w:p>
        </w:tc>
        <w:tc>
          <w:tcPr>
            <w:tcW w:type="dxa" w:w="3312"/>
          </w:tcPr>
          <w:p>
            <w:r>
              <w:rPr>
                <w:sz w:val="17"/>
              </w:rPr>
              <w:t>Senior eligibility age</w:t>
            </w:r>
          </w:p>
        </w:tc>
        <w:tc>
          <w:tcPr>
            <w:tcW w:type="dxa" w:w="4320"/>
          </w:tcPr>
          <w:p>
            <w:r>
              <w:rPr>
                <w:sz w:val="17"/>
              </w:rPr>
              <w:t>62</w:t>
            </w:r>
          </w:p>
        </w:tc>
        <w:tc>
          <w:tcPr>
            <w:tcW w:type="dxa" w:w="1872"/>
          </w:tcPr>
          <w:p>
            <w:r>
              <w:rPr>
                <w:sz w:val="17"/>
              </w:rPr>
              <w:t>Exec Sponsor</w:t>
            </w:r>
          </w:p>
        </w:tc>
      </w:tr>
      <w:tr>
        <w:tc>
          <w:tcPr>
            <w:tcW w:type="dxa" w:w="1008"/>
          </w:tcPr>
          <w:p>
            <w:r>
              <w:rPr>
                <w:sz w:val="17"/>
              </w:rPr>
              <w:t>ISS-04</w:t>
            </w:r>
          </w:p>
        </w:tc>
        <w:tc>
          <w:tcPr>
            <w:tcW w:type="dxa" w:w="3312"/>
          </w:tcPr>
          <w:p>
            <w:r>
              <w:rPr>
                <w:sz w:val="17"/>
              </w:rPr>
              <w:t>$10 retail vs net</w:t>
            </w:r>
          </w:p>
        </w:tc>
        <w:tc>
          <w:tcPr>
            <w:tcW w:type="dxa" w:w="4320"/>
          </w:tcPr>
          <w:p>
            <w:r>
              <w:rPr>
                <w:sz w:val="17"/>
              </w:rPr>
              <w:t>NET after subsidies (Alt D)</w:t>
            </w:r>
          </w:p>
        </w:tc>
        <w:tc>
          <w:tcPr>
            <w:tcW w:type="dxa" w:w="1872"/>
          </w:tcPr>
          <w:p>
            <w:r>
              <w:rPr>
                <w:sz w:val="17"/>
              </w:rPr>
              <w:t>Exec Sponsor + CFO</w:t>
            </w:r>
          </w:p>
        </w:tc>
      </w:tr>
      <w:tr>
        <w:tc>
          <w:tcPr>
            <w:tcW w:type="dxa" w:w="1008"/>
          </w:tcPr>
          <w:p>
            <w:r>
              <w:rPr>
                <w:sz w:val="17"/>
              </w:rPr>
              <w:t>ISS-05</w:t>
            </w:r>
          </w:p>
        </w:tc>
        <w:tc>
          <w:tcPr>
            <w:tcW w:type="dxa" w:w="3312"/>
          </w:tcPr>
          <w:p>
            <w:r>
              <w:rPr>
                <w:sz w:val="17"/>
              </w:rPr>
              <w:t>Discount for non-Lifeline seniors</w:t>
            </w:r>
          </w:p>
        </w:tc>
        <w:tc>
          <w:tcPr>
            <w:tcW w:type="dxa" w:w="4320"/>
          </w:tcPr>
          <w:p>
            <w:r>
              <w:rPr>
                <w:sz w:val="17"/>
              </w:rPr>
              <w:t>Yes, capped</w:t>
            </w:r>
          </w:p>
        </w:tc>
        <w:tc>
          <w:tcPr>
            <w:tcW w:type="dxa" w:w="1872"/>
          </w:tcPr>
          <w:p>
            <w:r>
              <w:rPr>
                <w:sz w:val="17"/>
              </w:rPr>
              <w:t>CFO</w:t>
            </w:r>
          </w:p>
        </w:tc>
      </w:tr>
      <w:tr>
        <w:tc>
          <w:tcPr>
            <w:tcW w:type="dxa" w:w="1008"/>
          </w:tcPr>
          <w:p>
            <w:r>
              <w:rPr>
                <w:sz w:val="17"/>
              </w:rPr>
              <w:t>ISS-07</w:t>
            </w:r>
          </w:p>
        </w:tc>
        <w:tc>
          <w:tcPr>
            <w:tcW w:type="dxa" w:w="3312"/>
          </w:tcPr>
          <w:p>
            <w:r>
              <w:rPr>
                <w:sz w:val="17"/>
              </w:rPr>
              <w:t>Equipment &amp; installation</w:t>
            </w:r>
          </w:p>
        </w:tc>
        <w:tc>
          <w:tcPr>
            <w:tcW w:type="dxa" w:w="4320"/>
          </w:tcPr>
          <w:p>
            <w:r>
              <w:rPr>
                <w:sz w:val="17"/>
              </w:rPr>
              <w:t>Waive/fold equipment; free install</w:t>
            </w:r>
          </w:p>
        </w:tc>
        <w:tc>
          <w:tcPr>
            <w:tcW w:type="dxa" w:w="1872"/>
          </w:tcPr>
          <w:p>
            <w:r>
              <w:rPr>
                <w:sz w:val="17"/>
              </w:rPr>
              <w:t>Product + CFO</w:t>
            </w:r>
          </w:p>
        </w:tc>
      </w:tr>
      <w:tr>
        <w:tc>
          <w:tcPr>
            <w:tcW w:type="dxa" w:w="1008"/>
          </w:tcPr>
          <w:p>
            <w:r>
              <w:rPr>
                <w:sz w:val="17"/>
              </w:rPr>
              <w:t>ISS-06</w:t>
            </w:r>
          </w:p>
        </w:tc>
        <w:tc>
          <w:tcPr>
            <w:tcW w:type="dxa" w:w="3312"/>
          </w:tcPr>
          <w:p>
            <w:r>
              <w:rPr>
                <w:sz w:val="17"/>
              </w:rPr>
              <w:t>Lumbee Tribe funding</w:t>
            </w:r>
          </w:p>
        </w:tc>
        <w:tc>
          <w:tcPr>
            <w:tcW w:type="dxa" w:w="4320"/>
          </w:tcPr>
          <w:p>
            <w:r>
              <w:rPr>
                <w:sz w:val="17"/>
              </w:rPr>
              <w:t>Pursue via MOU; base case $0</w:t>
            </w:r>
          </w:p>
        </w:tc>
        <w:tc>
          <w:tcPr>
            <w:tcW w:type="dxa" w:w="1872"/>
          </w:tcPr>
          <w:p>
            <w:r>
              <w:rPr>
                <w:sz w:val="17"/>
              </w:rPr>
              <w:t>Exec Sponsor + Tribe</w:t>
            </w:r>
          </w:p>
        </w:tc>
      </w:tr>
    </w:tbl>
    <w:p>
      <w:pPr>
        <w:pStyle w:val="Heading1"/>
      </w:pPr>
      <w:r>
        <w:t>6. Gate before public launch</w:t>
      </w:r>
    </w:p>
    <w:p>
      <w:r>
        <w:rPr>
          <w:b w:val="0"/>
          <w:i w:val="0"/>
          <w:sz w:val="21"/>
        </w:rPr>
        <w:t>No public launch until: (a) all onboarding steps in §3 are complete; (b) a controlled pilot (≤25–50 existing customers) passes a clean three-way reconciliation (NISC ↔ NLAD ↔ LCS); and (c) the Executive Readiness Scorecard (Deliverable 12) is green on every gate — including the Tribal-lands determination. Then set the annual filing calendar: FCC Form 481 (~July 1) and Form 555 (~Jan 31, + ECFS Docket 14-171).</w:t>
      </w:r>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Re-verify current benefit amounts, minimum service standards, and form deadlines against the live USAC/FCC pages at onboarding — the source register was compiled earlier in 2026.</w:t>
            </w:r>
          </w:p>
        </w:tc>
      </w:tr>
    </w:tbl>
    <w:p>
      <w:r>
        <w:br w:type="page"/>
      </w:r>
    </w:p>
    <w:p>
      <w:pPr>
        <w:pStyle w:val="Heading2"/>
      </w:pPr>
      <w:r>
        <w:t>Revision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2E5496"/>
          </w:tcPr>
          <w:p>
            <w:r>
              <w:rPr>
                <w:b/>
                <w:color w:val="FFFFFF"/>
                <w:sz w:val="19"/>
              </w:rPr>
              <w:t>Version</w:t>
            </w:r>
          </w:p>
        </w:tc>
        <w:tc>
          <w:tcPr>
            <w:tcW w:type="dxa" w:w="1728"/>
            <w:shd w:val="clear" w:fill="2E5496"/>
          </w:tcPr>
          <w:p>
            <w:r>
              <w:rPr>
                <w:b/>
                <w:color w:val="FFFFFF"/>
                <w:sz w:val="19"/>
              </w:rPr>
              <w:t>Date</w:t>
            </w:r>
          </w:p>
        </w:tc>
        <w:tc>
          <w:tcPr>
            <w:tcW w:type="dxa" w:w="1728"/>
            <w:shd w:val="clear" w:fill="2E5496"/>
          </w:tcPr>
          <w:p>
            <w:r>
              <w:rPr>
                <w:b/>
                <w:color w:val="FFFFFF"/>
                <w:sz w:val="19"/>
              </w:rPr>
              <w:t>Author</w:t>
            </w:r>
          </w:p>
        </w:tc>
        <w:tc>
          <w:tcPr>
            <w:tcW w:type="dxa" w:w="1728"/>
            <w:shd w:val="clear" w:fill="2E5496"/>
          </w:tcPr>
          <w:p>
            <w:r>
              <w:rPr>
                <w:b/>
                <w:color w:val="FFFFFF"/>
                <w:sz w:val="19"/>
              </w:rPr>
              <w:t>Summary of change</w:t>
            </w:r>
          </w:p>
        </w:tc>
        <w:tc>
          <w:tcPr>
            <w:tcW w:type="dxa" w:w="1728"/>
            <w:shd w:val="clear" w:fill="2E5496"/>
          </w:tcPr>
          <w:p>
            <w:r>
              <w:rPr>
                <w:b/>
                <w:color w:val="FFFFFF"/>
                <w:sz w:val="19"/>
              </w:rPr>
              <w:t>Approved by</w:t>
            </w:r>
          </w:p>
        </w:tc>
      </w:tr>
      <w:tr>
        <w:tc>
          <w:tcPr>
            <w:tcW w:type="dxa" w:w="1728"/>
          </w:tcPr>
          <w:p>
            <w:r>
              <w:rPr>
                <w:sz w:val="19"/>
              </w:rPr>
              <w:t>v0.1</w:t>
            </w:r>
          </w:p>
        </w:tc>
        <w:tc>
          <w:tcPr>
            <w:tcW w:type="dxa" w:w="1728"/>
          </w:tcPr>
          <w:p>
            <w:r>
              <w:rPr>
                <w:sz w:val="19"/>
              </w:rPr>
              <w:t>(build)</w:t>
            </w:r>
          </w:p>
        </w:tc>
        <w:tc>
          <w:tcPr>
            <w:tcW w:type="dxa" w:w="1728"/>
          </w:tcPr>
          <w:p>
            <w:r>
              <w:rPr>
                <w:sz w:val="19"/>
              </w:rPr>
              <w:t>Program build</w:t>
            </w:r>
          </w:p>
        </w:tc>
        <w:tc>
          <w:tcPr>
            <w:tcW w:type="dxa" w:w="1728"/>
          </w:tcPr>
          <w:p>
            <w:r>
              <w:rPr>
                <w:sz w:val="19"/>
              </w:rPr>
              <w:t>Initial draft for internal review</w:t>
            </w:r>
          </w:p>
        </w:tc>
        <w:tc>
          <w:tcPr>
            <w:tcW w:type="dxa" w:w="1728"/>
          </w:tcPr>
          <w:p>
            <w:r>
              <w:rPr>
                <w:sz w:val="19"/>
              </w:rPr>
              <w:t>(pending)</w:t>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bl>
    <w:p/>
    <w:p>
      <w:r>
        <w:rPr>
          <w:b w:val="0"/>
          <w:i/>
          <w:color w:val="595959"/>
          <w:sz w:val="18"/>
        </w:rPr>
        <w:t>This is a build-phase draft. All figures, prices, and regulatory determinations are subject to confirmation per the Open Issues &amp; Legal Decisions Log (Deliverable 13) and the Regulatory Source Register (Deliverable 00). Do not launch, market, or bill against this document until the final NCUC ETC order is issued and USAC onboarding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