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DOCUMENT 02.02 — INDEFEASIBLE RIGHT OF USE AGREEMENT</w:t>
      </w:r>
    </w:p>
    <w:p>
      <w:pPr>
        <w:jc w:val="center"/>
      </w:pPr>
      <w:r>
        <w:rPr>
          <w:b/>
          <w:color w:val="1F3864"/>
          <w:sz w:val="48"/>
        </w:rPr>
        <w:t>Indefeasible Right of Use Agreement</w:t>
      </w:r>
    </w:p>
    <w:p>
      <w:pPr>
        <w:jc w:val="center"/>
      </w:pPr>
      <w:r>
        <w:rPr>
          <w:color w:val="595959"/>
          <w:sz w:val="28"/>
        </w:rPr>
        <w:t>Grant of a bare contractual right of use in Tribally owned, grant-funded broadband infrastructure — title retained by the Tribe</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p>
      <w:r>
        <w:rPr>
          <w:b w:val="0"/>
          <w:i w:val="0"/>
        </w:rPr>
        <w:t xml:space="preserve">This Indefeasible Right of Use Agreement (this “Agreement” or the “IRU Agreement”) is made and entered into as of </w:t>
      </w:r>
      <w:r>
        <w:rPr>
          <w:b w:val="0"/>
          <w:i w:val="0"/>
          <w:color w:val="804000"/>
          <w:highlight w:val="yellow"/>
        </w:rPr>
        <w:t>[■ Effective Date]</w:t>
      </w:r>
      <w:r>
        <w:rPr>
          <w:b w:val="0"/>
          <w:i w:val="0"/>
        </w:rPr>
        <w:t xml:space="preserve"> (the “Effective Date”), by and between Lumbee Tribe of North Carolina, a federally recognized Indian tribe (together with, where applicable, a wholly owned Tribal entity or Tribally chartered instrumentality designated by the Tribe, the “Tribe” and, in its capacity as grantor hereunder, the “IRU Grantor”), and LREMC Technologies, LLC d/b/a RIVR Tech (“RIVR Tech” and, in its capacity as grantee hereunder, the “IRU Grantee”). The Tribe and RIVR Tech are each a “Party” and together the “Parties.”</w:t>
      </w:r>
    </w:p>
    <w:p>
      <w:pPr>
        <w:ind w:left="504"/>
      </w:pPr>
      <w:r>
        <w:rPr>
          <w:b/>
          <w:color w:val="0000C0"/>
        </w:rPr>
        <w:t xml:space="preserve">[ATTORNEY REVIEW REQUIRED]  </w:t>
      </w:r>
      <w:r>
        <w:rPr>
          <w:i/>
          <w:color w:val="595959"/>
        </w:rPr>
        <w:t>Confirm the exact contracting Tribal party. If a wholly owned Tribal entity or Tribally chartered instrumentality is designated as IRU Grantor in lieu of the Tribe itself, conform the preamble, signature block, and Exhibit A ownership recitals accordingly, and confirm that the designated entity holds record title to the Tribal Assets.</w:t>
      </w:r>
    </w:p>
    <w:p>
      <w:pPr>
        <w:ind w:left="504"/>
      </w:pPr>
      <w:r>
        <w:rPr>
          <w:b/>
          <w:color w:val="7F007F"/>
        </w:rPr>
        <w:t xml:space="preserve">[GRANT COMPLIANCE REVIEW REQUIRED]  </w:t>
      </w:r>
      <w:r>
        <w:rPr>
          <w:i/>
          <w:color w:val="595959"/>
        </w:rPr>
        <w:t>Federal-recognition and TBCP eligibility gate: the Lumbee Tribe's recognition status under the Lumbee Act of 1956 (Pub. L. 84-570) has historically been read to limit access to certain federal Indian programs. TBCP eligibility, the identity of the eligible entity, and the ability to hold the Award and the grant-funded assets in the Tribe's name must be confirmed with NTIA before execution. See Lumbee Act of 1956, Pub. L. 84-570, 70 Stat. 254 (federal-recognition status affecting TBCP eligibility).</w:t>
      </w:r>
    </w:p>
    <w:p>
      <w:pPr>
        <w:pStyle w:val="Heading1"/>
        <w:spacing w:before="240" w:after="120"/>
      </w:pPr>
      <w:r>
        <w:rPr>
          <w:rFonts w:ascii="Calibri" w:hAnsi="Calibri"/>
          <w:b/>
          <w:color w:val="1F3864"/>
          <w:sz w:val="26"/>
        </w:rPr>
        <w:t>ARTICLE 1.  RECITALS AND BACKGROUND</w:t>
      </w:r>
    </w:p>
    <w:p>
      <w:r>
        <w:rPr>
          <w:b w:val="0"/>
          <w:i w:val="0"/>
        </w:rPr>
        <w:t>The Parties enter into this Agreement on the basis of the following, each of which is incorporated into the operative provisions:</w:t>
      </w:r>
    </w:p>
    <w:p>
      <w:pPr>
        <w:ind w:left="504"/>
      </w:pPr>
      <w:r>
        <w:rPr>
          <w:b/>
        </w:rPr>
        <w:t xml:space="preserve">(A)  </w:t>
      </w:r>
      <w:r>
        <w:rPr>
          <w:b w:val="0"/>
          <w:i w:val="0"/>
        </w:rPr>
        <w:t>The Tribe is the recipient (or designated eligible entity) of a federal award under the Tribal Broadband Connectivity Program (TBCP) administered by the National Telecommunications and Information Administration (NTIA) (the “Award”), pursuant to the TBCP Round 3 Notice of Funding Opportunity and the associated Specific Award Conditions, for the deployment of qualifying broadband infrastructure serving southeastern North Carolina (the “Service Territory”).</w:t>
      </w:r>
    </w:p>
    <w:p>
      <w:pPr>
        <w:ind w:left="504"/>
      </w:pPr>
      <w:r>
        <w:rPr>
          <w:b/>
        </w:rPr>
        <w:t xml:space="preserve">(B)  </w:t>
      </w:r>
      <w:r>
        <w:rPr>
          <w:b w:val="0"/>
          <w:i w:val="0"/>
        </w:rPr>
        <w:t>With Award funds, the Tribe has designed, constructed, or caused to be constructed certain broadband infrastructure that is owned by the Tribe and subject to a continuing federal interest (the “Tribal Assets”), as more particularly identified in the Exhibits.</w:t>
      </w:r>
    </w:p>
    <w:p>
      <w:pPr>
        <w:ind w:left="504"/>
      </w:pPr>
      <w:r>
        <w:rPr>
          <w:b/>
        </w:rPr>
        <w:t xml:space="preserve">(C)  </w:t>
      </w:r>
      <w:r>
        <w:rPr>
          <w:b w:val="0"/>
          <w:i w:val="0"/>
        </w:rPr>
        <w:t>RIVR Tech owns and operates an existing middle-mile, backbone, and core network, together with related electronics, transport, and support systems (the “RIVR Tech Existing Network”), which the Tribal Assets interconnect with at defined Demarcation Points to form a single, integrated, hybrid broadband Network (the “Network”).</w:t>
      </w:r>
    </w:p>
    <w:p>
      <w:pPr>
        <w:ind w:left="504"/>
      </w:pPr>
      <w:r>
        <w:rPr>
          <w:b/>
        </w:rPr>
        <w:t xml:space="preserve">(D)  </w:t>
      </w:r>
      <w:r>
        <w:rPr>
          <w:b w:val="0"/>
          <w:i w:val="0"/>
        </w:rPr>
        <w:t>The Tribe desires to grant to RIVR Tech, and RIVR Tech desires to accept, an indefeasible right to use specified capacity in the Tribal Assets (the “IRU”) for the purpose of operating the Network and delivering broadband and related services throughout the Service Territory, all as a bare contractual right and without any transfer of title.</w:t>
      </w:r>
    </w:p>
    <w:p>
      <w:pPr>
        <w:ind w:left="504"/>
      </w:pPr>
      <w:r>
        <w:rPr>
          <w:b/>
        </w:rPr>
        <w:t xml:space="preserve">(E)  </w:t>
      </w:r>
      <w:r>
        <w:rPr>
          <w:b w:val="0"/>
          <w:i w:val="0"/>
        </w:rPr>
        <w:t>The Parties intend that this Agreement, and all rights granted hereunder, be fully subordinate to and consistent with the Award, the requirements of 2 CFR Part 200 (Uniform Administrative Requirements, Cost Principles, and Audit Requirements for Federal Awards), and all other applicable federal requirements, and that nothing herein impair the Federal Interest in the Tribal Assets.</w:t>
      </w:r>
    </w:p>
    <w:p>
      <w:r>
        <w:rPr>
          <w:b w:val="0"/>
          <w:i w:val="0"/>
        </w:rPr>
        <w:t>NOW, THEREFORE, in consideration of the mutual covenants and conditions set forth herein, and for other good and valuable consideration, the receipt and sufficiency of which are acknowledged, the Parties agree as follows:</w:t>
      </w:r>
    </w:p>
    <w:p>
      <w:pPr>
        <w:pStyle w:val="Heading1"/>
        <w:spacing w:before="240" w:after="120"/>
      </w:pPr>
      <w:r>
        <w:rPr>
          <w:rFonts w:ascii="Calibri" w:hAnsi="Calibri"/>
          <w:b/>
          <w:color w:val="1F3864"/>
          <w:sz w:val="26"/>
        </w:rPr>
        <w:t>ARTICLE 2.  DEFINITIONS AND INTERPRETATION</w:t>
      </w:r>
    </w:p>
    <w:p>
      <w:pPr>
        <w:pStyle w:val="Heading2"/>
        <w:spacing w:before="160" w:after="60"/>
      </w:pPr>
      <w:r>
        <w:rPr>
          <w:rFonts w:ascii="Calibri" w:hAnsi="Calibri"/>
          <w:b/>
          <w:color w:val="000000"/>
          <w:sz w:val="22"/>
        </w:rPr>
        <w:t>2.1  Defined Terms</w:t>
      </w:r>
    </w:p>
    <w:p>
      <w:r>
        <w:rPr>
          <w:b w:val="0"/>
          <w:i w:val="0"/>
        </w:rPr>
        <w:t>Capitalized terms have the meanings given below or where first defined in this Agreement. Terms defined in the Award, the NOFO, or 2 CFR Part 200 (Uniform Administrative Requirements, Cost Principles, and Audit Requirements for Federal Awards) have the meanings given there unless the context requires otherwise.</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1F3864"/>
            <w:vAlign w:val="center"/>
          </w:tcPr>
          <w:p>
            <w:pPr>
              <w:jc w:val="center"/>
            </w:pPr>
            <w:r>
              <w:rPr>
                <w:b/>
                <w:color w:val="FFFFFF"/>
                <w:sz w:val="18"/>
              </w:rPr>
              <w:t>Defined Term</w:t>
            </w:r>
          </w:p>
        </w:tc>
        <w:tc>
          <w:tcPr>
            <w:tcW w:type="dxa" w:w="6624"/>
            <w:shd w:val="clear" w:color="auto" w:fill="1F3864"/>
            <w:vAlign w:val="center"/>
          </w:tcPr>
          <w:p>
            <w:pPr>
              <w:jc w:val="center"/>
            </w:pPr>
            <w:r>
              <w:rPr>
                <w:b/>
                <w:color w:val="FFFFFF"/>
                <w:sz w:val="18"/>
              </w:rPr>
              <w:t>Meaning</w:t>
            </w:r>
          </w:p>
        </w:tc>
      </w:tr>
      <w:tr>
        <w:tc>
          <w:tcPr>
            <w:tcW w:type="dxa" w:w="2736"/>
            <w:vAlign w:val="center"/>
          </w:tcPr>
          <w:p>
            <w:r>
              <w:rPr>
                <w:b w:val="0"/>
                <w:i w:val="0"/>
                <w:sz w:val="18"/>
              </w:rPr>
              <w:t>“Award”</w:t>
            </w:r>
          </w:p>
        </w:tc>
        <w:tc>
          <w:tcPr>
            <w:tcW w:type="dxa" w:w="6624"/>
            <w:vAlign w:val="center"/>
          </w:tcPr>
          <w:p>
            <w:r>
              <w:rPr>
                <w:b w:val="0"/>
                <w:i w:val="0"/>
                <w:sz w:val="18"/>
              </w:rPr>
              <w:t>the TBCP federal financial assistance award (including the notice of award, budget, Specific Award Conditions, and NTIA Standard Terms and Conditions) under which the Tribal Assets were funded.</w:t>
            </w:r>
          </w:p>
        </w:tc>
      </w:tr>
      <w:tr>
        <w:tc>
          <w:tcPr>
            <w:tcW w:type="dxa" w:w="2736"/>
            <w:shd w:val="clear" w:color="auto" w:fill="F2F2F2"/>
            <w:vAlign w:val="center"/>
          </w:tcPr>
          <w:p>
            <w:r>
              <w:rPr>
                <w:b w:val="0"/>
                <w:i w:val="0"/>
                <w:sz w:val="18"/>
              </w:rPr>
              <w:t>“Demarcation Point”</w:t>
            </w:r>
          </w:p>
        </w:tc>
        <w:tc>
          <w:tcPr>
            <w:tcW w:type="dxa" w:w="6624"/>
            <w:shd w:val="clear" w:color="auto" w:fill="F2F2F2"/>
            <w:vAlign w:val="center"/>
          </w:tcPr>
          <w:p>
            <w:r>
              <w:rPr>
                <w:b w:val="0"/>
                <w:i w:val="0"/>
                <w:sz w:val="18"/>
              </w:rPr>
              <w:t>each physical and logical point of interconnection, identified in Exhibit B, at which responsibility, ownership, and operational control transition between the Tribal Assets and the RIVR Tech Existing Network.</w:t>
            </w:r>
          </w:p>
        </w:tc>
      </w:tr>
      <w:tr>
        <w:tc>
          <w:tcPr>
            <w:tcW w:type="dxa" w:w="2736"/>
            <w:vAlign w:val="center"/>
          </w:tcPr>
          <w:p>
            <w:r>
              <w:rPr>
                <w:b w:val="0"/>
                <w:i w:val="0"/>
                <w:sz w:val="18"/>
              </w:rPr>
              <w:t>“Federal Interest”</w:t>
            </w:r>
          </w:p>
        </w:tc>
        <w:tc>
          <w:tcPr>
            <w:tcW w:type="dxa" w:w="6624"/>
            <w:vAlign w:val="center"/>
          </w:tcPr>
          <w:p>
            <w:r>
              <w:rPr>
                <w:b w:val="0"/>
                <w:i w:val="0"/>
                <w:sz w:val="18"/>
              </w:rPr>
              <w:t>the continuing interest of the United States, acting through NTIA, in the Tribal Assets and any proceeds thereof, arising under the Award and 2 CFR 200.311 (Real property — use, encumbrance, and disposition), 2 CFR 200.313 (Equipment — use, management, and disposition), and 2 CFR 200.316 (Property trust relationship).</w:t>
            </w:r>
          </w:p>
        </w:tc>
      </w:tr>
      <w:tr>
        <w:tc>
          <w:tcPr>
            <w:tcW w:type="dxa" w:w="2736"/>
            <w:shd w:val="clear" w:color="auto" w:fill="F2F2F2"/>
            <w:vAlign w:val="center"/>
          </w:tcPr>
          <w:p>
            <w:r>
              <w:rPr>
                <w:b w:val="0"/>
                <w:i w:val="0"/>
                <w:sz w:val="18"/>
              </w:rPr>
              <w:t>“IRU Capacity”</w:t>
            </w:r>
          </w:p>
        </w:tc>
        <w:tc>
          <w:tcPr>
            <w:tcW w:type="dxa" w:w="6624"/>
            <w:shd w:val="clear" w:color="auto" w:fill="F2F2F2"/>
            <w:vAlign w:val="center"/>
          </w:tcPr>
          <w:p>
            <w:r>
              <w:rPr>
                <w:b w:val="0"/>
                <w:i w:val="0"/>
                <w:sz w:val="18"/>
              </w:rPr>
              <w:t>the specific fiber strands, wavelengths, conduit, and passive capacity in the Tribal Assets in which the right of use is granted, as allocated in Exhibit C, exclusive of the Reserved Tribal Capacity.</w:t>
            </w:r>
          </w:p>
        </w:tc>
      </w:tr>
      <w:tr>
        <w:tc>
          <w:tcPr>
            <w:tcW w:type="dxa" w:w="2736"/>
            <w:vAlign w:val="center"/>
          </w:tcPr>
          <w:p>
            <w:r>
              <w:rPr>
                <w:b w:val="0"/>
                <w:i w:val="0"/>
                <w:sz w:val="18"/>
              </w:rPr>
              <w:t>“Reserved Tribal Capacity”</w:t>
            </w:r>
          </w:p>
        </w:tc>
        <w:tc>
          <w:tcPr>
            <w:tcW w:type="dxa" w:w="6624"/>
            <w:vAlign w:val="center"/>
          </w:tcPr>
          <w:p>
            <w:r>
              <w:rPr>
                <w:b w:val="0"/>
                <w:i w:val="0"/>
                <w:sz w:val="18"/>
              </w:rPr>
              <w:t>the fiber strands, wavelengths, and related capacity reserved to the Tribe under Article 8, dedicated to Tribal government, public safety, and anchor-institution use.</w:t>
            </w:r>
          </w:p>
        </w:tc>
      </w:tr>
      <w:tr>
        <w:tc>
          <w:tcPr>
            <w:tcW w:type="dxa" w:w="2736"/>
            <w:shd w:val="clear" w:color="auto" w:fill="F2F2F2"/>
            <w:vAlign w:val="center"/>
          </w:tcPr>
          <w:p>
            <w:r>
              <w:rPr>
                <w:b w:val="0"/>
                <w:i w:val="0"/>
                <w:sz w:val="18"/>
              </w:rPr>
              <w:t>“Tribal Assets”</w:t>
            </w:r>
          </w:p>
        </w:tc>
        <w:tc>
          <w:tcPr>
            <w:tcW w:type="dxa" w:w="6624"/>
            <w:shd w:val="clear" w:color="auto" w:fill="F2F2F2"/>
            <w:vAlign w:val="center"/>
          </w:tcPr>
          <w:p>
            <w:r>
              <w:rPr>
                <w:b w:val="0"/>
                <w:i w:val="0"/>
                <w:sz w:val="18"/>
              </w:rPr>
              <w:t>the grant-funded broadband infrastructure owned by the Tribe and identified in the Exhibits, together with all associated Federal Interest, as further described in Section 4.2.</w:t>
            </w:r>
          </w:p>
        </w:tc>
      </w:tr>
      <w:tr>
        <w:tc>
          <w:tcPr>
            <w:tcW w:type="dxa" w:w="2736"/>
            <w:vAlign w:val="center"/>
          </w:tcPr>
          <w:p>
            <w:r>
              <w:rPr>
                <w:b w:val="0"/>
                <w:i w:val="0"/>
                <w:sz w:val="18"/>
              </w:rPr>
              <w:t>“Essential Services”</w:t>
            </w:r>
          </w:p>
        </w:tc>
        <w:tc>
          <w:tcPr>
            <w:tcW w:type="dxa" w:w="6624"/>
            <w:vAlign w:val="center"/>
          </w:tcPr>
          <w:p>
            <w:r>
              <w:rPr>
                <w:b w:val="0"/>
                <w:i w:val="0"/>
                <w:sz w:val="18"/>
              </w:rPr>
              <w:t>911/E-911, public-safety, Tribal-government, and anchor-institution connectivity, and any service designated as essential under the Award or applicable law.</w:t>
            </w:r>
          </w:p>
        </w:tc>
      </w:tr>
    </w:tbl>
    <w:p>
      <w:pPr>
        <w:pStyle w:val="Heading2"/>
        <w:spacing w:before="160" w:after="60"/>
      </w:pPr>
      <w:r>
        <w:rPr>
          <w:rFonts w:ascii="Calibri" w:hAnsi="Calibri"/>
          <w:b/>
          <w:color w:val="000000"/>
          <w:sz w:val="22"/>
        </w:rPr>
        <w:t>2.2  Rules of Interpretation</w:t>
      </w:r>
    </w:p>
    <w:p>
      <w:r>
        <w:rPr>
          <w:b w:val="0"/>
          <w:i w:val="0"/>
        </w:rPr>
        <w:t>Headings are for convenience only. “Including” means “including without limitation.” References to statutes, regulations, and the Award include successors and amendments. In any conflict between the body of this Agreement and an Exhibit, the body controls except as to technical descriptions, which are governed by the Exhibits. In any conflict between this Agreement and the Award or applicable federal requirements, the Award and federal requirements control, as provided in Article 14.</w:t>
      </w:r>
    </w:p>
    <w:p>
      <w:pPr>
        <w:pStyle w:val="Heading1"/>
        <w:spacing w:before="240" w:after="120"/>
      </w:pPr>
      <w:r>
        <w:rPr>
          <w:rFonts w:ascii="Calibri" w:hAnsi="Calibri"/>
          <w:b/>
          <w:color w:val="1F3864"/>
          <w:sz w:val="26"/>
        </w:rPr>
        <w:t>ARTICLE 3.  GRANT OF INDEFEASIBLE RIGHT OF USE</w:t>
      </w:r>
    </w:p>
    <w:p>
      <w:pPr>
        <w:pStyle w:val="Heading2"/>
        <w:spacing w:before="160" w:after="60"/>
      </w:pPr>
      <w:r>
        <w:rPr>
          <w:rFonts w:ascii="Calibri" w:hAnsi="Calibri"/>
          <w:b/>
          <w:color w:val="000000"/>
          <w:sz w:val="22"/>
        </w:rPr>
        <w:t>3.1  Grant</w:t>
      </w:r>
    </w:p>
    <w:p>
      <w:r>
        <w:rPr>
          <w:b w:val="0"/>
          <w:i w:val="0"/>
        </w:rPr>
        <w:t>Subject to the terms of this Agreement and the Award, the Tribe, as IRU Grantor, hereby grants to RIVR Tech, as IRU Grantee, an exclusive (as to third parties, but subject to the Reserved Tribal Capacity and the Tribe's retained rights) indefeasible right to use the IRU Capacity in the Tribal Assets for the Permitted Uses during the Term. The IRU granted hereunder is a right of use only.</w:t>
      </w:r>
    </w:p>
    <w:p>
      <w:pPr>
        <w:pStyle w:val="Heading2"/>
        <w:spacing w:before="160" w:after="60"/>
      </w:pPr>
      <w:r>
        <w:rPr>
          <w:rFonts w:ascii="Calibri" w:hAnsi="Calibri"/>
          <w:b/>
          <w:color w:val="000000"/>
          <w:sz w:val="22"/>
        </w:rPr>
        <w:t>3.2  Nature of the Right</w:t>
      </w:r>
    </w:p>
    <w:p>
      <w:r>
        <w:rPr>
          <w:b w:val="0"/>
          <w:i w:val="0"/>
        </w:rPr>
        <w:t>The IRU is a bare contractual right of use. It is not a lease of real property, does not create any leasehold, tenancy, easement in gross, or possessory estate in favor of RIVR Tech, and does not convey any right, title, or ownership interest in the Tribal Assets, the underlying real property, or any easement or access right, all of which are and remain vested in the Tribe.</w:t>
      </w:r>
    </w:p>
    <w:p>
      <w:pPr>
        <w:pStyle w:val="Heading2"/>
        <w:spacing w:before="160" w:after="60"/>
      </w:pPr>
      <w:r>
        <w:rPr>
          <w:rFonts w:ascii="Calibri" w:hAnsi="Calibri"/>
          <w:b/>
          <w:color w:val="000000"/>
          <w:sz w:val="22"/>
        </w:rPr>
        <w:t>3.3  TITLE DOES NOT TRANSFER; Tribe Retains Ownership</w:t>
      </w:r>
    </w:p>
    <w:p>
      <w:r>
        <w:rPr>
          <w:b/>
          <w:i w:val="0"/>
        </w:rPr>
        <w:t>NOTWITHSTANDING ANYTHING TO THE CONTRARY IN THIS AGREEMENT: legal and equitable title to, and fee ownership of, the Tribal Assets is retained at all times by the Tribe and does NOT transfer to RIVR Tech under this Agreement, upon delivery, upon acceptance, upon payment of any consideration, or upon expiration or termination. RIVR Tech acquires only the contractual right of use expressly granted in Section 3.1.</w:t>
      </w:r>
    </w:p>
    <w:p>
      <w:pPr>
        <w:ind w:left="504"/>
      </w:pPr>
      <w:r>
        <w:rPr>
          <w:b/>
        </w:rPr>
        <w:t xml:space="preserve">(a)  </w:t>
      </w:r>
      <w:r>
        <w:rPr>
          <w:b w:val="0"/>
          <w:i w:val="0"/>
        </w:rPr>
        <w:t>The Tribal Assets were acquired with federal award funds and are subject to the Federal Interest and to a property trust relationship under 2 CFR 200.316 (Property trust relationship), pursuant to which the Tribe holds the Tribal Assets in trust for the beneficiaries of the Award and may not use, encumber, or dispose of them except as permitted by 2 CFR 200.311 (Real property — use, encumbrance, and disposition) and 2 CFR 200.313 (Equipment — use, management, and disposition).</w:t>
      </w:r>
    </w:p>
    <w:p>
      <w:pPr>
        <w:ind w:left="504"/>
      </w:pPr>
      <w:r>
        <w:rPr>
          <w:b/>
        </w:rPr>
        <w:t xml:space="preserve">(b)  </w:t>
      </w:r>
      <w:r>
        <w:rPr>
          <w:b w:val="0"/>
          <w:i w:val="0"/>
        </w:rPr>
        <w:t>RIVR Tech acknowledges the Federal Interest, disclaims any ownership claim to the Tribal Assets, and agrees that this Agreement is consistent with the use and encumbrance limitations of 2 CFR 200.311 (Real property — use, encumbrance, and disposition) and the disposition rules of 2 CFR 200.313 (Equipment — use, management, and disposition) (as revised by 2 CFR Part 200, as revised effective October 1, 2024 (equipment/supplies and disposition threshold $10,000; single-audit threshold $1,000,000)).</w:t>
      </w:r>
    </w:p>
    <w:p>
      <w:pPr>
        <w:ind w:left="504"/>
      </w:pPr>
      <w:r>
        <w:rPr>
          <w:b/>
        </w:rPr>
        <w:t xml:space="preserve">(c)  </w:t>
      </w:r>
      <w:r>
        <w:rPr>
          <w:b w:val="0"/>
          <w:i w:val="0"/>
        </w:rPr>
        <w:t>Nothing herein grants RIVR Tech any reversionary, residual, or purchase right in the Tribal Assets. Any change in ownership, disposition, or transfer of the Tribal Assets is governed solely by the Award, 2 CFR Part 200 (Uniform Administrative Requirements, Cost Principles, and Audit Requirements for Federal Awards), and prior written NTIA approval where required.</w:t>
      </w:r>
    </w:p>
    <w:p>
      <w:pPr>
        <w:pStyle w:val="Heading1"/>
        <w:spacing w:before="240" w:after="120"/>
      </w:pPr>
      <w:r>
        <w:rPr>
          <w:rFonts w:ascii="Calibri" w:hAnsi="Calibri"/>
          <w:b/>
          <w:color w:val="1F3864"/>
          <w:sz w:val="26"/>
        </w:rPr>
        <w:t>ARTICLE 4.  IRU ASSETS, EXHIBITS, AND DEMARCATION POINTS</w:t>
      </w:r>
    </w:p>
    <w:p>
      <w:pPr>
        <w:pStyle w:val="Heading2"/>
        <w:spacing w:before="160" w:after="60"/>
      </w:pPr>
      <w:r>
        <w:rPr>
          <w:rFonts w:ascii="Calibri" w:hAnsi="Calibri"/>
          <w:b/>
          <w:color w:val="000000"/>
          <w:sz w:val="22"/>
        </w:rPr>
        <w:t>4.1  Identification via Exhibits</w:t>
      </w:r>
    </w:p>
    <w:p>
      <w:r>
        <w:rPr>
          <w:b w:val="0"/>
          <w:i w:val="0"/>
        </w:rPr>
        <w:t>The Tribal Assets and the IRU Capacity are identified in, and this Agreement incorporates by reference, the following Exhibits:</w:t>
      </w:r>
    </w:p>
    <w:tbl>
      <w:tblPr>
        <w:tblStyle w:val="TableGrid"/>
        <w:tblW w:type="auto" w:w="0"/>
        <w:jc w:val="center"/>
        <w:tblLook w:firstColumn="1" w:firstRow="1" w:lastColumn="0" w:lastRow="0" w:noHBand="0" w:noVBand="1" w:val="04A0"/>
      </w:tblPr>
      <w:tblGrid>
        <w:gridCol w:w="4680"/>
        <w:gridCol w:w="4680"/>
      </w:tblGrid>
      <w:tr>
        <w:tc>
          <w:tcPr>
            <w:tcW w:type="dxa" w:w="3024"/>
            <w:shd w:val="clear" w:color="auto" w:fill="1F3864"/>
            <w:vAlign w:val="center"/>
          </w:tcPr>
          <w:p>
            <w:pPr>
              <w:jc w:val="center"/>
            </w:pPr>
            <w:r>
              <w:rPr>
                <w:b/>
                <w:color w:val="FFFFFF"/>
                <w:sz w:val="18"/>
              </w:rPr>
              <w:t>Exhibit</w:t>
            </w:r>
          </w:p>
        </w:tc>
        <w:tc>
          <w:tcPr>
            <w:tcW w:type="dxa" w:w="6336"/>
            <w:shd w:val="clear" w:color="auto" w:fill="1F3864"/>
            <w:vAlign w:val="center"/>
          </w:tcPr>
          <w:p>
            <w:pPr>
              <w:jc w:val="center"/>
            </w:pPr>
            <w:r>
              <w:rPr>
                <w:b/>
                <w:color w:val="FFFFFF"/>
                <w:sz w:val="18"/>
              </w:rPr>
              <w:t>Contents</w:t>
            </w:r>
          </w:p>
        </w:tc>
      </w:tr>
      <w:tr>
        <w:tc>
          <w:tcPr>
            <w:tcW w:type="dxa" w:w="3024"/>
            <w:vAlign w:val="center"/>
          </w:tcPr>
          <w:p>
            <w:r>
              <w:rPr>
                <w:b w:val="0"/>
                <w:i w:val="0"/>
                <w:sz w:val="18"/>
              </w:rPr>
              <w:t>Exhibit A — Route Schedule</w:t>
            </w:r>
          </w:p>
        </w:tc>
        <w:tc>
          <w:tcPr>
            <w:tcW w:type="dxa" w:w="6336"/>
            <w:vAlign w:val="center"/>
          </w:tcPr>
          <w:p>
            <w:r>
              <w:rPr>
                <w:b w:val="0"/>
                <w:i w:val="0"/>
                <w:sz w:val="18"/>
              </w:rPr>
              <w:t xml:space="preserve">Route-by-route description of the Tribal Assets, including segment identifiers, endpoints, mileage, and ownership attestation. </w:t>
            </w:r>
            <w:r>
              <w:rPr>
                <w:b w:val="0"/>
                <w:i w:val="0"/>
                <w:color w:val="804000"/>
                <w:sz w:val="18"/>
                <w:highlight w:val="yellow"/>
              </w:rPr>
              <w:t>[■ route list, segment IDs, and mileage to be attached]</w:t>
            </w:r>
          </w:p>
        </w:tc>
      </w:tr>
      <w:tr>
        <w:tc>
          <w:tcPr>
            <w:tcW w:type="dxa" w:w="3024"/>
            <w:shd w:val="clear" w:color="auto" w:fill="F2F2F2"/>
            <w:vAlign w:val="center"/>
          </w:tcPr>
          <w:p>
            <w:r>
              <w:rPr>
                <w:b w:val="0"/>
                <w:i w:val="0"/>
                <w:sz w:val="18"/>
              </w:rPr>
              <w:t>Exhibit B — Asset / Demarcation Matrix</w:t>
            </w:r>
          </w:p>
        </w:tc>
        <w:tc>
          <w:tcPr>
            <w:tcW w:type="dxa" w:w="6336"/>
            <w:shd w:val="clear" w:color="auto" w:fill="F2F2F2"/>
            <w:vAlign w:val="center"/>
          </w:tcPr>
          <w:p>
            <w:r>
              <w:rPr>
                <w:b w:val="0"/>
                <w:i w:val="0"/>
                <w:sz w:val="18"/>
              </w:rPr>
              <w:t>Category-by-category inventory of Tribal Assets and the corresponding Demarcation Points where the Tribal Assets meet the RIVR Tech Existing Network.</w:t>
            </w:r>
          </w:p>
        </w:tc>
      </w:tr>
      <w:tr>
        <w:tc>
          <w:tcPr>
            <w:tcW w:type="dxa" w:w="3024"/>
            <w:vAlign w:val="center"/>
          </w:tcPr>
          <w:p>
            <w:r>
              <w:rPr>
                <w:b w:val="0"/>
                <w:i w:val="0"/>
                <w:sz w:val="18"/>
              </w:rPr>
              <w:t>Exhibit C — Fiber Allocation</w:t>
            </w:r>
          </w:p>
        </w:tc>
        <w:tc>
          <w:tcPr>
            <w:tcW w:type="dxa" w:w="6336"/>
            <w:vAlign w:val="center"/>
          </w:tcPr>
          <w:p>
            <w:r>
              <w:rPr>
                <w:b w:val="0"/>
                <w:i w:val="0"/>
                <w:sz w:val="18"/>
              </w:rPr>
              <w:t xml:space="preserve">Strand- and wavelength-level allocation of IRU Capacity to RIVR Tech versus Reserved Tribal Capacity. </w:t>
            </w:r>
            <w:r>
              <w:rPr>
                <w:b w:val="0"/>
                <w:i w:val="0"/>
                <w:color w:val="804000"/>
                <w:sz w:val="18"/>
                <w:highlight w:val="yellow"/>
              </w:rPr>
              <w:t>[■ fiber-count allocation table to be attached]</w:t>
            </w:r>
          </w:p>
        </w:tc>
      </w:tr>
      <w:tr>
        <w:tc>
          <w:tcPr>
            <w:tcW w:type="dxa" w:w="3024"/>
            <w:shd w:val="clear" w:color="auto" w:fill="F2F2F2"/>
            <w:vAlign w:val="center"/>
          </w:tcPr>
          <w:p>
            <w:r>
              <w:rPr>
                <w:b w:val="0"/>
                <w:i w:val="0"/>
                <w:sz w:val="18"/>
              </w:rPr>
              <w:t>Exhibit E / Exhibit G — Acceptance</w:t>
            </w:r>
          </w:p>
        </w:tc>
        <w:tc>
          <w:tcPr>
            <w:tcW w:type="dxa" w:w="6336"/>
            <w:shd w:val="clear" w:color="auto" w:fill="F2F2F2"/>
            <w:vAlign w:val="center"/>
          </w:tcPr>
          <w:p>
            <w:r>
              <w:rPr>
                <w:b w:val="0"/>
                <w:i w:val="0"/>
                <w:sz w:val="18"/>
              </w:rPr>
              <w:t>Delivery, testing, and acceptance procedures and forms (cross-referenced in Article 6).</w:t>
            </w:r>
          </w:p>
        </w:tc>
      </w:tr>
      <w:tr>
        <w:tc>
          <w:tcPr>
            <w:tcW w:type="dxa" w:w="3024"/>
            <w:vAlign w:val="center"/>
          </w:tcPr>
          <w:p>
            <w:r>
              <w:rPr>
                <w:b w:val="0"/>
                <w:i w:val="0"/>
                <w:sz w:val="18"/>
              </w:rPr>
              <w:t>Exhibit I — Insurance</w:t>
            </w:r>
          </w:p>
        </w:tc>
        <w:tc>
          <w:tcPr>
            <w:tcW w:type="dxa" w:w="6336"/>
            <w:vAlign w:val="center"/>
          </w:tcPr>
          <w:p>
            <w:r>
              <w:rPr>
                <w:b w:val="0"/>
                <w:i w:val="0"/>
                <w:sz w:val="18"/>
              </w:rPr>
              <w:t>Insurance requirements and evidence (cross-referenced in Article 15).</w:t>
            </w:r>
          </w:p>
        </w:tc>
      </w:tr>
    </w:tbl>
    <w:p>
      <w:pPr>
        <w:pStyle w:val="Heading2"/>
        <w:spacing w:before="160" w:after="60"/>
      </w:pPr>
      <w:r>
        <w:rPr>
          <w:rFonts w:ascii="Calibri" w:hAnsi="Calibri"/>
          <w:b/>
          <w:color w:val="000000"/>
          <w:sz w:val="22"/>
        </w:rPr>
        <w:t>4.2  Categories of Tribal Assets</w:t>
      </w:r>
    </w:p>
    <w:p>
      <w:r>
        <w:rPr>
          <w:b w:val="0"/>
          <w:i w:val="0"/>
        </w:rPr>
        <w:t>The Tribal Assets include, without limitation, the following categories of grant-funded infrastructure, each as detailed in Exhibits A and B:</w:t>
      </w:r>
    </w:p>
    <w:p>
      <w:pPr>
        <w:pStyle w:val="ListBullet"/>
      </w:pPr>
      <w:r>
        <w:rPr>
          <w:b w:val="0"/>
          <w:i w:val="0"/>
        </w:rPr>
        <w:t>dark and lit fiber-optic strands and cables;</w:t>
      </w:r>
    </w:p>
    <w:p>
      <w:pPr>
        <w:pStyle w:val="ListBullet"/>
      </w:pPr>
      <w:r>
        <w:rPr>
          <w:b w:val="0"/>
          <w:i w:val="0"/>
        </w:rPr>
        <w:t>conduit, innerduct, and microduct;</w:t>
      </w:r>
    </w:p>
    <w:p>
      <w:pPr>
        <w:pStyle w:val="ListBullet"/>
      </w:pPr>
      <w:r>
        <w:rPr>
          <w:b w:val="0"/>
          <w:i w:val="0"/>
        </w:rPr>
        <w:t>handholes, vaults, manholes, and pull boxes;</w:t>
      </w:r>
    </w:p>
    <w:p>
      <w:pPr>
        <w:pStyle w:val="ListBullet"/>
      </w:pPr>
      <w:r>
        <w:rPr>
          <w:b w:val="0"/>
          <w:i w:val="0"/>
        </w:rPr>
        <w:t>splice enclosures, splice closures, and splice trays;</w:t>
      </w:r>
    </w:p>
    <w:p>
      <w:pPr>
        <w:pStyle w:val="ListBullet"/>
      </w:pPr>
      <w:r>
        <w:rPr>
          <w:b w:val="0"/>
          <w:i w:val="0"/>
        </w:rPr>
        <w:t>fiber huts, equipment shelters, cabinets, and pedestals;</w:t>
      </w:r>
    </w:p>
    <w:p>
      <w:pPr>
        <w:pStyle w:val="ListBullet"/>
      </w:pPr>
      <w:r>
        <w:rPr>
          <w:b w:val="0"/>
          <w:i w:val="0"/>
        </w:rPr>
        <w:t>fiber-distribution and termination panels (patch panels / FDH / OTB);</w:t>
      </w:r>
    </w:p>
    <w:p>
      <w:pPr>
        <w:pStyle w:val="ListBullet"/>
      </w:pPr>
      <w:r>
        <w:rPr>
          <w:b w:val="0"/>
          <w:i w:val="0"/>
        </w:rPr>
        <w:t>easement, license, pole-attachment, and access rights appurtenant to the foregoing (as record rights of the Tribe, licensed for access under Article 9); and</w:t>
      </w:r>
    </w:p>
    <w:p>
      <w:pPr>
        <w:pStyle w:val="ListBullet"/>
      </w:pPr>
      <w:r>
        <w:rPr>
          <w:b w:val="0"/>
          <w:i w:val="0"/>
        </w:rPr>
        <w:t>all related passive infrastructure, grounding, and support structures.</w:t>
      </w:r>
    </w:p>
    <w:p>
      <w:pPr>
        <w:pStyle w:val="Heading2"/>
        <w:spacing w:before="160" w:after="60"/>
      </w:pPr>
      <w:r>
        <w:rPr>
          <w:rFonts w:ascii="Calibri" w:hAnsi="Calibri"/>
          <w:b/>
          <w:color w:val="000000"/>
          <w:sz w:val="22"/>
        </w:rPr>
        <w:t>4.3  Demarcation Points</w:t>
      </w:r>
    </w:p>
    <w:p>
      <w:r>
        <w:rPr>
          <w:b w:val="0"/>
          <w:i w:val="0"/>
        </w:rPr>
        <w:t>Each Demarcation Point is fixed in Exhibit B and marks the boundary between the Tribal Assets (Tribe-owned) and the RIVR Tech Existing Network (RIVR Tech-owned). On the Tribal-Asset side of each Demarcation Point, the assets are Tribal Assets subject to this Agreement and the Federal Interest; on the RIVR Tech side, the assets are RIVR Tech Assets owned by RIVR Tech. Operational, maintenance, and cost responsibility follow the Demarcation Point as set forth in Document 02.03 (Network Operations, Maintenance &amp; SLA).</w:t>
      </w:r>
    </w:p>
    <w:p>
      <w:pPr>
        <w:ind w:left="504"/>
      </w:pPr>
      <w:r>
        <w:rPr>
          <w:b/>
          <w:color w:val="007000"/>
        </w:rPr>
        <w:t xml:space="preserve">[TECHNICAL INFORMATION REQUIRED]  </w:t>
      </w:r>
      <w:r>
        <w:rPr>
          <w:i/>
          <w:color w:val="595959"/>
        </w:rPr>
        <w:t>Exact route list, segment identifiers, mileage, fiber counts, and Demarcation Point coordinates are pending final as-built records and must be inserted into Exhibits A, B, and C before execution.</w:t>
      </w:r>
    </w:p>
    <w:p>
      <w:pPr>
        <w:pStyle w:val="Heading1"/>
        <w:spacing w:before="240" w:after="120"/>
      </w:pPr>
      <w:r>
        <w:rPr>
          <w:rFonts w:ascii="Calibri" w:hAnsi="Calibri"/>
          <w:b/>
          <w:color w:val="1F3864"/>
          <w:sz w:val="26"/>
        </w:rPr>
        <w:t>ARTICLE 5.  TERM, TERM ALTERNATIVES, AND RENEWAL</w:t>
      </w:r>
    </w:p>
    <w:p>
      <w:pPr>
        <w:pStyle w:val="Heading2"/>
        <w:spacing w:before="160" w:after="60"/>
      </w:pPr>
      <w:r>
        <w:rPr>
          <w:rFonts w:ascii="Calibri" w:hAnsi="Calibri"/>
          <w:b/>
          <w:color w:val="000000"/>
          <w:sz w:val="22"/>
        </w:rPr>
        <w:t>5.1  IRU Term</w:t>
      </w:r>
    </w:p>
    <w:p>
      <w:r>
        <w:rPr>
          <w:b w:val="0"/>
          <w:i w:val="0"/>
        </w:rPr>
        <w:t>The term of the IRU (the “Term”) commences on the Commencement Date (Article 6) and continues for the period selected by the Parties from the alternatives in Section 5.2, unless earlier terminated in accordance with this Agreement.</w:t>
      </w:r>
    </w:p>
    <w:p>
      <w:pPr>
        <w:pStyle w:val="Heading2"/>
        <w:spacing w:before="160" w:after="60"/>
      </w:pPr>
      <w:r>
        <w:rPr>
          <w:rFonts w:ascii="Calibri" w:hAnsi="Calibri"/>
          <w:b/>
          <w:color w:val="000000"/>
          <w:sz w:val="22"/>
        </w:rPr>
        <w:t>5.2  Term Alternatives (20 / 25 / 30 Years)</w:t>
      </w:r>
    </w:p>
    <w:p>
      <w:r>
        <w:rPr>
          <w:b w:val="0"/>
          <w:i w:val="0"/>
        </w:rPr>
        <w:t>The Parties have modeled the following Term alternatives. The recommended Term is thirty (30) years, which best aligns the useful life of the fiber plant with the operator's cost-recovery horizon while remaining within the Federal Interest period for planning purposes: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val="clear" w:color="auto" w:fill="1F3864"/>
            <w:vAlign w:val="center"/>
          </w:tcPr>
          <w:p>
            <w:pPr>
              <w:jc w:val="center"/>
            </w:pPr>
            <w:r>
              <w:rPr>
                <w:b/>
                <w:color w:val="FFFFFF"/>
                <w:sz w:val="18"/>
              </w:rPr>
              <w:t>Alternative</w:t>
            </w:r>
          </w:p>
        </w:tc>
        <w:tc>
          <w:tcPr>
            <w:tcW w:type="dxa" w:w="1296"/>
            <w:shd w:val="clear" w:color="auto" w:fill="1F3864"/>
            <w:vAlign w:val="center"/>
          </w:tcPr>
          <w:p>
            <w:pPr>
              <w:jc w:val="center"/>
            </w:pPr>
            <w:r>
              <w:rPr>
                <w:b/>
                <w:color w:val="FFFFFF"/>
                <w:sz w:val="18"/>
              </w:rPr>
              <w:t>IRU Term</w:t>
            </w:r>
          </w:p>
        </w:tc>
        <w:tc>
          <w:tcPr>
            <w:tcW w:type="dxa" w:w="2304"/>
            <w:shd w:val="clear" w:color="auto" w:fill="1F3864"/>
            <w:vAlign w:val="center"/>
          </w:tcPr>
          <w:p>
            <w:pPr>
              <w:jc w:val="center"/>
            </w:pPr>
            <w:r>
              <w:rPr>
                <w:b/>
                <w:color w:val="FFFFFF"/>
                <w:sz w:val="18"/>
              </w:rPr>
              <w:t>Renewal Options</w:t>
            </w:r>
          </w:p>
        </w:tc>
        <w:tc>
          <w:tcPr>
            <w:tcW w:type="dxa" w:w="3168"/>
            <w:shd w:val="clear" w:color="auto" w:fill="1F3864"/>
            <w:vAlign w:val="center"/>
          </w:tcPr>
          <w:p>
            <w:pPr>
              <w:jc w:val="center"/>
            </w:pPr>
            <w:r>
              <w:rPr>
                <w:b/>
                <w:color w:val="FFFFFF"/>
                <w:sz w:val="18"/>
              </w:rPr>
              <w:t>Assessment</w:t>
            </w:r>
          </w:p>
        </w:tc>
        <w:tc>
          <w:tcPr>
            <w:tcW w:type="dxa" w:w="1440"/>
            <w:shd w:val="clear" w:color="auto" w:fill="1F3864"/>
            <w:vAlign w:val="center"/>
          </w:tcPr>
          <w:p>
            <w:pPr>
              <w:jc w:val="center"/>
            </w:pPr>
            <w:r>
              <w:rPr>
                <w:b/>
                <w:color w:val="FFFFFF"/>
                <w:sz w:val="18"/>
              </w:rPr>
              <w:t>Recommendation</w:t>
            </w:r>
          </w:p>
        </w:tc>
      </w:tr>
      <w:tr>
        <w:tc>
          <w:tcPr>
            <w:tcW w:type="dxa" w:w="1152"/>
            <w:vAlign w:val="center"/>
          </w:tcPr>
          <w:p>
            <w:pPr>
              <w:jc w:val="center"/>
            </w:pPr>
            <w:r>
              <w:rPr>
                <w:b w:val="0"/>
                <w:i w:val="0"/>
                <w:sz w:val="18"/>
              </w:rPr>
              <w:t>Alt. 1</w:t>
            </w:r>
          </w:p>
        </w:tc>
        <w:tc>
          <w:tcPr>
            <w:tcW w:type="dxa" w:w="1296"/>
            <w:vAlign w:val="center"/>
          </w:tcPr>
          <w:p>
            <w:pPr>
              <w:jc w:val="center"/>
            </w:pPr>
            <w:r>
              <w:rPr>
                <w:b w:val="0"/>
                <w:i w:val="0"/>
                <w:sz w:val="18"/>
              </w:rPr>
              <w:t>20 years</w:t>
            </w:r>
          </w:p>
        </w:tc>
        <w:tc>
          <w:tcPr>
            <w:tcW w:type="dxa" w:w="2304"/>
            <w:vAlign w:val="center"/>
          </w:tcPr>
          <w:p>
            <w:r>
              <w:rPr>
                <w:b w:val="0"/>
                <w:i w:val="0"/>
                <w:sz w:val="18"/>
              </w:rPr>
              <w:t>two (2) renewal terms of ten (10) years each</w:t>
            </w:r>
          </w:p>
        </w:tc>
        <w:tc>
          <w:tcPr>
            <w:tcW w:type="dxa" w:w="3168"/>
            <w:vAlign w:val="center"/>
          </w:tcPr>
          <w:p>
            <w:r>
              <w:rPr>
                <w:b w:val="0"/>
                <w:i w:val="0"/>
                <w:sz w:val="18"/>
              </w:rPr>
              <w:t>Shortest commitment; earliest re-pricing/re-competition; may under-recover long-life fiber investment.</w:t>
            </w:r>
          </w:p>
        </w:tc>
        <w:tc>
          <w:tcPr>
            <w:tcW w:type="dxa" w:w="1440"/>
            <w:vAlign w:val="center"/>
          </w:tcPr>
          <w:p>
            <w:pPr>
              <w:jc w:val="center"/>
            </w:pPr>
            <w:r>
              <w:rPr>
                <w:b w:val="0"/>
                <w:i w:val="0"/>
                <w:sz w:val="18"/>
              </w:rPr>
              <w:t>Not recommended</w:t>
            </w:r>
          </w:p>
        </w:tc>
      </w:tr>
      <w:tr>
        <w:tc>
          <w:tcPr>
            <w:tcW w:type="dxa" w:w="1152"/>
            <w:shd w:val="clear" w:color="auto" w:fill="F2F2F2"/>
            <w:vAlign w:val="center"/>
          </w:tcPr>
          <w:p>
            <w:pPr>
              <w:jc w:val="center"/>
            </w:pPr>
            <w:r>
              <w:rPr>
                <w:b w:val="0"/>
                <w:i w:val="0"/>
                <w:sz w:val="18"/>
              </w:rPr>
              <w:t>Alt. 2</w:t>
            </w:r>
          </w:p>
        </w:tc>
        <w:tc>
          <w:tcPr>
            <w:tcW w:type="dxa" w:w="1296"/>
            <w:shd w:val="clear" w:color="auto" w:fill="F2F2F2"/>
            <w:vAlign w:val="center"/>
          </w:tcPr>
          <w:p>
            <w:pPr>
              <w:jc w:val="center"/>
            </w:pPr>
            <w:r>
              <w:rPr>
                <w:b w:val="0"/>
                <w:i w:val="0"/>
                <w:sz w:val="18"/>
              </w:rPr>
              <w:t>25 years</w:t>
            </w:r>
          </w:p>
        </w:tc>
        <w:tc>
          <w:tcPr>
            <w:tcW w:type="dxa" w:w="2304"/>
            <w:shd w:val="clear" w:color="auto" w:fill="F2F2F2"/>
            <w:vAlign w:val="center"/>
          </w:tcPr>
          <w:p>
            <w:r>
              <w:rPr>
                <w:b w:val="0"/>
                <w:i w:val="0"/>
                <w:sz w:val="18"/>
              </w:rPr>
              <w:t>two (2) renewal terms of ten (10) years each</w:t>
            </w:r>
          </w:p>
        </w:tc>
        <w:tc>
          <w:tcPr>
            <w:tcW w:type="dxa" w:w="3168"/>
            <w:shd w:val="clear" w:color="auto" w:fill="F2F2F2"/>
            <w:vAlign w:val="center"/>
          </w:tcPr>
          <w:p>
            <w:r>
              <w:rPr>
                <w:b w:val="0"/>
                <w:i w:val="0"/>
                <w:sz w:val="18"/>
              </w:rPr>
              <w:t>Intermediate; balances flexibility and investment recovery.</w:t>
            </w:r>
          </w:p>
        </w:tc>
        <w:tc>
          <w:tcPr>
            <w:tcW w:type="dxa" w:w="1440"/>
            <w:shd w:val="clear" w:color="auto" w:fill="F2F2F2"/>
            <w:vAlign w:val="center"/>
          </w:tcPr>
          <w:p>
            <w:pPr>
              <w:jc w:val="center"/>
            </w:pPr>
            <w:r>
              <w:rPr>
                <w:b w:val="0"/>
                <w:i w:val="0"/>
                <w:sz w:val="18"/>
              </w:rPr>
              <w:t>Acceptable fallback</w:t>
            </w:r>
          </w:p>
        </w:tc>
      </w:tr>
      <w:tr>
        <w:tc>
          <w:tcPr>
            <w:tcW w:type="dxa" w:w="1152"/>
            <w:vAlign w:val="center"/>
          </w:tcPr>
          <w:p>
            <w:pPr>
              <w:jc w:val="center"/>
            </w:pPr>
            <w:r>
              <w:rPr>
                <w:b w:val="0"/>
                <w:i w:val="0"/>
                <w:sz w:val="18"/>
              </w:rPr>
              <w:t>Alt. 3</w:t>
            </w:r>
          </w:p>
        </w:tc>
        <w:tc>
          <w:tcPr>
            <w:tcW w:type="dxa" w:w="1296"/>
            <w:vAlign w:val="center"/>
          </w:tcPr>
          <w:p>
            <w:pPr>
              <w:jc w:val="center"/>
            </w:pPr>
            <w:r>
              <w:rPr>
                <w:b w:val="0"/>
                <w:i w:val="0"/>
                <w:sz w:val="18"/>
              </w:rPr>
              <w:t>30 years</w:t>
            </w:r>
          </w:p>
        </w:tc>
        <w:tc>
          <w:tcPr>
            <w:tcW w:type="dxa" w:w="2304"/>
            <w:vAlign w:val="center"/>
          </w:tcPr>
          <w:p>
            <w:r>
              <w:rPr>
                <w:b w:val="0"/>
                <w:i w:val="0"/>
                <w:sz w:val="18"/>
              </w:rPr>
              <w:t>two (2) renewal terms of ten (10) years each</w:t>
            </w:r>
          </w:p>
        </w:tc>
        <w:tc>
          <w:tcPr>
            <w:tcW w:type="dxa" w:w="3168"/>
            <w:vAlign w:val="center"/>
          </w:tcPr>
          <w:p>
            <w:r>
              <w:rPr>
                <w:b w:val="0"/>
                <w:i w:val="0"/>
                <w:sz w:val="18"/>
              </w:rPr>
              <w:t>Matches fiber useful life; strongest investment certainty for the operator; longest capacity commitment by the Tribe.</w:t>
            </w:r>
          </w:p>
        </w:tc>
        <w:tc>
          <w:tcPr>
            <w:tcW w:type="dxa" w:w="1440"/>
            <w:vAlign w:val="center"/>
          </w:tcPr>
          <w:p>
            <w:pPr>
              <w:jc w:val="center"/>
            </w:pPr>
            <w:r>
              <w:rPr>
                <w:b w:val="0"/>
                <w:i w:val="0"/>
                <w:sz w:val="18"/>
              </w:rPr>
              <w:t>RECOMMENDED</w:t>
            </w:r>
          </w:p>
        </w:tc>
      </w:tr>
    </w:tbl>
    <w:p>
      <w:r>
        <w:rPr>
          <w:b w:val="0"/>
          <w:i w:val="0"/>
        </w:rPr>
        <w:t xml:space="preserve">Selected Term: </w:t>
      </w:r>
      <w:r>
        <w:rPr>
          <w:b w:val="0"/>
          <w:i w:val="0"/>
          <w:color w:val="804000"/>
          <w:highlight w:val="yellow"/>
        </w:rPr>
        <w:t>[■ select 20 / 25 / 30 years — recommended 30]</w:t>
      </w:r>
      <w:r>
        <w:rPr>
          <w:b w:val="0"/>
          <w:i w:val="0"/>
        </w:rPr>
        <w:t>. Absent a contrary selection recorded here and in the Financial Schedule (Document 02.04), the recommended Term of 30 years applies.</w:t>
      </w:r>
    </w:p>
    <w:p>
      <w:pPr>
        <w:pStyle w:val="Heading2"/>
        <w:spacing w:before="160" w:after="60"/>
      </w:pPr>
      <w:r>
        <w:rPr>
          <w:rFonts w:ascii="Calibri" w:hAnsi="Calibri"/>
          <w:b/>
          <w:color w:val="000000"/>
          <w:sz w:val="22"/>
        </w:rPr>
        <w:t>5.3  Renewal</w:t>
      </w:r>
    </w:p>
    <w:p>
      <w:r>
        <w:rPr>
          <w:b w:val="0"/>
          <w:i w:val="0"/>
        </w:rPr>
        <w:t xml:space="preserve">Provided RIVR Tech is not then in uncured material default and subject to any then-required NTIA consent and continued consistency with the Award, RIVR Tech may extend the Term for two (2) renewal terms of ten (10) years each, upon not less than </w:t>
      </w:r>
      <w:r>
        <w:rPr>
          <w:b w:val="0"/>
          <w:i w:val="0"/>
          <w:color w:val="804000"/>
          <w:highlight w:val="yellow"/>
        </w:rPr>
        <w:t>[■ renewal notice period, e.g., twelve (12) months]</w:t>
      </w:r>
      <w:r>
        <w:rPr>
          <w:b w:val="0"/>
          <w:i w:val="0"/>
        </w:rPr>
        <w:t xml:space="preserve"> prior written notice, on the same terms except as to consideration, which shall be as provided in the Financial Schedule (Document 02.04). Renewal is a business decision to be confirmed at each renewal point.</w:t>
      </w:r>
    </w:p>
    <w:p>
      <w:pPr>
        <w:ind w:left="504"/>
      </w:pPr>
      <w:r>
        <w:rPr>
          <w:b/>
          <w:color w:val="C00000"/>
        </w:rPr>
        <w:t xml:space="preserve">[BUSINESS DECISION REQUIRED]  </w:t>
      </w:r>
      <w:r>
        <w:rPr>
          <w:i/>
          <w:color w:val="595959"/>
        </w:rPr>
        <w:t>Confirm Term selection (20/25/30) and renewal notice period and renewal pricing mechanism; these interact with the financial model and the Federal Interest period.</w:t>
      </w:r>
    </w:p>
    <w:p>
      <w:pPr>
        <w:pStyle w:val="Heading1"/>
        <w:spacing w:before="240" w:after="120"/>
      </w:pPr>
      <w:r>
        <w:rPr>
          <w:rFonts w:ascii="Calibri" w:hAnsi="Calibri"/>
          <w:b/>
          <w:color w:val="1F3864"/>
          <w:sz w:val="26"/>
        </w:rPr>
        <w:t>ARTICLE 6.  CONDITIONS TO COMMENCEMENT; DELIVERY AND ACCEPTANCE</w:t>
      </w:r>
    </w:p>
    <w:p>
      <w:pPr>
        <w:pStyle w:val="Heading2"/>
        <w:spacing w:before="160" w:after="60"/>
      </w:pPr>
      <w:r>
        <w:rPr>
          <w:rFonts w:ascii="Calibri" w:hAnsi="Calibri"/>
          <w:b/>
          <w:color w:val="000000"/>
          <w:sz w:val="22"/>
        </w:rPr>
        <w:t>6.1  Conditions to Commencement</w:t>
      </w:r>
    </w:p>
    <w:p>
      <w:r>
        <w:rPr>
          <w:b w:val="0"/>
          <w:i w:val="0"/>
        </w:rPr>
        <w:t>The Commencement Date occurs on the last to be satisfied of: (a) substantial completion and energization of the applicable Tribal Assets; (b) successful completion of acceptance testing under Section 6.3; (c) receipt of all consents required under the Award, including any NTIA approval required for the grant of this IRU; and (d) delivery of the insurance certificates required by Article 15.</w:t>
      </w:r>
    </w:p>
    <w:p>
      <w:pPr>
        <w:pStyle w:val="Heading2"/>
        <w:spacing w:before="160" w:after="60"/>
      </w:pPr>
      <w:r>
        <w:rPr>
          <w:rFonts w:ascii="Calibri" w:hAnsi="Calibri"/>
          <w:b/>
          <w:color w:val="000000"/>
          <w:sz w:val="22"/>
        </w:rPr>
        <w:t>6.2  Delivery</w:t>
      </w:r>
    </w:p>
    <w:p>
      <w:r>
        <w:rPr>
          <w:b w:val="0"/>
          <w:i w:val="0"/>
        </w:rPr>
        <w:t>The Tribe shall make the IRU Capacity available at the Demarcation Points described in Exhibit B. Delivery of a segment does not transfer title and does not relieve the Tribe of its ownership obligations under the Award.</w:t>
      </w:r>
    </w:p>
    <w:p>
      <w:pPr>
        <w:pStyle w:val="Heading2"/>
        <w:spacing w:before="160" w:after="60"/>
      </w:pPr>
      <w:r>
        <w:rPr>
          <w:rFonts w:ascii="Calibri" w:hAnsi="Calibri"/>
          <w:b/>
          <w:color w:val="000000"/>
          <w:sz w:val="22"/>
        </w:rPr>
        <w:t>6.3  Acceptance Testing</w:t>
      </w:r>
    </w:p>
    <w:p>
      <w:r>
        <w:rPr>
          <w:b w:val="0"/>
          <w:i w:val="0"/>
        </w:rPr>
        <w:t>Acceptance testing shall be performed in accordance with Exhibit E / Exhibit G and the following optical acceptance standards, which are the canonical acceptance criteria for the package:</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1F3864"/>
            <w:vAlign w:val="center"/>
          </w:tcPr>
          <w:p>
            <w:pPr>
              <w:jc w:val="center"/>
            </w:pPr>
            <w:r>
              <w:rPr>
                <w:b/>
                <w:color w:val="FFFFFF"/>
                <w:sz w:val="18"/>
              </w:rPr>
              <w:t>Test Parameter</w:t>
            </w:r>
          </w:p>
        </w:tc>
        <w:tc>
          <w:tcPr>
            <w:tcW w:type="dxa" w:w="6192"/>
            <w:shd w:val="clear" w:color="auto" w:fill="1F3864"/>
            <w:vAlign w:val="center"/>
          </w:tcPr>
          <w:p>
            <w:pPr>
              <w:jc w:val="center"/>
            </w:pPr>
            <w:r>
              <w:rPr>
                <w:b/>
                <w:color w:val="FFFFFF"/>
                <w:sz w:val="18"/>
              </w:rPr>
              <w:t>Acceptance Criterion</w:t>
            </w:r>
          </w:p>
        </w:tc>
      </w:tr>
      <w:tr>
        <w:tc>
          <w:tcPr>
            <w:tcW w:type="dxa" w:w="3168"/>
            <w:vAlign w:val="center"/>
          </w:tcPr>
          <w:p>
            <w:r>
              <w:rPr>
                <w:b w:val="0"/>
                <w:i w:val="0"/>
                <w:sz w:val="18"/>
              </w:rPr>
              <w:t>Test wavelengths</w:t>
            </w:r>
          </w:p>
        </w:tc>
        <w:tc>
          <w:tcPr>
            <w:tcW w:type="dxa" w:w="6192"/>
            <w:vAlign w:val="center"/>
          </w:tcPr>
          <w:p>
            <w:r>
              <w:rPr>
                <w:b w:val="0"/>
                <w:i w:val="0"/>
                <w:sz w:val="18"/>
              </w:rPr>
              <w:t>1310 nm and 1550 nm</w:t>
            </w:r>
          </w:p>
        </w:tc>
      </w:tr>
      <w:tr>
        <w:tc>
          <w:tcPr>
            <w:tcW w:type="dxa" w:w="3168"/>
            <w:shd w:val="clear" w:color="auto" w:fill="F2F2F2"/>
            <w:vAlign w:val="center"/>
          </w:tcPr>
          <w:p>
            <w:r>
              <w:rPr>
                <w:b w:val="0"/>
                <w:i w:val="0"/>
                <w:sz w:val="18"/>
              </w:rPr>
              <w:t>OTDR method</w:t>
            </w:r>
          </w:p>
        </w:tc>
        <w:tc>
          <w:tcPr>
            <w:tcW w:type="dxa" w:w="6192"/>
            <w:shd w:val="clear" w:color="auto" w:fill="F2F2F2"/>
            <w:vAlign w:val="center"/>
          </w:tcPr>
          <w:p>
            <w:r>
              <w:rPr>
                <w:b w:val="0"/>
                <w:i w:val="0"/>
                <w:sz w:val="18"/>
              </w:rPr>
              <w:t>bi-directional OTDR</w:t>
            </w:r>
          </w:p>
        </w:tc>
      </w:tr>
      <w:tr>
        <w:tc>
          <w:tcPr>
            <w:tcW w:type="dxa" w:w="3168"/>
            <w:vAlign w:val="center"/>
          </w:tcPr>
          <w:p>
            <w:r>
              <w:rPr>
                <w:b w:val="0"/>
                <w:i w:val="0"/>
                <w:sz w:val="18"/>
              </w:rPr>
              <w:t>Fusion-splice loss</w:t>
            </w:r>
          </w:p>
        </w:tc>
        <w:tc>
          <w:tcPr>
            <w:tcW w:type="dxa" w:w="6192"/>
            <w:vAlign w:val="center"/>
          </w:tcPr>
          <w:p>
            <w:r>
              <w:rPr>
                <w:b w:val="0"/>
                <w:i w:val="0"/>
                <w:sz w:val="18"/>
              </w:rPr>
              <w:t>0.10 dB (average) / 0.30 dB (maximum) per fusion splice</w:t>
            </w:r>
          </w:p>
        </w:tc>
      </w:tr>
      <w:tr>
        <w:tc>
          <w:tcPr>
            <w:tcW w:type="dxa" w:w="3168"/>
            <w:shd w:val="clear" w:color="auto" w:fill="F2F2F2"/>
            <w:vAlign w:val="center"/>
          </w:tcPr>
          <w:p>
            <w:r>
              <w:rPr>
                <w:b w:val="0"/>
                <w:i w:val="0"/>
                <w:sz w:val="18"/>
              </w:rPr>
              <w:t>Connector loss</w:t>
            </w:r>
          </w:p>
        </w:tc>
        <w:tc>
          <w:tcPr>
            <w:tcW w:type="dxa" w:w="6192"/>
            <w:shd w:val="clear" w:color="auto" w:fill="F2F2F2"/>
            <w:vAlign w:val="center"/>
          </w:tcPr>
          <w:p>
            <w:r>
              <w:rPr>
                <w:b w:val="0"/>
                <w:i w:val="0"/>
                <w:sz w:val="18"/>
              </w:rPr>
              <w:t>0.50 dB per mated connector pair</w:t>
            </w:r>
          </w:p>
        </w:tc>
      </w:tr>
      <w:tr>
        <w:tc>
          <w:tcPr>
            <w:tcW w:type="dxa" w:w="3168"/>
            <w:vAlign w:val="center"/>
          </w:tcPr>
          <w:p>
            <w:r>
              <w:rPr>
                <w:b w:val="0"/>
                <w:i w:val="0"/>
                <w:sz w:val="18"/>
              </w:rPr>
              <w:t>Span-loss budget</w:t>
            </w:r>
          </w:p>
        </w:tc>
        <w:tc>
          <w:tcPr>
            <w:tcW w:type="dxa" w:w="6192"/>
            <w:vAlign w:val="center"/>
          </w:tcPr>
          <w:p>
            <w:r>
              <w:rPr>
                <w:b w:val="0"/>
                <w:i w:val="0"/>
                <w:sz w:val="18"/>
              </w:rPr>
              <w:t>consistent with the span-loss budget calculated at 0.35 dB/km at 1310 nm and 0.25 dB/km at 1550 nm, plus splice and connector losses</w:t>
            </w:r>
          </w:p>
        </w:tc>
      </w:tr>
      <w:tr>
        <w:tc>
          <w:tcPr>
            <w:tcW w:type="dxa" w:w="3168"/>
            <w:shd w:val="clear" w:color="auto" w:fill="F2F2F2"/>
            <w:vAlign w:val="center"/>
          </w:tcPr>
          <w:p>
            <w:r>
              <w:rPr>
                <w:b w:val="0"/>
                <w:i w:val="0"/>
                <w:sz w:val="18"/>
              </w:rPr>
              <w:t>Reflectance (return loss)</w:t>
            </w:r>
          </w:p>
        </w:tc>
        <w:tc>
          <w:tcPr>
            <w:tcW w:type="dxa" w:w="6192"/>
            <w:shd w:val="clear" w:color="auto" w:fill="F2F2F2"/>
            <w:vAlign w:val="center"/>
          </w:tcPr>
          <w:p>
            <w:r>
              <w:rPr>
                <w:b w:val="0"/>
                <w:i w:val="0"/>
                <w:sz w:val="18"/>
              </w:rPr>
              <w:t>-40 dB (UPC) / -55 dB (APC)</w:t>
            </w:r>
          </w:p>
        </w:tc>
      </w:tr>
    </w:tbl>
    <w:p>
      <w:r>
        <w:rPr>
          <w:b w:val="0"/>
          <w:i w:val="0"/>
        </w:rPr>
        <w:t>A segment is deemed accepted upon RIVR Tech's countersignature of the acceptance form, or upon RIVR Tech's placing the segment into revenue service, whichever is earlier. Acceptance does not waive latent-defect or warranty rights and does not transfer title.</w:t>
      </w:r>
    </w:p>
    <w:p>
      <w:pPr>
        <w:pStyle w:val="Heading1"/>
        <w:spacing w:before="240" w:after="120"/>
      </w:pPr>
      <w:r>
        <w:rPr>
          <w:rFonts w:ascii="Calibri" w:hAnsi="Calibri"/>
          <w:b/>
          <w:color w:val="1F3864"/>
          <w:sz w:val="26"/>
        </w:rPr>
        <w:t>ARTICLE 7.  PERMITTED USES</w:t>
      </w:r>
    </w:p>
    <w:p>
      <w:pPr>
        <w:pStyle w:val="Heading2"/>
        <w:spacing w:before="160" w:after="60"/>
      </w:pPr>
      <w:r>
        <w:rPr>
          <w:rFonts w:ascii="Calibri" w:hAnsi="Calibri"/>
          <w:b/>
          <w:color w:val="000000"/>
          <w:sz w:val="22"/>
        </w:rPr>
        <w:t>7.1  Permitted Uses</w:t>
      </w:r>
    </w:p>
    <w:p>
      <w:r>
        <w:rPr>
          <w:b w:val="0"/>
          <w:i w:val="0"/>
        </w:rPr>
        <w:t>RIVR Tech may use the IRU Capacity to operate the Network and to provide the following services in the Service Territory, in each case consistent with the Award and applicable law: (a) residential broadband internet access at or above the applicable service floor (100/20 Mbps); (b) business and enterprise broadband; (c) voice/VoIP and associated communications services; and (d) related managed and transport services.</w:t>
      </w:r>
    </w:p>
    <w:p>
      <w:pPr>
        <w:pStyle w:val="Heading2"/>
        <w:spacing w:before="160" w:after="60"/>
      </w:pPr>
      <w:r>
        <w:rPr>
          <w:rFonts w:ascii="Calibri" w:hAnsi="Calibri"/>
          <w:b/>
          <w:color w:val="000000"/>
          <w:sz w:val="22"/>
        </w:rPr>
        <w:t>7.2  Wholesale / Open-Access Use</w:t>
      </w:r>
    </w:p>
    <w:p>
      <w:r>
        <w:rPr>
          <w:b w:val="0"/>
          <w:i w:val="0"/>
        </w:rPr>
        <w:t>Whether RIVR Tech may provide wholesale, open-access, dark-fiber, or carrier-of-carriers services over the IRU Capacity is reserved as a business decision, subject to any open-access or nondiscrimination obligations in the Award and to the Reserved Tribal Capacity.</w:t>
      </w:r>
    </w:p>
    <w:p>
      <w:pPr>
        <w:ind w:left="504"/>
      </w:pPr>
      <w:r>
        <w:rPr>
          <w:b/>
          <w:color w:val="C00000"/>
        </w:rPr>
        <w:t xml:space="preserve">[BUSINESS DECISION REQUIRED]  </w:t>
      </w:r>
      <w:r>
        <w:rPr>
          <w:i/>
          <w:color w:val="595959"/>
        </w:rPr>
        <w:t>Decide whether wholesale/open-access resale over grant-funded Tribal Assets is permitted, and on what terms; this may be constrained or required by the Award's open-access conditions.</w:t>
      </w:r>
    </w:p>
    <w:p>
      <w:pPr>
        <w:ind w:left="504"/>
      </w:pPr>
      <w:r>
        <w:rPr>
          <w:b/>
          <w:color w:val="7F007F"/>
        </w:rPr>
        <w:t xml:space="preserve">[GRANT COMPLIANCE REVIEW REQUIRED]  </w:t>
      </w:r>
      <w:r>
        <w:rPr>
          <w:i/>
          <w:color w:val="595959"/>
        </w:rPr>
        <w:t>Confirm permitted-use scope against the Award's service, open-access, and nondiscrimination conditions and against any Program-income treatment under 2 CFR 200.307 (Program income).</w:t>
      </w:r>
    </w:p>
    <w:p>
      <w:pPr>
        <w:pStyle w:val="Heading2"/>
        <w:spacing w:before="160" w:after="60"/>
      </w:pPr>
      <w:r>
        <w:rPr>
          <w:rFonts w:ascii="Calibri" w:hAnsi="Calibri"/>
          <w:b/>
          <w:color w:val="000000"/>
          <w:sz w:val="22"/>
        </w:rPr>
        <w:t>7.3  Use Restrictions</w:t>
      </w:r>
    </w:p>
    <w:p>
      <w:r>
        <w:rPr>
          <w:b w:val="0"/>
          <w:i w:val="0"/>
        </w:rPr>
        <w:t>RIVR Tech shall not use the IRU Capacity for any unlawful purpose, in a manner that impairs the Reserved Tribal Capacity or Essential Services, or in any manner inconsistent with the Award or the Federal Interest. RIVR Tech shall comply with 2 CFR 200.216 (Prohibition on certain telecommunications and video surveillance — §889 covered equipment) and shall not install covered telecommunications equipment on the Tribal Assets.</w:t>
      </w:r>
    </w:p>
    <w:p>
      <w:pPr>
        <w:pStyle w:val="Heading1"/>
        <w:spacing w:before="240" w:after="120"/>
      </w:pPr>
      <w:r>
        <w:rPr>
          <w:rFonts w:ascii="Calibri" w:hAnsi="Calibri"/>
          <w:b/>
          <w:color w:val="1F3864"/>
          <w:sz w:val="26"/>
        </w:rPr>
        <w:t>ARTICLE 8.  RESERVED TRIBAL FIBER AND CAPACITY</w:t>
      </w:r>
    </w:p>
    <w:p>
      <w:pPr>
        <w:pStyle w:val="Heading2"/>
        <w:spacing w:before="160" w:after="60"/>
      </w:pPr>
      <w:r>
        <w:rPr>
          <w:rFonts w:ascii="Calibri" w:hAnsi="Calibri"/>
          <w:b/>
          <w:color w:val="000000"/>
          <w:sz w:val="22"/>
        </w:rPr>
        <w:t>8.1  Reservation</w:t>
      </w:r>
    </w:p>
    <w:p>
      <w:r>
        <w:rPr>
          <w:b w:val="0"/>
          <w:i w:val="0"/>
        </w:rPr>
        <w:t xml:space="preserve">Notwithstanding the grant in Article 3, the Tribe reserves to itself, at no charge and for the entire Term and any renewal, dedicated strands and capacity in the Tribal Assets (the “Reserved Tribal Capacity”) for Tribal-government, public-safety, and anchor-institution use, in the amount of </w:t>
      </w:r>
      <w:r>
        <w:rPr>
          <w:b w:val="0"/>
          <w:i w:val="0"/>
          <w:color w:val="804000"/>
          <w:highlight w:val="yellow"/>
        </w:rPr>
        <w:t>[■ reserved strand count per segment, e.g., [N]</w:t>
      </w:r>
      <w:r>
        <w:rPr>
          <w:b w:val="0"/>
          <w:i w:val="0"/>
        </w:rPr>
        <w:t xml:space="preserve"> strands / [X]% of capacity], as allocated in Exhibit C.</w:t>
      </w:r>
    </w:p>
    <w:p>
      <w:pPr>
        <w:pStyle w:val="Heading2"/>
        <w:spacing w:before="160" w:after="60"/>
      </w:pPr>
      <w:r>
        <w:rPr>
          <w:rFonts w:ascii="Calibri" w:hAnsi="Calibri"/>
          <w:b/>
          <w:color w:val="000000"/>
          <w:sz w:val="22"/>
        </w:rPr>
        <w:t>8.2  Priority and Non-Impairment</w:t>
      </w:r>
    </w:p>
    <w:p>
      <w:r>
        <w:rPr>
          <w:b w:val="0"/>
          <w:i w:val="0"/>
        </w:rPr>
        <w:t>The Reserved Tribal Capacity is senior to the IRU Capacity. RIVR Tech's use, maintenance, and restoration activities shall not degrade, reallocate, or impair the Reserved Tribal Capacity, and Essential Services carried on the Reserved Tribal Capacity receive Priority 1 handling under Document 02.03.</w:t>
      </w:r>
    </w:p>
    <w:p>
      <w:pPr>
        <w:pStyle w:val="Heading2"/>
        <w:spacing w:before="160" w:after="60"/>
      </w:pPr>
      <w:r>
        <w:rPr>
          <w:rFonts w:ascii="Calibri" w:hAnsi="Calibri"/>
          <w:b/>
          <w:color w:val="000000"/>
          <w:sz w:val="22"/>
        </w:rPr>
        <w:t>8.3  Tribal Anchor Institutions</w:t>
      </w:r>
    </w:p>
    <w:p>
      <w:r>
        <w:rPr>
          <w:b w:val="0"/>
          <w:i w:val="0"/>
        </w:rPr>
        <w:t xml:space="preserve">The Tribe may use the Reserved Tribal Capacity to connect Tribal government facilities, public-safety answering points, schools, health facilities, libraries, and other anchor institutions </w:t>
      </w:r>
      <w:r>
        <w:rPr>
          <w:b w:val="0"/>
          <w:i w:val="0"/>
          <w:color w:val="804000"/>
          <w:highlight w:val="yellow"/>
        </w:rPr>
        <w:t>[■ list of anchor institutions and connection points]</w:t>
      </w:r>
      <w:r>
        <w:rPr>
          <w:b w:val="0"/>
          <w:i w:val="0"/>
        </w:rPr>
        <w:t>.</w:t>
      </w:r>
    </w:p>
    <w:p>
      <w:pPr>
        <w:pStyle w:val="Heading1"/>
        <w:spacing w:before="240" w:after="120"/>
      </w:pPr>
      <w:r>
        <w:rPr>
          <w:rFonts w:ascii="Calibri" w:hAnsi="Calibri"/>
          <w:b/>
          <w:color w:val="1F3864"/>
          <w:sz w:val="26"/>
        </w:rPr>
        <w:t>ARTICLE 9.  INTERCONNECTION, COLLOCATION, AND ACCESS RIGHTS</w:t>
      </w:r>
    </w:p>
    <w:p>
      <w:pPr>
        <w:pStyle w:val="Heading2"/>
        <w:spacing w:before="160" w:after="60"/>
      </w:pPr>
      <w:r>
        <w:rPr>
          <w:rFonts w:ascii="Calibri" w:hAnsi="Calibri"/>
          <w:b/>
          <w:color w:val="000000"/>
          <w:sz w:val="22"/>
        </w:rPr>
        <w:t>9.1  Interconnection</w:t>
      </w:r>
    </w:p>
    <w:p>
      <w:r>
        <w:rPr>
          <w:b w:val="0"/>
          <w:i w:val="0"/>
        </w:rPr>
        <w:t>The Parties shall interconnect the Tribal Assets and the RIVR Tech Existing Network at the Demarcation Points in Exhibit B and shall maintain the interconnection in good working order for the Term.</w:t>
      </w:r>
    </w:p>
    <w:p>
      <w:pPr>
        <w:pStyle w:val="Heading2"/>
        <w:spacing w:before="160" w:after="60"/>
      </w:pPr>
      <w:r>
        <w:rPr>
          <w:rFonts w:ascii="Calibri" w:hAnsi="Calibri"/>
          <w:b/>
          <w:color w:val="000000"/>
          <w:sz w:val="22"/>
        </w:rPr>
        <w:t>9.2  Collocation</w:t>
      </w:r>
    </w:p>
    <w:p>
      <w:r>
        <w:rPr>
          <w:b w:val="0"/>
          <w:i w:val="0"/>
        </w:rPr>
        <w:t>Each Party grants the other reasonable collocation rights in its huts, shelters, cabinets, and racks at and around the Demarcation Points, solely as needed to interconnect and operate the Network, subject to space, power, and safety availability and to the Reserved Tribal Capacity. Collocation on the Tribal Assets does not transfer title.</w:t>
      </w:r>
    </w:p>
    <w:p>
      <w:pPr>
        <w:pStyle w:val="Heading2"/>
        <w:spacing w:before="160" w:after="60"/>
      </w:pPr>
      <w:r>
        <w:rPr>
          <w:rFonts w:ascii="Calibri" w:hAnsi="Calibri"/>
          <w:b/>
          <w:color w:val="000000"/>
          <w:sz w:val="22"/>
        </w:rPr>
        <w:t>9.3  Access Rights</w:t>
      </w:r>
    </w:p>
    <w:p>
      <w:r>
        <w:rPr>
          <w:b w:val="0"/>
          <w:i w:val="0"/>
        </w:rPr>
        <w:t>The Tribe grants RIVR Tech a license (not an easement in gross) to access the Tribal Assets and the associated rights-of-way for operation, maintenance, and restoration, in accordance with the Tribe's access, safety, and cultural-resource protocols and with applicable easement and pole-attachment agreements (including N.C. Gen. Stat. § 62-350 (broadband attachment to utility poles)). The Tribe retains all record easement and access rights.</w:t>
      </w:r>
    </w:p>
    <w:p>
      <w:pPr>
        <w:pStyle w:val="Heading1"/>
        <w:spacing w:before="240" w:after="120"/>
      </w:pPr>
      <w:r>
        <w:rPr>
          <w:rFonts w:ascii="Calibri" w:hAnsi="Calibri"/>
          <w:b/>
          <w:color w:val="1F3864"/>
          <w:sz w:val="26"/>
        </w:rPr>
        <w:t>ARTICLE 10.  SPLICING, MAINTENANCE, AND EMERGENCY REPAIR</w:t>
      </w:r>
    </w:p>
    <w:p>
      <w:pPr>
        <w:pStyle w:val="Heading2"/>
        <w:spacing w:before="160" w:after="60"/>
      </w:pPr>
      <w:r>
        <w:rPr>
          <w:rFonts w:ascii="Calibri" w:hAnsi="Calibri"/>
          <w:b/>
          <w:color w:val="000000"/>
          <w:sz w:val="22"/>
        </w:rPr>
        <w:t>10.1  Splicing Procedures</w:t>
      </w:r>
    </w:p>
    <w:p>
      <w:r>
        <w:rPr>
          <w:b w:val="0"/>
          <w:i w:val="0"/>
        </w:rPr>
        <w:t>All splicing on the Tribal Assets shall meet the optical acceptance standards in Section 6.3 (fusion-splice loss 0.10 dB (average) / 0.30 dB (maximum) per fusion splice), be documented in splice records provided to the Tribe, and be performed so as not to disturb the Reserved Tribal Capacity or Essential Services.</w:t>
      </w:r>
    </w:p>
    <w:p>
      <w:pPr>
        <w:pStyle w:val="Heading2"/>
        <w:spacing w:before="160" w:after="60"/>
      </w:pPr>
      <w:r>
        <w:rPr>
          <w:rFonts w:ascii="Calibri" w:hAnsi="Calibri"/>
          <w:b/>
          <w:color w:val="000000"/>
          <w:sz w:val="22"/>
        </w:rPr>
        <w:t>10.2  Maintenance</w:t>
      </w:r>
    </w:p>
    <w:p>
      <w:r>
        <w:rPr>
          <w:b w:val="0"/>
          <w:i w:val="0"/>
        </w:rPr>
        <w:t>Operation, maintenance, and repair of the Network are governed by Document 02.03 (Network Operations, Maintenance &amp; SLA), which is incorporated by reference. RIVR Tech shall maintain the Tribal Assets in at least the condition delivered, ordinary wear excepted, and shall not diminish their value or the Federal Interest.</w:t>
      </w:r>
    </w:p>
    <w:p>
      <w:pPr>
        <w:pStyle w:val="Heading2"/>
        <w:spacing w:before="160" w:after="60"/>
      </w:pPr>
      <w:r>
        <w:rPr>
          <w:rFonts w:ascii="Calibri" w:hAnsi="Calibri"/>
          <w:b/>
          <w:color w:val="000000"/>
          <w:sz w:val="22"/>
        </w:rPr>
        <w:t>10.3  Emergency Repair</w:t>
      </w:r>
    </w:p>
    <w:p>
      <w:r>
        <w:rPr>
          <w:b w:val="0"/>
          <w:i w:val="0"/>
        </w:rPr>
        <w:t>Either Party may perform emergency repairs to prevent imminent harm to persons, property, Essential Services, or continuity of service, with prompt notice to the other Party and reconciliation of cost responsibility under Document 02.03.</w:t>
      </w:r>
    </w:p>
    <w:p>
      <w:pPr>
        <w:pStyle w:val="Heading1"/>
        <w:spacing w:before="240" w:after="120"/>
      </w:pPr>
      <w:r>
        <w:rPr>
          <w:rFonts w:ascii="Calibri" w:hAnsi="Calibri"/>
          <w:b/>
          <w:color w:val="1F3864"/>
          <w:sz w:val="26"/>
        </w:rPr>
        <w:t>ARTICLE 11.  RELOCATION, REPLACEMENT, CASUALTY, AND CONDEMNATION</w:t>
      </w:r>
    </w:p>
    <w:p>
      <w:pPr>
        <w:pStyle w:val="Heading2"/>
        <w:spacing w:before="160" w:after="60"/>
      </w:pPr>
      <w:r>
        <w:rPr>
          <w:rFonts w:ascii="Calibri" w:hAnsi="Calibri"/>
          <w:b/>
          <w:color w:val="000000"/>
          <w:sz w:val="22"/>
        </w:rPr>
        <w:t>11.1  Relocation</w:t>
      </w:r>
    </w:p>
    <w:p>
      <w:r>
        <w:rPr>
          <w:b w:val="0"/>
          <w:i w:val="0"/>
        </w:rPr>
        <w:t xml:space="preserve">If any Tribal Asset must be relocated (e.g., by governmental order, road project, or right-of-way change), the Parties shall cooperate to relocate the affected segment with minimal service interruption. Relocated assets remain Tribal Assets subject to the Federal Interest and this IRU. Cost allocation for relocation is </w:t>
      </w:r>
      <w:r>
        <w:rPr>
          <w:b w:val="0"/>
          <w:i w:val="0"/>
          <w:color w:val="804000"/>
          <w:highlight w:val="yellow"/>
        </w:rPr>
        <w:t>[■ relocation cost allocation — party responsible / shared formula]</w:t>
      </w:r>
      <w:r>
        <w:rPr>
          <w:b w:val="0"/>
          <w:i w:val="0"/>
        </w:rPr>
        <w:t>.</w:t>
      </w:r>
    </w:p>
    <w:p>
      <w:pPr>
        <w:pStyle w:val="Heading2"/>
        <w:spacing w:before="160" w:after="60"/>
      </w:pPr>
      <w:r>
        <w:rPr>
          <w:rFonts w:ascii="Calibri" w:hAnsi="Calibri"/>
          <w:b/>
          <w:color w:val="000000"/>
          <w:sz w:val="22"/>
        </w:rPr>
        <w:t>11.2  Replacement</w:t>
      </w:r>
    </w:p>
    <w:p>
      <w:r>
        <w:rPr>
          <w:b w:val="0"/>
          <w:i w:val="0"/>
        </w:rPr>
        <w:t>Assets replaced in the ordinary course become Tribal Assets and are subject to this Agreement and the Federal Interest; the IRU continues in the replacement capacity without additional consideration.</w:t>
      </w:r>
    </w:p>
    <w:p>
      <w:pPr>
        <w:pStyle w:val="Heading2"/>
        <w:spacing w:before="160" w:after="60"/>
      </w:pPr>
      <w:r>
        <w:rPr>
          <w:rFonts w:ascii="Calibri" w:hAnsi="Calibri"/>
          <w:b/>
          <w:color w:val="000000"/>
          <w:sz w:val="22"/>
        </w:rPr>
        <w:t>11.3  Casualty</w:t>
      </w:r>
    </w:p>
    <w:p>
      <w:r>
        <w:rPr>
          <w:b w:val="0"/>
          <w:i w:val="0"/>
        </w:rPr>
        <w:t>Upon material damage or destruction of Tribal Assets, RIVR Tech shall restore the affected assets in accordance with Document 02.03 and the insurance proceeds provisions of Article 15; insurance proceeds relating to Tribal Assets are applied first to restoration. The Federal Interest attaches to insurance proceeds and to replacement property under 2 CFR 200.310 (Insurance coverage) and 2 CFR 200.313 (Equipment — use, management, and disposition).</w:t>
      </w:r>
    </w:p>
    <w:p>
      <w:pPr>
        <w:pStyle w:val="Heading2"/>
        <w:spacing w:before="160" w:after="60"/>
      </w:pPr>
      <w:r>
        <w:rPr>
          <w:rFonts w:ascii="Calibri" w:hAnsi="Calibri"/>
          <w:b/>
          <w:color w:val="000000"/>
          <w:sz w:val="22"/>
        </w:rPr>
        <w:t>11.4  Condemnation</w:t>
      </w:r>
    </w:p>
    <w:p>
      <w:r>
        <w:rPr>
          <w:b w:val="0"/>
          <w:i w:val="0"/>
        </w:rPr>
        <w:t>If Tribal Assets are taken by eminent domain, the award attributable to the Tribal Assets belongs to the Tribe subject to the Federal Interest; RIVR Tech may pursue a separate award for its own relocation and business losses to the extent permitted by law. The IRU abates proportionally as to any taken capacity.</w:t>
      </w:r>
    </w:p>
    <w:p>
      <w:pPr>
        <w:pStyle w:val="Heading1"/>
        <w:spacing w:before="240" w:after="120"/>
      </w:pPr>
      <w:r>
        <w:rPr>
          <w:rFonts w:ascii="Calibri" w:hAnsi="Calibri"/>
          <w:b/>
          <w:color w:val="1F3864"/>
          <w:sz w:val="26"/>
        </w:rPr>
        <w:t>ARTICLE 12.  RESTRICTIONS ON ASSIGNMENT AND SUB-IRU</w:t>
      </w:r>
    </w:p>
    <w:p>
      <w:pPr>
        <w:pStyle w:val="Heading2"/>
        <w:spacing w:before="160" w:after="60"/>
      </w:pPr>
      <w:r>
        <w:rPr>
          <w:rFonts w:ascii="Calibri" w:hAnsi="Calibri"/>
          <w:b/>
          <w:color w:val="000000"/>
          <w:sz w:val="22"/>
        </w:rPr>
        <w:t>12.1  No Assignment Without Consent</w:t>
      </w:r>
    </w:p>
    <w:p>
      <w:r>
        <w:rPr>
          <w:b w:val="0"/>
          <w:i w:val="0"/>
        </w:rPr>
        <w:t>RIVR Tech shall not assign, transfer, sublicense, grant a sub-IRU in, or otherwise convey any interest in the IRU or the Tribal Assets, in whole or in part, without the prior written consent of the Tribe and, where required, of NTIA, which Tribal consent shall not be unreasonably withheld for a permitted collateral purpose that does not impair the Federal Interest.</w:t>
      </w:r>
    </w:p>
    <w:p>
      <w:pPr>
        <w:pStyle w:val="Heading2"/>
        <w:spacing w:before="160" w:after="60"/>
      </w:pPr>
      <w:r>
        <w:rPr>
          <w:rFonts w:ascii="Calibri" w:hAnsi="Calibri"/>
          <w:b/>
          <w:color w:val="000000"/>
          <w:sz w:val="22"/>
        </w:rPr>
        <w:t>12.2  Federal-Interest Limits</w:t>
      </w:r>
    </w:p>
    <w:p>
      <w:r>
        <w:rPr>
          <w:b w:val="0"/>
          <w:i w:val="0"/>
        </w:rPr>
        <w:t>No assignment or sub-IRU may (a) transfer title to any Tribal Asset, (b) create any Federal-Interest-impairing encumbrance, or (c) be made to a debarred or suspended party (2 CFR Part 180 and 2 CFR Part 1327 (Governmentwide debarment and suspension — DOC/NTIA adoption)) or to a party using covered telecommunications equipment (2 CFR 200.216 (Prohibition on certain telecommunications and video surveillance — §889 covered equipment)).</w:t>
      </w:r>
    </w:p>
    <w:p>
      <w:pPr>
        <w:pStyle w:val="Heading2"/>
        <w:spacing w:before="160" w:after="60"/>
      </w:pPr>
      <w:r>
        <w:rPr>
          <w:rFonts w:ascii="Calibri" w:hAnsi="Calibri"/>
          <w:b/>
          <w:color w:val="000000"/>
          <w:sz w:val="22"/>
        </w:rPr>
        <w:t>12.3  Permitted Transfers</w:t>
      </w:r>
    </w:p>
    <w:p>
      <w:r>
        <w:rPr>
          <w:b w:val="0"/>
          <w:i w:val="0"/>
        </w:rPr>
        <w:t>RIVR Tech may assign to an affiliate or successor by merger that assumes all obligations and meets the Federal-Interest limits, upon notice and subject to any Award-required consent. Any successor operator is also governed by Document 02.07 (Transition).</w:t>
      </w:r>
    </w:p>
    <w:p>
      <w:pPr>
        <w:pStyle w:val="Heading1"/>
        <w:spacing w:before="240" w:after="120"/>
      </w:pPr>
      <w:r>
        <w:rPr>
          <w:rFonts w:ascii="Calibri" w:hAnsi="Calibri"/>
          <w:b/>
          <w:color w:val="1F3864"/>
          <w:sz w:val="26"/>
        </w:rPr>
        <w:t>ARTICLE 13.  CONSIDERATION, MAINTENANCE PAYMENTS, AND REVENUE SHARING</w:t>
      </w:r>
    </w:p>
    <w:p>
      <w:pPr>
        <w:pStyle w:val="Heading2"/>
        <w:spacing w:before="160" w:after="60"/>
      </w:pPr>
      <w:r>
        <w:rPr>
          <w:rFonts w:ascii="Calibri" w:hAnsi="Calibri"/>
          <w:b/>
          <w:color w:val="000000"/>
          <w:sz w:val="22"/>
        </w:rPr>
        <w:t>13.1  IRU Consideration</w:t>
      </w:r>
    </w:p>
    <w:p>
      <w:r>
        <w:rPr>
          <w:b w:val="0"/>
          <w:i w:val="0"/>
        </w:rPr>
        <w:t>In consideration of the grant of the IRU, RIVR Tech shall pay one dollar ($1.00) and other good and valuable consideration, plus the operating, maintenance, and revenue-sharing obligations set forth herein. The prepaid/nominal structure reflects that the substantial consideration to the Tribe is delivered through the operating, maintenance, and revenue-sharing obligations and the Reserved Tribal Capacity.</w:t>
      </w:r>
    </w:p>
    <w:p>
      <w:pPr>
        <w:pStyle w:val="Heading2"/>
        <w:spacing w:before="160" w:after="60"/>
      </w:pPr>
      <w:r>
        <w:rPr>
          <w:rFonts w:ascii="Calibri" w:hAnsi="Calibri"/>
          <w:b/>
          <w:color w:val="000000"/>
          <w:sz w:val="22"/>
        </w:rPr>
        <w:t>13.2  Annual Maintenance Payments</w:t>
      </w:r>
    </w:p>
    <w:p>
      <w:r>
        <w:rPr>
          <w:b w:val="0"/>
          <w:i w:val="0"/>
        </w:rPr>
        <w:t xml:space="preserve">RIVR Tech shall pay annual maintenance charges as set forth in Document 02.04 (Financial Schedule), in the amount of </w:t>
      </w:r>
      <w:r>
        <w:rPr>
          <w:b w:val="0"/>
          <w:i w:val="0"/>
          <w:color w:val="804000"/>
          <w:highlight w:val="yellow"/>
        </w:rPr>
        <w:t>[■ annual maintenance payment / per-mile or per-strand rate]</w:t>
      </w:r>
      <w:r>
        <w:rPr>
          <w:b w:val="0"/>
          <w:i w:val="0"/>
        </w:rPr>
        <w:t>, subject to the escalation and true-up mechanics described there.</w:t>
      </w:r>
    </w:p>
    <w:p>
      <w:pPr>
        <w:pStyle w:val="Heading2"/>
        <w:spacing w:before="160" w:after="60"/>
      </w:pPr>
      <w:r>
        <w:rPr>
          <w:rFonts w:ascii="Calibri" w:hAnsi="Calibri"/>
          <w:b/>
          <w:color w:val="000000"/>
          <w:sz w:val="22"/>
        </w:rPr>
        <w:t>13.3  Revenue Sharing</w:t>
      </w:r>
    </w:p>
    <w:p>
      <w:r>
        <w:rPr>
          <w:b w:val="0"/>
          <w:i w:val="0"/>
        </w:rPr>
        <w:t>Revenue sharing between the Parties is governed by Document 02.04, which presents the modeled options (fixed, percentage-of-revenue, percentage-of-cash-flow, hybrid, and stepped) and the recommended structure. Amounts characterized as Program Income are subject to 2 CFR 200.307 (Program income).</w:t>
      </w:r>
    </w:p>
    <w:p>
      <w:pPr>
        <w:ind w:left="504"/>
      </w:pPr>
      <w:r>
        <w:rPr>
          <w:b/>
          <w:color w:val="7F007F"/>
        </w:rPr>
        <w:t xml:space="preserve">[GRANT COMPLIANCE REVIEW REQUIRED]  </w:t>
      </w:r>
      <w:r>
        <w:rPr>
          <w:i/>
          <w:color w:val="595959"/>
        </w:rPr>
        <w:t>Confirm characterization of IRU consideration, maintenance payments, and revenue share as Program Income (or not) under 2 CFR 200.307 (Program income), and confirm the required disposition/addition treatment with NTIA.</w:t>
      </w:r>
    </w:p>
    <w:p>
      <w:pPr>
        <w:pStyle w:val="Heading1"/>
        <w:spacing w:before="240" w:after="120"/>
      </w:pPr>
      <w:r>
        <w:rPr>
          <w:rFonts w:ascii="Calibri" w:hAnsi="Calibri"/>
          <w:b/>
          <w:color w:val="1F3864"/>
          <w:sz w:val="26"/>
        </w:rPr>
        <w:t>ARTICLE 14.  FEDERAL GRANT PRIORITY; RESTRICTIONS ON ENCUMBERING GRANT-FUNDED ASSETS</w:t>
      </w:r>
    </w:p>
    <w:p>
      <w:pPr>
        <w:pStyle w:val="Heading2"/>
        <w:spacing w:before="160" w:after="60"/>
      </w:pPr>
      <w:r>
        <w:rPr>
          <w:rFonts w:ascii="Calibri" w:hAnsi="Calibri"/>
          <w:b/>
          <w:color w:val="000000"/>
          <w:sz w:val="22"/>
        </w:rPr>
        <w:t>14.1  Federal Grant Priority</w:t>
      </w:r>
    </w:p>
    <w:p>
      <w:r>
        <w:rPr>
          <w:b/>
          <w:i w:val="0"/>
        </w:rPr>
        <w:t>This Agreement is at all times subordinate to, and shall be construed consistently with, the Award and all applicable federal requirements, including 2 CFR Part 200 (Uniform Administrative Requirements, Cost Principles, and Audit Requirements for Federal Awards). In any conflict between this Agreement and the Award or such federal requirements, the Award and federal requirements control, and the affected provision of this Agreement is deemed modified to the minimum extent necessary to conform. No provision of this Agreement waives, diminishes, or subordinates the Federal Interest or any NTIA right.</w:t>
      </w:r>
    </w:p>
    <w:p>
      <w:pPr>
        <w:pStyle w:val="Heading2"/>
        <w:spacing w:before="160" w:after="60"/>
      </w:pPr>
      <w:r>
        <w:rPr>
          <w:rFonts w:ascii="Calibri" w:hAnsi="Calibri"/>
          <w:b/>
          <w:color w:val="000000"/>
          <w:sz w:val="22"/>
        </w:rPr>
        <w:t>14.2  Prohibition on Encumbering Grant-Funded Assets</w:t>
      </w:r>
    </w:p>
    <w:p>
      <w:r>
        <w:rPr>
          <w:b/>
          <w:i w:val="0"/>
        </w:rPr>
        <w:t>RIVR Tech shall not, and shall not permit any person claiming through it to, mortgage, pledge, hypothecate, grant a security interest in, create a lien on, or otherwise encumber the Tribal Assets or the Federal Interest, in whole or in part, without the prior written consent of NTIA and the Tribe. Any purported encumbrance in violation of this Section is void ab initio.</w:t>
      </w:r>
    </w:p>
    <w:p>
      <w:pPr>
        <w:ind w:left="504"/>
      </w:pPr>
      <w:r>
        <w:rPr>
          <w:b/>
        </w:rPr>
        <w:t xml:space="preserve">(a)  </w:t>
      </w:r>
      <w:r>
        <w:rPr>
          <w:b w:val="0"/>
          <w:i w:val="0"/>
        </w:rPr>
        <w:t>Use, encumbrance, and disposition of real property comprising Tribal Assets are governed by 2 CFR 200.311 (Real property — use, encumbrance, and disposition); equipment by 2 CFR 200.313 (Equipment — use, management, and disposition); and the property trust relationship by 2 CFR 200.316 (Property trust relationship).</w:t>
      </w:r>
    </w:p>
    <w:p>
      <w:pPr>
        <w:ind w:left="504"/>
      </w:pPr>
      <w:r>
        <w:rPr>
          <w:b/>
        </w:rPr>
        <w:t xml:space="preserve">(b)  </w:t>
      </w:r>
      <w:r>
        <w:rPr>
          <w:b w:val="0"/>
          <w:i w:val="0"/>
        </w:rPr>
        <w:t>Any disposition, sale, or transfer of the Tribal Assets, or any use inconsistent with the Award, requires prior NTIA approval and compliance with the applicable disposition threshold and procedures (2 CFR Part 200, as revised effective October 1, 2024 (equipment/supplies and disposition threshold $10,000; single-audit threshold $1,000,000)).</w:t>
      </w:r>
    </w:p>
    <w:p>
      <w:pPr>
        <w:ind w:left="504"/>
      </w:pPr>
      <w:r>
        <w:rPr>
          <w:b/>
        </w:rPr>
        <w:t xml:space="preserve">(c)  </w:t>
      </w:r>
      <w:r>
        <w:rPr>
          <w:b w:val="0"/>
          <w:i w:val="0"/>
        </w:rPr>
        <w:t>This Article survives expiration or termination and inures to the benefit of the United States and NTIA as intended third-party beneficiaries for purposes of the Federal Interest.</w:t>
      </w:r>
    </w:p>
    <w:p>
      <w:pPr>
        <w:pStyle w:val="Heading1"/>
        <w:spacing w:before="240" w:after="120"/>
      </w:pPr>
      <w:r>
        <w:rPr>
          <w:rFonts w:ascii="Calibri" w:hAnsi="Calibri"/>
          <w:b/>
          <w:color w:val="1F3864"/>
          <w:sz w:val="26"/>
        </w:rPr>
        <w:t>ARTICLE 15.  LIENS, TAXES, AND INSURANCE</w:t>
      </w:r>
    </w:p>
    <w:p>
      <w:pPr>
        <w:pStyle w:val="Heading2"/>
        <w:spacing w:before="160" w:after="60"/>
      </w:pPr>
      <w:r>
        <w:rPr>
          <w:rFonts w:ascii="Calibri" w:hAnsi="Calibri"/>
          <w:b/>
          <w:color w:val="000000"/>
          <w:sz w:val="22"/>
        </w:rPr>
        <w:t>15.1  Liens</w:t>
      </w:r>
    </w:p>
    <w:p>
      <w:r>
        <w:rPr>
          <w:b w:val="0"/>
          <w:i w:val="0"/>
        </w:rPr>
        <w:t xml:space="preserve">RIVR Tech shall keep the Tribal Assets free of all mechanics', materialmen's, tax, judgment, and other liens arising from its acts or omissions, and shall discharge or bond any such lien within </w:t>
      </w:r>
      <w:r>
        <w:rPr>
          <w:b w:val="0"/>
          <w:i w:val="0"/>
          <w:color w:val="804000"/>
          <w:highlight w:val="yellow"/>
        </w:rPr>
        <w:t>[■ lien discharge period, e.g., thirty (30) days]</w:t>
      </w:r>
      <w:r>
        <w:rPr>
          <w:b w:val="0"/>
          <w:i w:val="0"/>
        </w:rPr>
        <w:t xml:space="preserve"> of notice. No lien may attach to the Federal Interest.</w:t>
      </w:r>
    </w:p>
    <w:p>
      <w:pPr>
        <w:pStyle w:val="Heading2"/>
        <w:spacing w:before="160" w:after="60"/>
      </w:pPr>
      <w:r>
        <w:rPr>
          <w:rFonts w:ascii="Calibri" w:hAnsi="Calibri"/>
          <w:b/>
          <w:color w:val="000000"/>
          <w:sz w:val="22"/>
        </w:rPr>
        <w:t>15.2  Taxes</w:t>
      </w:r>
    </w:p>
    <w:p>
      <w:r>
        <w:rPr>
          <w:b w:val="0"/>
          <w:i w:val="0"/>
        </w:rPr>
        <w:t xml:space="preserve">RIVR Tech is responsible for taxes attributable to its use and operations. The Parties acknowledge the Tribe's sovereign status and any applicable exemptions; allocation of ad valorem and possessory-interest taxes, if any, is </w:t>
      </w:r>
      <w:r>
        <w:rPr>
          <w:b w:val="0"/>
          <w:i w:val="0"/>
          <w:color w:val="804000"/>
          <w:highlight w:val="yellow"/>
        </w:rPr>
        <w:t>[■ tax allocation — to be confirmed with tax counsel]</w:t>
      </w:r>
      <w:r>
        <w:rPr>
          <w:b w:val="0"/>
          <w:i w:val="0"/>
        </w:rPr>
        <w:t>.</w:t>
      </w:r>
    </w:p>
    <w:p>
      <w:pPr>
        <w:pStyle w:val="Heading2"/>
        <w:spacing w:before="160" w:after="60"/>
      </w:pPr>
      <w:r>
        <w:rPr>
          <w:rFonts w:ascii="Calibri" w:hAnsi="Calibri"/>
          <w:b/>
          <w:color w:val="000000"/>
          <w:sz w:val="22"/>
        </w:rPr>
        <w:t>15.3  Insurance</w:t>
      </w:r>
    </w:p>
    <w:p>
      <w:r>
        <w:rPr>
          <w:b w:val="0"/>
          <w:i w:val="0"/>
        </w:rPr>
        <w:t>RIVR Tech shall procure and maintain, and cause its contractors to maintain, the following minimum insurance for the Term, naming the Tribe and the United States/NTIA as additional insureds where applicable, with evidence delivered per Exhibit I and consistent with 2 CFR 200.310 (Insurance coverage):</w:t>
      </w:r>
    </w:p>
    <w:tbl>
      <w:tblPr>
        <w:tblStyle w:val="TableGrid"/>
        <w:tblW w:type="auto" w:w="0"/>
        <w:jc w:val="center"/>
        <w:tblLook w:firstColumn="1" w:firstRow="1" w:lastColumn="0" w:lastRow="0" w:noHBand="0" w:noVBand="1" w:val="04A0"/>
      </w:tblPr>
      <w:tblGrid>
        <w:gridCol w:w="4680"/>
        <w:gridCol w:w="4680"/>
      </w:tblGrid>
      <w:tr>
        <w:tc>
          <w:tcPr>
            <w:tcW w:type="dxa" w:w="4896"/>
            <w:shd w:val="clear" w:color="auto" w:fill="1F3864"/>
            <w:vAlign w:val="center"/>
          </w:tcPr>
          <w:p>
            <w:pPr>
              <w:jc w:val="center"/>
            </w:pPr>
            <w:r>
              <w:rPr>
                <w:b/>
                <w:color w:val="FFFFFF"/>
                <w:sz w:val="18"/>
              </w:rPr>
              <w:t>Coverage</w:t>
            </w:r>
          </w:p>
        </w:tc>
        <w:tc>
          <w:tcPr>
            <w:tcW w:type="dxa" w:w="4464"/>
            <w:shd w:val="clear" w:color="auto" w:fill="1F3864"/>
            <w:vAlign w:val="center"/>
          </w:tcPr>
          <w:p>
            <w:pPr>
              <w:jc w:val="center"/>
            </w:pPr>
            <w:r>
              <w:rPr>
                <w:b/>
                <w:color w:val="FFFFFF"/>
                <w:sz w:val="18"/>
              </w:rPr>
              <w:t>Minimum Limit</w:t>
            </w:r>
          </w:p>
        </w:tc>
      </w:tr>
      <w:tr>
        <w:tc>
          <w:tcPr>
            <w:tcW w:type="dxa" w:w="4896"/>
            <w:vAlign w:val="center"/>
          </w:tcPr>
          <w:p>
            <w:r>
              <w:rPr>
                <w:b w:val="0"/>
                <w:i w:val="0"/>
                <w:sz w:val="18"/>
              </w:rPr>
              <w:t>Commercial General Liability (per occurrence)</w:t>
            </w:r>
          </w:p>
        </w:tc>
        <w:tc>
          <w:tcPr>
            <w:tcW w:type="dxa" w:w="4464"/>
            <w:vAlign w:val="center"/>
          </w:tcPr>
          <w:p>
            <w:r>
              <w:rPr>
                <w:b w:val="0"/>
                <w:i w:val="0"/>
                <w:sz w:val="18"/>
              </w:rPr>
              <w:t>$2,000,000</w:t>
            </w:r>
          </w:p>
        </w:tc>
      </w:tr>
      <w:tr>
        <w:tc>
          <w:tcPr>
            <w:tcW w:type="dxa" w:w="4896"/>
            <w:shd w:val="clear" w:color="auto" w:fill="F2F2F2"/>
            <w:vAlign w:val="center"/>
          </w:tcPr>
          <w:p>
            <w:r>
              <w:rPr>
                <w:b w:val="0"/>
                <w:i w:val="0"/>
                <w:sz w:val="18"/>
              </w:rPr>
              <w:t>Commercial General Liability (aggregate)</w:t>
            </w:r>
          </w:p>
        </w:tc>
        <w:tc>
          <w:tcPr>
            <w:tcW w:type="dxa" w:w="4464"/>
            <w:shd w:val="clear" w:color="auto" w:fill="F2F2F2"/>
            <w:vAlign w:val="center"/>
          </w:tcPr>
          <w:p>
            <w:r>
              <w:rPr>
                <w:b w:val="0"/>
                <w:i w:val="0"/>
                <w:sz w:val="18"/>
              </w:rPr>
              <w:t>$4,000,000</w:t>
            </w:r>
          </w:p>
        </w:tc>
      </w:tr>
      <w:tr>
        <w:tc>
          <w:tcPr>
            <w:tcW w:type="dxa" w:w="4896"/>
            <w:vAlign w:val="center"/>
          </w:tcPr>
          <w:p>
            <w:r>
              <w:rPr>
                <w:b w:val="0"/>
                <w:i w:val="0"/>
                <w:sz w:val="18"/>
              </w:rPr>
              <w:t>Automobile Liability</w:t>
            </w:r>
          </w:p>
        </w:tc>
        <w:tc>
          <w:tcPr>
            <w:tcW w:type="dxa" w:w="4464"/>
            <w:vAlign w:val="center"/>
          </w:tcPr>
          <w:p>
            <w:r>
              <w:rPr>
                <w:b w:val="0"/>
                <w:i w:val="0"/>
                <w:sz w:val="18"/>
              </w:rPr>
              <w:t>$1,000,000</w:t>
            </w:r>
          </w:p>
        </w:tc>
      </w:tr>
      <w:tr>
        <w:tc>
          <w:tcPr>
            <w:tcW w:type="dxa" w:w="4896"/>
            <w:shd w:val="clear" w:color="auto" w:fill="F2F2F2"/>
            <w:vAlign w:val="center"/>
          </w:tcPr>
          <w:p>
            <w:r>
              <w:rPr>
                <w:b w:val="0"/>
                <w:i w:val="0"/>
                <w:sz w:val="18"/>
              </w:rPr>
              <w:t>Umbrella / Excess Liability</w:t>
            </w:r>
          </w:p>
        </w:tc>
        <w:tc>
          <w:tcPr>
            <w:tcW w:type="dxa" w:w="4464"/>
            <w:shd w:val="clear" w:color="auto" w:fill="F2F2F2"/>
            <w:vAlign w:val="center"/>
          </w:tcPr>
          <w:p>
            <w:r>
              <w:rPr>
                <w:b w:val="0"/>
                <w:i w:val="0"/>
                <w:sz w:val="18"/>
              </w:rPr>
              <w:t>$10,000,000</w:t>
            </w:r>
          </w:p>
        </w:tc>
      </w:tr>
      <w:tr>
        <w:tc>
          <w:tcPr>
            <w:tcW w:type="dxa" w:w="4896"/>
            <w:vAlign w:val="center"/>
          </w:tcPr>
          <w:p>
            <w:r>
              <w:rPr>
                <w:b w:val="0"/>
                <w:i w:val="0"/>
                <w:sz w:val="18"/>
              </w:rPr>
              <w:t>Workers' Compensation</w:t>
            </w:r>
          </w:p>
        </w:tc>
        <w:tc>
          <w:tcPr>
            <w:tcW w:type="dxa" w:w="4464"/>
            <w:vAlign w:val="center"/>
          </w:tcPr>
          <w:p>
            <w:r>
              <w:rPr>
                <w:b w:val="0"/>
                <w:i w:val="0"/>
                <w:sz w:val="18"/>
              </w:rPr>
              <w:t>statutory limits</w:t>
            </w:r>
          </w:p>
        </w:tc>
      </w:tr>
      <w:tr>
        <w:tc>
          <w:tcPr>
            <w:tcW w:type="dxa" w:w="4896"/>
            <w:shd w:val="clear" w:color="auto" w:fill="F2F2F2"/>
            <w:vAlign w:val="center"/>
          </w:tcPr>
          <w:p>
            <w:r>
              <w:rPr>
                <w:b w:val="0"/>
                <w:i w:val="0"/>
                <w:sz w:val="18"/>
              </w:rPr>
              <w:t>Employer's Liability</w:t>
            </w:r>
          </w:p>
        </w:tc>
        <w:tc>
          <w:tcPr>
            <w:tcW w:type="dxa" w:w="4464"/>
            <w:shd w:val="clear" w:color="auto" w:fill="F2F2F2"/>
            <w:vAlign w:val="center"/>
          </w:tcPr>
          <w:p>
            <w:r>
              <w:rPr>
                <w:b w:val="0"/>
                <w:i w:val="0"/>
                <w:sz w:val="18"/>
              </w:rPr>
              <w:t>$1,000,000</w:t>
            </w:r>
          </w:p>
        </w:tc>
      </w:tr>
      <w:tr>
        <w:tc>
          <w:tcPr>
            <w:tcW w:type="dxa" w:w="4896"/>
            <w:vAlign w:val="center"/>
          </w:tcPr>
          <w:p>
            <w:r>
              <w:rPr>
                <w:b w:val="0"/>
                <w:i w:val="0"/>
                <w:sz w:val="18"/>
              </w:rPr>
              <w:t>Professional / Technology E&amp;O</w:t>
            </w:r>
          </w:p>
        </w:tc>
        <w:tc>
          <w:tcPr>
            <w:tcW w:type="dxa" w:w="4464"/>
            <w:vAlign w:val="center"/>
          </w:tcPr>
          <w:p>
            <w:r>
              <w:rPr>
                <w:b w:val="0"/>
                <w:i w:val="0"/>
                <w:sz w:val="18"/>
              </w:rPr>
              <w:t>$5,000,000</w:t>
            </w:r>
          </w:p>
        </w:tc>
      </w:tr>
      <w:tr>
        <w:tc>
          <w:tcPr>
            <w:tcW w:type="dxa" w:w="4896"/>
            <w:shd w:val="clear" w:color="auto" w:fill="F2F2F2"/>
            <w:vAlign w:val="center"/>
          </w:tcPr>
          <w:p>
            <w:r>
              <w:rPr>
                <w:b w:val="0"/>
                <w:i w:val="0"/>
                <w:sz w:val="18"/>
              </w:rPr>
              <w:t>Cyber Liability</w:t>
            </w:r>
          </w:p>
        </w:tc>
        <w:tc>
          <w:tcPr>
            <w:tcW w:type="dxa" w:w="4464"/>
            <w:shd w:val="clear" w:color="auto" w:fill="F2F2F2"/>
            <w:vAlign w:val="center"/>
          </w:tcPr>
          <w:p>
            <w:r>
              <w:rPr>
                <w:b w:val="0"/>
                <w:i w:val="0"/>
                <w:sz w:val="18"/>
              </w:rPr>
              <w:t>$5,000,000</w:t>
            </w:r>
          </w:p>
        </w:tc>
      </w:tr>
      <w:tr>
        <w:tc>
          <w:tcPr>
            <w:tcW w:type="dxa" w:w="4896"/>
            <w:vAlign w:val="center"/>
          </w:tcPr>
          <w:p>
            <w:r>
              <w:rPr>
                <w:b w:val="0"/>
                <w:i w:val="0"/>
                <w:sz w:val="18"/>
              </w:rPr>
              <w:t>Property / Builder's Risk</w:t>
            </w:r>
          </w:p>
        </w:tc>
        <w:tc>
          <w:tcPr>
            <w:tcW w:type="dxa" w:w="4464"/>
            <w:vAlign w:val="center"/>
          </w:tcPr>
          <w:p>
            <w:r>
              <w:rPr>
                <w:b w:val="0"/>
                <w:i w:val="0"/>
                <w:sz w:val="18"/>
              </w:rPr>
              <w:t>full replacement cost of the Tribal Assets</w:t>
            </w:r>
          </w:p>
        </w:tc>
      </w:tr>
      <w:tr>
        <w:tc>
          <w:tcPr>
            <w:tcW w:type="dxa" w:w="4896"/>
            <w:shd w:val="clear" w:color="auto" w:fill="F2F2F2"/>
            <w:vAlign w:val="center"/>
          </w:tcPr>
          <w:p>
            <w:r>
              <w:rPr>
                <w:b w:val="0"/>
                <w:i w:val="0"/>
                <w:sz w:val="18"/>
              </w:rPr>
              <w:t>Pollution / Environmental</w:t>
            </w:r>
          </w:p>
        </w:tc>
        <w:tc>
          <w:tcPr>
            <w:tcW w:type="dxa" w:w="4464"/>
            <w:shd w:val="clear" w:color="auto" w:fill="F2F2F2"/>
            <w:vAlign w:val="center"/>
          </w:tcPr>
          <w:p>
            <w:r>
              <w:rPr>
                <w:b w:val="0"/>
                <w:i w:val="0"/>
                <w:sz w:val="18"/>
              </w:rPr>
              <w:t>$1,000,000</w:t>
            </w:r>
          </w:p>
        </w:tc>
      </w:tr>
    </w:tbl>
    <w:p>
      <w:r>
        <w:rPr>
          <w:b w:val="0"/>
          <w:i w:val="0"/>
        </w:rPr>
        <w:t>Property and builder's-risk proceeds for Tribal Assets are applied first to restoration; the Federal Interest attaches to such proceeds.</w:t>
      </w:r>
    </w:p>
    <w:p>
      <w:pPr>
        <w:pStyle w:val="Heading1"/>
        <w:spacing w:before="240" w:after="120"/>
      </w:pPr>
      <w:r>
        <w:rPr>
          <w:rFonts w:ascii="Calibri" w:hAnsi="Calibri"/>
          <w:b/>
          <w:color w:val="1F3864"/>
          <w:sz w:val="26"/>
        </w:rPr>
        <w:t>ARTICLE 16.  DEFAULT, ABANDONMENT, EXPIRATION, AND TRANSITION</w:t>
      </w:r>
    </w:p>
    <w:p>
      <w:pPr>
        <w:pStyle w:val="Heading2"/>
        <w:spacing w:before="160" w:after="60"/>
      </w:pPr>
      <w:r>
        <w:rPr>
          <w:rFonts w:ascii="Calibri" w:hAnsi="Calibri"/>
          <w:b/>
          <w:color w:val="000000"/>
          <w:sz w:val="22"/>
        </w:rPr>
        <w:t>16.1  Events of Default</w:t>
      </w:r>
    </w:p>
    <w:p>
      <w:r>
        <w:rPr>
          <w:b w:val="0"/>
          <w:i w:val="0"/>
        </w:rPr>
        <w:t>An Event of Default occurs if a Party (a) fails to pay any amount when due and does not cure within 30 days of notice; (b) fails to perform any other material obligation and does not cure within 60 days of notice (extended by an additional sixty (60) days if the breach is not reasonably curable within the initial period and the defaulting Party is diligently pursuing cure); (c) abandons the Network or Essential Services; or (d) suffers an insolvency event.</w:t>
      </w:r>
    </w:p>
    <w:p>
      <w:pPr>
        <w:pStyle w:val="Heading2"/>
        <w:spacing w:before="160" w:after="60"/>
      </w:pPr>
      <w:r>
        <w:rPr>
          <w:rFonts w:ascii="Calibri" w:hAnsi="Calibri"/>
          <w:b/>
          <w:color w:val="000000"/>
          <w:sz w:val="22"/>
        </w:rPr>
        <w:t>16.2  Remedies</w:t>
      </w:r>
    </w:p>
    <w:p>
      <w:r>
        <w:rPr>
          <w:b w:val="0"/>
          <w:i w:val="0"/>
        </w:rPr>
        <w:t>Upon an uncured Event of Default, the non-defaulting Party may pursue all remedies at law or in equity, subject to Article 20 and to the Tribe's step-in and successor-operator rights under Document 02.07. Award-related remedies for noncompliance are governed by 2 CFR 200.339–200.343 (Remedies for noncompliance; termination).</w:t>
      </w:r>
    </w:p>
    <w:p>
      <w:pPr>
        <w:pStyle w:val="Heading2"/>
        <w:spacing w:before="160" w:after="60"/>
      </w:pPr>
      <w:r>
        <w:rPr>
          <w:rFonts w:ascii="Calibri" w:hAnsi="Calibri"/>
          <w:b/>
          <w:color w:val="000000"/>
          <w:sz w:val="22"/>
        </w:rPr>
        <w:t>16.3  Abandonment; Continuity of Essential Services</w:t>
      </w:r>
    </w:p>
    <w:p>
      <w:r>
        <w:rPr>
          <w:b w:val="0"/>
          <w:i w:val="0"/>
        </w:rPr>
        <w:t>RIVR Tech shall not abandon the Network or discontinue Essential Services. Upon threatened abandonment or chronic failure, the Tribe may exercise step-in rights (immediate, upon notice, where continuity of Essential Services, public safety, or compliance with the Award is imminently threatened) and transition to a successor operator under Document 02.07.</w:t>
      </w:r>
    </w:p>
    <w:p>
      <w:pPr>
        <w:pStyle w:val="Heading2"/>
        <w:spacing w:before="160" w:after="60"/>
      </w:pPr>
      <w:r>
        <w:rPr>
          <w:rFonts w:ascii="Calibri" w:hAnsi="Calibri"/>
          <w:b/>
          <w:color w:val="000000"/>
          <w:sz w:val="22"/>
        </w:rPr>
        <w:t>16.4  Expiration and Transition</w:t>
      </w:r>
    </w:p>
    <w:p>
      <w:r>
        <w:rPr>
          <w:b w:val="0"/>
          <w:i w:val="0"/>
        </w:rPr>
        <w:t>Upon expiration or termination, the IRU terminates, all rights of use revert to the Tribe (title having never left the Tribe), and RIVR Tech shall cooperate in an orderly transition over up to 12 months as provided in Document 02.07, including delivery of records, keys, credentials, and as-builts, and continuity of Essential Services.</w:t>
      </w:r>
    </w:p>
    <w:p>
      <w:pPr>
        <w:pStyle w:val="Heading2"/>
        <w:spacing w:before="160" w:after="60"/>
      </w:pPr>
      <w:r>
        <w:rPr>
          <w:rFonts w:ascii="Calibri" w:hAnsi="Calibri"/>
          <w:b/>
          <w:color w:val="000000"/>
          <w:sz w:val="22"/>
        </w:rPr>
        <w:t>16.5  Successor Operator</w:t>
      </w:r>
    </w:p>
    <w:p>
      <w:r>
        <w:rPr>
          <w:b w:val="0"/>
          <w:i w:val="0"/>
        </w:rPr>
        <w:t>The Tribe may designate a successor operator to assume operation of the Network; RIVR Tech shall provide reasonable transition assistance and shall not impair the successor's ability to operate the Tribal Assets.</w:t>
      </w:r>
    </w:p>
    <w:p>
      <w:pPr>
        <w:pStyle w:val="Heading1"/>
        <w:spacing w:before="240" w:after="120"/>
      </w:pPr>
      <w:r>
        <w:rPr>
          <w:rFonts w:ascii="Calibri" w:hAnsi="Calibri"/>
          <w:b/>
          <w:color w:val="1F3864"/>
          <w:sz w:val="26"/>
        </w:rPr>
        <w:t>ARTICLE 17.  REPRESENTATIONS, INDEMNIFICATION, AND LIMITATION OF LIABILITY</w:t>
      </w:r>
    </w:p>
    <w:p>
      <w:pPr>
        <w:pStyle w:val="Heading2"/>
        <w:spacing w:before="160" w:after="60"/>
      </w:pPr>
      <w:r>
        <w:rPr>
          <w:rFonts w:ascii="Calibri" w:hAnsi="Calibri"/>
          <w:b/>
          <w:color w:val="000000"/>
          <w:sz w:val="22"/>
        </w:rPr>
        <w:t>17.1  Representations and Warranties</w:t>
      </w:r>
    </w:p>
    <w:p>
      <w:r>
        <w:rPr>
          <w:b w:val="0"/>
          <w:i w:val="0"/>
        </w:rPr>
        <w:t>Each Party represents that it is duly organized and authorized to enter into this Agreement; that execution has been duly authorized; and that this Agreement is enforceable against it, subject to Article 18 (sovereign immunity) and applicable federal requirements.</w:t>
      </w:r>
    </w:p>
    <w:p>
      <w:pPr>
        <w:pStyle w:val="Heading2"/>
        <w:spacing w:before="160" w:after="60"/>
      </w:pPr>
      <w:r>
        <w:rPr>
          <w:rFonts w:ascii="Calibri" w:hAnsi="Calibri"/>
          <w:b/>
          <w:color w:val="000000"/>
          <w:sz w:val="22"/>
        </w:rPr>
        <w:t>17.2  Indemnification</w:t>
      </w:r>
    </w:p>
    <w:p>
      <w:r>
        <w:rPr>
          <w:b w:val="0"/>
          <w:i w:val="0"/>
        </w:rPr>
        <w:t xml:space="preserve">Each Party shall indemnify the other against third-party claims arising from its negligence, willful misconduct, or breach, subject to the limitations herein. RIVR Tech shall indemnify the Tribe against liens, encumbrances, and Federal-Interest impairments arising from RIVR Tech's acts. Indemnity by the Tribe, if any, is subject to and does not exceed any limited immunity waiver in Article 18. </w:t>
      </w:r>
      <w:r>
        <w:rPr>
          <w:b w:val="0"/>
          <w:i w:val="0"/>
          <w:color w:val="804000"/>
          <w:highlight w:val="yellow"/>
        </w:rPr>
        <w:t>[■ mutual vs. one-way indemnity scope to be confirmed]</w:t>
      </w:r>
    </w:p>
    <w:p>
      <w:pPr>
        <w:pStyle w:val="Heading2"/>
        <w:spacing w:before="160" w:after="60"/>
      </w:pPr>
      <w:r>
        <w:rPr>
          <w:rFonts w:ascii="Calibri" w:hAnsi="Calibri"/>
          <w:b/>
          <w:color w:val="000000"/>
          <w:sz w:val="22"/>
        </w:rPr>
        <w:t>17.3  Limitation of Liability</w:t>
      </w:r>
    </w:p>
    <w:p>
      <w:r>
        <w:rPr>
          <w:b w:val="0"/>
          <w:i w:val="0"/>
        </w:rPr>
        <w:t xml:space="preserve">Except for indemnity obligations, Federal-Interest and lien breaches, and willful misconduct, neither Party is liable for consequential, incidental, or punitive damages. Any aggregate cap is </w:t>
      </w:r>
      <w:r>
        <w:rPr>
          <w:b w:val="0"/>
          <w:i w:val="0"/>
          <w:color w:val="804000"/>
          <w:highlight w:val="yellow"/>
        </w:rPr>
        <w:t>[■ liability cap, if any — business/legal decision]</w:t>
      </w:r>
      <w:r>
        <w:rPr>
          <w:b w:val="0"/>
          <w:i w:val="0"/>
        </w:rPr>
        <w:t>.</w:t>
      </w:r>
    </w:p>
    <w:p>
      <w:pPr>
        <w:pStyle w:val="Heading1"/>
        <w:spacing w:before="240" w:after="120"/>
      </w:pPr>
      <w:r>
        <w:rPr>
          <w:rFonts w:ascii="Calibri" w:hAnsi="Calibri"/>
          <w:b/>
          <w:color w:val="1F3864"/>
          <w:sz w:val="26"/>
        </w:rPr>
        <w:t>ARTICLE 18.  SOVEREIGN IMMUNITY, GOVERNING LAW, AND GENERAL PROVISIONS</w:t>
      </w:r>
    </w:p>
    <w:p>
      <w:pPr>
        <w:pStyle w:val="Heading2"/>
        <w:spacing w:before="160" w:after="60"/>
      </w:pPr>
      <w:r>
        <w:rPr>
          <w:rFonts w:ascii="Calibri" w:hAnsi="Calibri"/>
          <w:b/>
          <w:color w:val="000000"/>
          <w:sz w:val="22"/>
        </w:rPr>
        <w:t>18.1  Sovereign Immunity; Dispute Resolution</w:t>
      </w:r>
    </w:p>
    <w:p>
      <w:r>
        <w:rPr>
          <w:b w:val="0"/>
          <w:i w:val="0"/>
        </w:rPr>
        <w:t>The Tribe is a sovereign and possesses sovereign immunity. Any waiver of sovereign immunity is limited, express, and must be specifically approved by the Tribe's governing body. The Parties have NOT pre-selected a waiver scope or dispute forum; the following alternatives are presented for negotiation and legal review:</w:t>
      </w:r>
    </w:p>
    <w:p>
      <w:pPr>
        <w:ind w:left="504"/>
      </w:pPr>
      <w:r>
        <w:rPr>
          <w:b/>
        </w:rPr>
        <w:t xml:space="preserve">(Alt. 1)  </w:t>
      </w:r>
      <w:r>
        <w:rPr>
          <w:b w:val="0"/>
          <w:i w:val="0"/>
        </w:rPr>
        <w:t>No waiver of sovereign immunity; disputes resolved exclusively by binding arbitration with a limited, express, specifically identified waiver solely for the purpose of compelling arbitration and enforcing an award, with recovery limited to specified assets (not the Tribal Assets or the Federal Interest).</w:t>
      </w:r>
    </w:p>
    <w:p>
      <w:pPr>
        <w:ind w:left="504"/>
      </w:pPr>
      <w:r>
        <w:rPr>
          <w:b/>
        </w:rPr>
        <w:t xml:space="preserve">(Alt. 2)  </w:t>
      </w:r>
      <w:r>
        <w:rPr>
          <w:b w:val="0"/>
          <w:i w:val="0"/>
        </w:rPr>
        <w:t xml:space="preserve">Limited waiver for the exclusive jurisdiction of </w:t>
      </w:r>
      <w:r>
        <w:rPr>
          <w:b w:val="0"/>
          <w:i w:val="0"/>
          <w:color w:val="804000"/>
          <w:highlight w:val="yellow"/>
        </w:rPr>
        <w:t>[■ [Tribal Court]</w:t>
      </w:r>
      <w:r>
        <w:rPr>
          <w:b w:val="0"/>
          <w:i w:val="0"/>
        </w:rPr>
        <w:t xml:space="preserve"> / [designated forum]], exhausting Tribal remedies first, with defined caps and carve-outs.</w:t>
      </w:r>
    </w:p>
    <w:p>
      <w:pPr>
        <w:ind w:left="504"/>
      </w:pPr>
      <w:r>
        <w:rPr>
          <w:b/>
        </w:rPr>
        <w:t xml:space="preserve">(Alt. 3)  </w:t>
      </w:r>
      <w:r>
        <w:rPr>
          <w:b w:val="0"/>
          <w:i w:val="0"/>
        </w:rPr>
        <w:t>Limited waiver consenting to a specified federal or state court solely for defined claims, with immunity otherwise fully retained.</w:t>
      </w:r>
    </w:p>
    <w:p>
      <w:pPr>
        <w:ind w:left="504"/>
      </w:pPr>
      <w:r>
        <w:rPr>
          <w:b/>
          <w:color w:val="0000C0"/>
        </w:rPr>
        <w:t xml:space="preserve">[ATTORNEY REVIEW REQUIRED]  </w:t>
      </w:r>
      <w:r>
        <w:rPr>
          <w:i/>
          <w:color w:val="595959"/>
        </w:rPr>
        <w:t>Sovereign-immunity waiver scope and dispute forum are reserved for the Tribe's governing body and counsel. Do NOT adopt any alternative without express Tribal authorization. Any waiver must exclude the Tribal Assets and the Federal Interest from execution/attachment.</w:t>
      </w:r>
    </w:p>
    <w:p>
      <w:pPr>
        <w:pStyle w:val="Heading2"/>
        <w:spacing w:before="160" w:after="60"/>
      </w:pPr>
      <w:r>
        <w:rPr>
          <w:rFonts w:ascii="Calibri" w:hAnsi="Calibri"/>
          <w:b/>
          <w:color w:val="000000"/>
          <w:sz w:val="22"/>
        </w:rPr>
        <w:t>18.2  Governing Law</w:t>
      </w:r>
    </w:p>
    <w:p>
      <w:r>
        <w:rPr>
          <w:b w:val="0"/>
          <w:i w:val="0"/>
        </w:rPr>
        <w:t xml:space="preserve">Governing law is NOT pre-selected. The Parties shall choose among: </w:t>
      </w:r>
      <w:r>
        <w:rPr>
          <w:b w:val="0"/>
          <w:i w:val="0"/>
          <w:color w:val="804000"/>
          <w:highlight w:val="yellow"/>
        </w:rPr>
        <w:t>[■ [the laws of the Lumbee Tribe of North Carolina]</w:t>
      </w:r>
      <w:r>
        <w:rPr>
          <w:b w:val="0"/>
          <w:i w:val="0"/>
        </w:rPr>
        <w:t xml:space="preserve"> / [the laws of the State of North Carolina] / [applicable federal law], to the extent not preempted by the Award and federal requirements].</w:t>
      </w:r>
    </w:p>
    <w:p>
      <w:pPr>
        <w:ind w:left="504"/>
      </w:pPr>
      <w:r>
        <w:rPr>
          <w:b/>
          <w:color w:val="0000C0"/>
        </w:rPr>
        <w:t xml:space="preserve">[ATTORNEY REVIEW REQUIRED]  </w:t>
      </w:r>
      <w:r>
        <w:rPr>
          <w:i/>
          <w:color w:val="595959"/>
        </w:rPr>
        <w:t>Select governing law by bracketed alternative only; coordinate with the sovereign-immunity and dispute-resolution choice. Federal requirements and the Award control regardless of the governing-law choice (Article 14).</w:t>
      </w:r>
    </w:p>
    <w:p>
      <w:pPr>
        <w:pStyle w:val="Heading2"/>
        <w:spacing w:before="160" w:after="60"/>
      </w:pPr>
      <w:r>
        <w:rPr>
          <w:rFonts w:ascii="Calibri" w:hAnsi="Calibri"/>
          <w:b/>
          <w:color w:val="000000"/>
          <w:sz w:val="22"/>
        </w:rPr>
        <w:t>18.3  Notices</w:t>
      </w:r>
    </w:p>
    <w:p>
      <w:r>
        <w:rPr>
          <w:b w:val="0"/>
          <w:i w:val="0"/>
        </w:rPr>
        <w:t xml:space="preserve">Notices shall be in writing and delivered to the addresses in </w:t>
      </w:r>
      <w:r>
        <w:rPr>
          <w:b w:val="0"/>
          <w:i w:val="0"/>
          <w:color w:val="804000"/>
          <w:highlight w:val="yellow"/>
        </w:rPr>
        <w:t>[■ notice addresses for each Party]</w:t>
      </w:r>
      <w:r>
        <w:rPr>
          <w:b w:val="0"/>
          <w:i w:val="0"/>
        </w:rPr>
        <w:t>, effective on receipt.</w:t>
      </w:r>
    </w:p>
    <w:p>
      <w:pPr>
        <w:pStyle w:val="Heading2"/>
        <w:spacing w:before="160" w:after="60"/>
      </w:pPr>
      <w:r>
        <w:rPr>
          <w:rFonts w:ascii="Calibri" w:hAnsi="Calibri"/>
          <w:b/>
          <w:color w:val="000000"/>
          <w:sz w:val="22"/>
        </w:rPr>
        <w:t>18.4  Force Majeure</w:t>
      </w:r>
    </w:p>
    <w:p>
      <w:r>
        <w:rPr>
          <w:b w:val="0"/>
          <w:i w:val="0"/>
        </w:rPr>
        <w:t>Neither Party is liable for delay caused by events beyond its reasonable control, provided Essential-Services continuity and storm-restoration obligations under Document 02.03 remain in effect.</w:t>
      </w:r>
    </w:p>
    <w:p>
      <w:pPr>
        <w:pStyle w:val="Heading2"/>
        <w:spacing w:before="160" w:after="60"/>
      </w:pPr>
      <w:r>
        <w:rPr>
          <w:rFonts w:ascii="Calibri" w:hAnsi="Calibri"/>
          <w:b/>
          <w:color w:val="000000"/>
          <w:sz w:val="22"/>
        </w:rPr>
        <w:t>18.5  Entire Agreement; Amendment; Order of Precedence</w:t>
      </w:r>
    </w:p>
    <w:p>
      <w:r>
        <w:rPr>
          <w:b w:val="0"/>
          <w:i w:val="0"/>
        </w:rPr>
        <w:t>This Agreement and its Exhibits, together with the related package documents, constitute the entire agreement on their subject matter. Amendments must be in writing and signed; amendments affecting the Federal Interest require any Award-required consent. The Award and federal requirements control per Article 14.</w:t>
      </w:r>
    </w:p>
    <w:p>
      <w:pPr>
        <w:pStyle w:val="Heading2"/>
        <w:spacing w:before="160" w:after="60"/>
      </w:pPr>
      <w:r>
        <w:rPr>
          <w:rFonts w:ascii="Calibri" w:hAnsi="Calibri"/>
          <w:b/>
          <w:color w:val="000000"/>
          <w:sz w:val="22"/>
        </w:rPr>
        <w:t>18.6  Third-Party Beneficiary</w:t>
      </w:r>
    </w:p>
    <w:p>
      <w:r>
        <w:rPr>
          <w:b w:val="0"/>
          <w:i w:val="0"/>
        </w:rPr>
        <w:t>The United States and NTIA are intended third-party beneficiaries solely as to the Federal Interest and the encumbrance and disposition restrictions in Article 14.</w:t>
      </w:r>
    </w:p>
    <w:p>
      <w:pPr>
        <w:pStyle w:val="Heading2"/>
        <w:spacing w:before="160" w:after="60"/>
      </w:pPr>
      <w:r>
        <w:rPr>
          <w:rFonts w:ascii="Calibri" w:hAnsi="Calibri"/>
          <w:b/>
          <w:color w:val="000000"/>
          <w:sz w:val="22"/>
        </w:rPr>
        <w:t>18.7  Survival</w:t>
      </w:r>
    </w:p>
    <w:p>
      <w:r>
        <w:rPr>
          <w:b w:val="0"/>
          <w:i w:val="0"/>
        </w:rPr>
        <w:t>Articles 3.3 (title), 8 (Reserved Tribal Capacity, as to accrued rights), 14 (Federal Grant Priority and encumbrance), 16.4 (transition), 17 (indemnity/limitation), and 18 survive expiration or termination.</w:t>
      </w:r>
    </w:p>
    <w:p>
      <w:pPr>
        <w:pStyle w:val="Heading1"/>
        <w:spacing w:before="240" w:after="120"/>
      </w:pPr>
      <w:r>
        <w:rPr>
          <w:rFonts w:ascii="Calibri" w:hAnsi="Calibri"/>
          <w:b/>
          <w:color w:val="1F3864"/>
          <w:sz w:val="26"/>
        </w:rPr>
        <w:t>ARTICLE 19.  EXHIBITS</w:t>
      </w:r>
    </w:p>
    <w:p>
      <w:r>
        <w:rPr>
          <w:b w:val="0"/>
          <w:i w:val="0"/>
        </w:rPr>
        <w:t>The following Exhibits are attached and incorporated:</w:t>
      </w:r>
    </w:p>
    <w:p>
      <w:pPr>
        <w:pStyle w:val="ListBullet"/>
      </w:pPr>
      <w:r>
        <w:rPr>
          <w:b w:val="0"/>
          <w:i w:val="0"/>
        </w:rPr>
        <w:t>Exhibit A — Route Schedule (Tribal Assets)</w:t>
      </w:r>
    </w:p>
    <w:p>
      <w:pPr>
        <w:pStyle w:val="ListBullet"/>
      </w:pPr>
      <w:r>
        <w:rPr>
          <w:b w:val="0"/>
          <w:i w:val="0"/>
        </w:rPr>
        <w:t>Exhibit B — Asset / Demarcation Matrix</w:t>
      </w:r>
    </w:p>
    <w:p>
      <w:pPr>
        <w:pStyle w:val="ListBullet"/>
      </w:pPr>
      <w:r>
        <w:rPr>
          <w:b w:val="0"/>
          <w:i w:val="0"/>
        </w:rPr>
        <w:t>Exhibit C — Fiber Allocation (IRU Capacity vs. Reserved Tribal Capacity)</w:t>
      </w:r>
    </w:p>
    <w:p>
      <w:pPr>
        <w:pStyle w:val="ListBullet"/>
      </w:pPr>
      <w:r>
        <w:rPr>
          <w:b w:val="0"/>
          <w:i w:val="0"/>
        </w:rPr>
        <w:t>Exhibit E / G — Delivery, Testing, and Acceptance Procedures and Forms</w:t>
      </w:r>
    </w:p>
    <w:p>
      <w:pPr>
        <w:pStyle w:val="ListBullet"/>
      </w:pPr>
      <w:r>
        <w:rPr>
          <w:b w:val="0"/>
          <w:i w:val="0"/>
        </w:rPr>
        <w:t>Exhibit I — Insurance Requirements and Evidence</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Confirm authorized signatories and any required Tribal Council / governing-body resolution and NTIA consent before execution; attach the authorizing resolution as an execution exhibit.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IRU Agreement (Doc 02.02)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