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DOCUMENT 02.01 — DEFINITIVE AGREEMENTS</w:t>
      </w:r>
    </w:p>
    <w:p>
      <w:pPr>
        <w:jc w:val="center"/>
      </w:pPr>
      <w:r>
        <w:rPr>
          <w:b/>
          <w:color w:val="1F3864"/>
          <w:sz w:val="48"/>
        </w:rPr>
        <w:t>Master TBCP Partnership and Implementation Agreement</w:t>
      </w:r>
    </w:p>
    <w:p>
      <w:pPr>
        <w:jc w:val="center"/>
      </w:pPr>
      <w:r>
        <w:rPr>
          <w:color w:val="595959"/>
          <w:sz w:val="28"/>
        </w:rPr>
        <w:t>The umbrella agreement and single shared-definitions source for the coordinated TBCP fiber-project package</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pPr>
        <w:pStyle w:val="Heading1"/>
        <w:spacing w:before="240" w:after="120"/>
      </w:pPr>
      <w:r>
        <w:rPr>
          <w:rFonts w:ascii="Calibri" w:hAnsi="Calibri"/>
          <w:b/>
          <w:color w:val="1F3864"/>
          <w:sz w:val="26"/>
        </w:rPr>
        <w:t>ARTICLE 1.  PARTIES, RECITALS, AND BACKGROUND</w:t>
      </w:r>
    </w:p>
    <w:p>
      <w:r>
        <w:t>This Master TBCP Partnership and Implementation Agreement (this “Agreement”) is entered into as of [■ Effective Date] (the “Effective Date”), by and between Lumbee Tribe of North Carolina (the “Lumbee Tribe”), and LREMC Technologies, LLC d/b/a RIVR Tech (“RIVR Tech”). The Lumbee Tribe and RIVR Tech are each a “Party” and together the “Parties.”</w:t>
      </w:r>
    </w:p>
    <w:p>
      <w:pPr>
        <w:ind w:left="504"/>
      </w:pPr>
      <w:r>
        <w:rPr>
          <w:b/>
          <w:color w:val="C00000"/>
        </w:rPr>
        <w:t xml:space="preserve">[BUSINESS DECISION REQUIRED]  </w:t>
      </w:r>
      <w:r>
        <w:rPr>
          <w:i/>
          <w:color w:val="595959"/>
        </w:rPr>
        <w:t>Confirm whether the contracting Tribal party is the Lumbee Tribe of North Carolina directly or a wholly owned Tribal entity or Tribally chartered instrumentality designated by the Lumbee Tribe; align the recitals, signatory, and authorizing resolution accordingly (Schedule S1).</w:t>
      </w:r>
    </w:p>
    <w:p>
      <w:pPr>
        <w:pStyle w:val="Heading2"/>
        <w:spacing w:before="160" w:after="60"/>
      </w:pPr>
      <w:r>
        <w:rPr>
          <w:rFonts w:ascii="Calibri" w:hAnsi="Calibri"/>
          <w:b/>
          <w:color w:val="000000"/>
          <w:sz w:val="22"/>
        </w:rPr>
        <w:t>1.1  Recitals</w:t>
      </w:r>
    </w:p>
    <w:p>
      <w:pPr>
        <w:ind w:left="504"/>
      </w:pPr>
      <w:r>
        <w:rPr>
          <w:b/>
        </w:rPr>
        <w:t xml:space="preserve">(a)  </w:t>
      </w:r>
      <w:r>
        <w:rPr>
          <w:b w:val="0"/>
          <w:i w:val="0"/>
        </w:rPr>
        <w:t xml:space="preserve">The Lumbee Tribe is a federally recognized Indian Tribe. Federal recognition status affecting TBCP eligibility is governed by the Lumbee Act of 1956, Pub. L. 84-570, 70 Stat. 254 (federal-recognition status affecting TBCP eligibility). </w:t>
      </w:r>
      <w:r>
        <w:rPr>
          <w:b/>
          <w:i w:val="0"/>
          <w:color w:val="7F007F"/>
        </w:rPr>
        <w:t>[GRANT COMPLIANCE REVIEW REQUIRED]</w:t>
      </w:r>
      <w:r>
        <w:rPr>
          <w:b w:val="0"/>
          <w:i w:val="0"/>
        </w:rPr>
        <w:t xml:space="preserve"> Counsel must confirm the Lumbee Tribe's recognition status and TBCP eligibility basis against the controlling Award and NTIA determinations.</w:t>
      </w:r>
    </w:p>
    <w:p>
      <w:pPr>
        <w:ind w:left="504"/>
      </w:pPr>
      <w:r>
        <w:rPr>
          <w:b/>
        </w:rPr>
        <w:t xml:space="preserve">(b)  </w:t>
      </w:r>
      <w:r>
        <w:rPr>
          <w:b w:val="0"/>
          <w:i w:val="0"/>
        </w:rPr>
        <w:t>The Lumbee Tribe is (or expects to be) the award recipient and grant steward under the Tribal Broadband Connectivity Program (TBCP) administered by the National Telecommunications and Information Administration (NTIA), U.S. Department of Commerce, and will own the Grant-Funded Assets funded by the Award.</w:t>
      </w:r>
    </w:p>
    <w:p>
      <w:pPr>
        <w:ind w:left="504"/>
      </w:pPr>
      <w:r>
        <w:rPr>
          <w:b/>
        </w:rPr>
        <w:t xml:space="preserve">(c)  </w:t>
      </w:r>
      <w:r>
        <w:rPr>
          <w:b w:val="0"/>
          <w:i w:val="0"/>
        </w:rPr>
        <w:t>LREMC Technologies, LLC d/b/a RIVR Tech (“RIVR Tech”) is the design, engineering, procurement, and construction party, the operator, and the retail broadband provider of record for the Tribal Network, and owns and operates the RIVR Tech Existing Network.</w:t>
      </w:r>
    </w:p>
    <w:p>
      <w:pPr>
        <w:ind w:left="504"/>
      </w:pPr>
      <w:r>
        <w:rPr>
          <w:b/>
        </w:rPr>
        <w:t xml:space="preserve">(d)  </w:t>
      </w:r>
      <w:r>
        <w:rPr>
          <w:b w:val="0"/>
          <w:i w:val="0"/>
        </w:rPr>
        <w:t xml:space="preserve">Lumbee River Electric Membership Corporation d/b/a Lumbee River EMC (“LREMC”) is a separate legal entity that owns the LREMC Facilities, including poles, conduit, fiber, easements, huts, power, and land used in connection with the project. LREMC is not a Party to this Agreement; LREMC Facilities are made available, if at all, only under the Land, Easement, Right-of-Way, Pole, Site, Power, and Facility Instruments and a separate LREMC consent or joinder. </w:t>
      </w:r>
      <w:r>
        <w:rPr>
          <w:b/>
          <w:i w:val="0"/>
          <w:color w:val="0000C0"/>
        </w:rPr>
        <w:t>[ATTORNEY REVIEW REQUIRED]</w:t>
      </w:r>
      <w:r>
        <w:rPr>
          <w:b w:val="0"/>
          <w:i w:val="0"/>
        </w:rPr>
        <w:t xml:space="preserve"> No provision of this Agreement conveys, or assumes RIVR Tech ownership or control of, any LREMC Facilities.</w:t>
      </w:r>
    </w:p>
    <w:p>
      <w:pPr>
        <w:ind w:left="504"/>
      </w:pPr>
      <w:r>
        <w:rPr>
          <w:b/>
        </w:rPr>
        <w:t xml:space="preserve">(e)  </w:t>
      </w:r>
      <w:r>
        <w:rPr>
          <w:b w:val="0"/>
          <w:i w:val="0"/>
        </w:rPr>
        <w:t xml:space="preserve">No controlling TBCP award or source documents have been supplied. This Agreement uses, as a provisional baseline, the TBCP Round 2 Notice of Funding Opportunity, as amended March 2024 (PROVISIONAL BASELINE). Round 3 is the live TBCP round as of the version date; the controlling round and executed award must be confirmed before any definitive clause is finalized. </w:t>
      </w:r>
      <w:r>
        <w:rPr>
          <w:b/>
          <w:i w:val="0"/>
          <w:color w:val="7F007F"/>
        </w:rPr>
        <w:t>[GRANT COMPLIANCE REVIEW REQUIRED]</w:t>
      </w:r>
    </w:p>
    <w:p>
      <w:pPr>
        <w:ind w:left="504"/>
      </w:pPr>
      <w:r>
        <w:rPr>
          <w:b/>
        </w:rPr>
        <w:t xml:space="preserve">(f)  </w:t>
      </w:r>
      <w:r>
        <w:rPr>
          <w:b w:val="0"/>
          <w:i w:val="0"/>
        </w:rPr>
        <w:t>The Parties intend to deploy a fiber-to-the-home (100/20 Mbps or greater) network serving eligible locations within the Approved Project Area in southeastern North Carolina, in a manner that preserves the Lumbee Tribe's grant stewardship and the Federal Interest while giving RIVR Tech the operational control necessary to build, operate, and serve.</w:t>
      </w:r>
    </w:p>
    <w:p>
      <w:pPr>
        <w:pStyle w:val="Heading2"/>
        <w:spacing w:before="160" w:after="60"/>
      </w:pPr>
      <w:r>
        <w:rPr>
          <w:rFonts w:ascii="Calibri" w:hAnsi="Calibri"/>
          <w:b/>
          <w:color w:val="000000"/>
          <w:sz w:val="22"/>
        </w:rPr>
        <w:t>1.2  Structure of the Transaction</w:t>
      </w:r>
    </w:p>
    <w:p>
      <w:r>
        <w:rPr>
          <w:b w:val="0"/>
          <w:i w:val="0"/>
        </w:rPr>
        <w:t>This Agreement is the umbrella (Master) agreement. It establishes the shared glossary, governance, order of precedence, and cross-cutting terms for the coordinated set of Master TBCP Partnership and Implementation Agreement and related Definitive Agreements, Schedules, Exhibits, Certificates, and Operational Forms described in Article 4. Each subordinate instrument incorporates this Agreement by reference and is subject to the order of precedence in Article 5.</w:t>
      </w:r>
    </w:p>
    <w:p>
      <w:pPr>
        <w:pStyle w:val="Heading1"/>
        <w:spacing w:before="240" w:after="120"/>
      </w:pPr>
      <w:r>
        <w:rPr>
          <w:rFonts w:ascii="Calibri" w:hAnsi="Calibri"/>
          <w:b/>
          <w:color w:val="1F3864"/>
          <w:sz w:val="26"/>
        </w:rPr>
        <w:t>ARTICLE 2.  DEFINITIONS</w:t>
      </w:r>
    </w:p>
    <w:p>
      <w:pPr>
        <w:pStyle w:val="Heading2"/>
        <w:spacing w:before="160" w:after="60"/>
      </w:pPr>
      <w:r>
        <w:rPr>
          <w:rFonts w:ascii="Calibri" w:hAnsi="Calibri"/>
          <w:b/>
          <w:color w:val="000000"/>
          <w:sz w:val="22"/>
        </w:rPr>
        <w:t>2.1  Shared Glossary</w:t>
      </w:r>
    </w:p>
    <w:p>
      <w:r>
        <w:rPr>
          <w:b w:val="0"/>
          <w:i w:val="0"/>
        </w:rPr>
        <w:t>This Article 2 is the single shared definitions source for the entire package. Capitalized terms used and not otherwise defined in a document have the meanings given in Article 2 (Definitions) of the Master TBCP Partnership and Implementation Agreement, which is the single shared definitions source for the package. Capitalized terms have the meanings set forth below; terms defined elsewhere in this Agreement have the meanings there given.</w:t>
      </w:r>
    </w:p>
    <w:p>
      <w:pPr>
        <w:ind w:left="504"/>
      </w:pPr>
      <w:r>
        <w:rPr>
          <w:b/>
        </w:rPr>
        <w:t xml:space="preserve">(▪)  </w:t>
      </w:r>
      <w:r>
        <w:rPr>
          <w:b w:val="0"/>
          <w:i w:val="0"/>
        </w:rPr>
        <w:t xml:space="preserve">“Active Subscriber” means a location within the Approved Project Area receiving provisioned, billable retail broadband service, counted and measured as set forth in the Retail Customer Service, Billing, Collections, and Subscriber Revenue Agreement and Schedule S8, including that activation is dated to first successful service provisioning and disconnection to service cease; that one location with multiple services counts as a single Active Subscriber unless separately agreed; and that the count is net of credits, refunds, and uncollectible amounts and exclusive of taxes and regulatory fees. </w:t>
      </w:r>
      <w:r>
        <w:rPr>
          <w:b/>
          <w:i w:val="0"/>
          <w:color w:val="C00000"/>
        </w:rPr>
        <w:t>[BUSINESS DECISION REQUIRED]</w:t>
      </w:r>
    </w:p>
    <w:p>
      <w:pPr>
        <w:ind w:left="504"/>
      </w:pPr>
      <w:r>
        <w:rPr>
          <w:b/>
        </w:rPr>
        <w:t xml:space="preserve">(▪)  </w:t>
      </w:r>
      <w:r>
        <w:rPr>
          <w:b w:val="0"/>
          <w:i w:val="0"/>
        </w:rPr>
        <w:t xml:space="preserve">“Approved Project Area” means the geographic area, and the eligible locations within it, approved for the project under the Award and the approved application, as set forth in Schedule S2. </w:t>
      </w:r>
      <w:r>
        <w:rPr>
          <w:b w:val="0"/>
          <w:i w:val="0"/>
          <w:color w:val="804000"/>
          <w:highlight w:val="yellow"/>
        </w:rPr>
        <w:t>[■ specific routes, census blocks/eligible locations — NOT SUPPLIED]</w:t>
      </w:r>
      <w:r>
        <w:rPr>
          <w:b w:val="0"/>
          <w:i w:val="0"/>
        </w:rPr>
        <w:t xml:space="preserve"> </w:t>
      </w:r>
      <w:r>
        <w:rPr>
          <w:b/>
          <w:i w:val="0"/>
          <w:color w:val="7F007F"/>
        </w:rPr>
        <w:t>[GRANT COMPLIANCE REVIEW REQUIRED]</w:t>
      </w:r>
    </w:p>
    <w:p>
      <w:pPr>
        <w:ind w:left="504"/>
      </w:pPr>
      <w:r>
        <w:rPr>
          <w:b/>
        </w:rPr>
        <w:t xml:space="preserve">(▪)  </w:t>
      </w:r>
      <w:r>
        <w:rPr>
          <w:b w:val="0"/>
          <w:i w:val="0"/>
        </w:rPr>
        <w:t xml:space="preserve">“Award” means the executed federal financial-assistance award to the Lumbee Tribe under the TBCP, including the controlling NOFO, the Specific Award Conditions, the approved application, budget, routes, and service commitments, and any later written NTIA/U.S. Department of Commerce determination. </w:t>
      </w:r>
      <w:r>
        <w:rPr>
          <w:b w:val="0"/>
          <w:i w:val="0"/>
          <w:color w:val="804000"/>
          <w:highlight w:val="yellow"/>
        </w:rPr>
        <w:t>[■ award number — NOT SUPPLIED; do not invent]</w:t>
      </w:r>
      <w:r>
        <w:rPr>
          <w:b w:val="0"/>
          <w:i w:val="0"/>
        </w:rPr>
        <w:t xml:space="preserve"> </w:t>
      </w:r>
      <w:r>
        <w:rPr>
          <w:b/>
          <w:i w:val="0"/>
          <w:color w:val="7F007F"/>
        </w:rPr>
        <w:t>[GRANT COMPLIANCE REVIEW REQUIRED]</w:t>
      </w:r>
    </w:p>
    <w:p>
      <w:pPr>
        <w:ind w:left="504"/>
      </w:pPr>
      <w:r>
        <w:rPr>
          <w:b/>
        </w:rPr>
        <w:t xml:space="preserve">(▪)  </w:t>
      </w:r>
      <w:r>
        <w:rPr>
          <w:b w:val="0"/>
          <w:i w:val="0"/>
        </w:rPr>
        <w:t>“Definitive Agreements” means this Agreement and the other agreements listed in Article 4, collectively, together with their Schedules, Exhibits, Certificates, and Operational Forms.</w:t>
      </w:r>
    </w:p>
    <w:p>
      <w:pPr>
        <w:ind w:left="504"/>
      </w:pPr>
      <w:r>
        <w:rPr>
          <w:b/>
        </w:rPr>
        <w:t xml:space="preserve">(▪)  </w:t>
      </w:r>
      <w:r>
        <w:rPr>
          <w:b w:val="0"/>
          <w:i w:val="0"/>
        </w:rPr>
        <w:t>“Demarcation Point” means the physical and logical point of demarcation between the Grant-Funded Assets and the RIVR Tech Existing Network (or subscriber-side equipment), as fixed for each segment in Schedule S4 and confirmed at Active Subscriber installation.</w:t>
      </w:r>
    </w:p>
    <w:p>
      <w:pPr>
        <w:ind w:left="504"/>
      </w:pPr>
      <w:r>
        <w:rPr>
          <w:b/>
        </w:rPr>
        <w:t xml:space="preserve">(▪)  </w:t>
      </w:r>
      <w:r>
        <w:rPr>
          <w:b w:val="0"/>
          <w:i w:val="0"/>
        </w:rPr>
        <w:t>“Federal Interest” means the federal interest in real and personal property acquired or improved with Award funds, arising under 2 CFR 200.311 (Real property — use, encumbrance, and disposition), 2 CFR 200.313 (Equipment — use, management, and disposition), and 2 CFR 200.315 (Intangible property), and the property trust relationship under 2 CFR 200.316 (Property trust relationship), for the applicable Federal Interest period.</w:t>
      </w:r>
    </w:p>
    <w:p>
      <w:pPr>
        <w:ind w:left="504"/>
      </w:pPr>
      <w:r>
        <w:rPr>
          <w:b/>
        </w:rPr>
        <w:t xml:space="preserve">(▪)  </w:t>
      </w:r>
      <w:r>
        <w:rPr>
          <w:b w:val="0"/>
          <w:i w:val="0"/>
        </w:rPr>
        <w:t>“Grant-Funded Assets” means the infrastructure, equipment, and intangible property acquired or improved with Award funds and owned by the Lumbee Tribe, comprising the Tribal Network, as registered in Schedule S3. Grant-Funded Assets are subject to the Federal Interest and the disposition rules of 2 CFR Part 200.</w:t>
      </w:r>
    </w:p>
    <w:p>
      <w:pPr>
        <w:ind w:left="504"/>
      </w:pPr>
      <w:r>
        <w:rPr>
          <w:b/>
        </w:rPr>
        <w:t xml:space="preserve">(▪)  </w:t>
      </w:r>
      <w:r>
        <w:rPr>
          <w:b w:val="0"/>
          <w:i w:val="0"/>
        </w:rPr>
        <w:t>“LREMC” means Lumbee River Electric Membership Corporation d/b/a Lumbee River EMC, the separate owner of the LREMC Facilities. LREMC is not a Party to this Agreement.</w:t>
      </w:r>
    </w:p>
    <w:p>
      <w:pPr>
        <w:ind w:left="504"/>
      </w:pPr>
      <w:r>
        <w:rPr>
          <w:b/>
        </w:rPr>
        <w:t xml:space="preserve">(▪)  </w:t>
      </w:r>
      <w:r>
        <w:rPr>
          <w:b w:val="0"/>
          <w:i w:val="0"/>
        </w:rPr>
        <w:t>“LREMC Facilities” means the poles, conduit, fiber, easements, rights-of-way, huts, power, sites, land, and related facilities owned or controlled by LREMC, made available (if at all) only under the Land, Easement, Right-of-Way, Pole, Site, Power, and Facility Instruments and a separate LREMC consent or joinder, and never assumed to be owned or controlled by RIVR Tech.</w:t>
      </w:r>
    </w:p>
    <w:p>
      <w:pPr>
        <w:ind w:left="504"/>
      </w:pPr>
      <w:r>
        <w:rPr>
          <w:b/>
        </w:rPr>
        <w:t xml:space="preserve">(▪)  </w:t>
      </w:r>
      <w:r>
        <w:rPr>
          <w:b w:val="0"/>
          <w:i w:val="0"/>
        </w:rPr>
        <w:t>“Lumbee Tribe” means Lumbee Tribe of North Carolina, the award recipient and grant steward, or a wholly owned Tribal entity or Tribally chartered instrumentality designated by the Lumbee Tribe, as confirmed in Schedule S1.</w:t>
      </w:r>
    </w:p>
    <w:p>
      <w:pPr>
        <w:ind w:left="504"/>
      </w:pPr>
      <w:r>
        <w:rPr>
          <w:b/>
        </w:rPr>
        <w:t xml:space="preserve">(▪)  </w:t>
      </w:r>
      <w:r>
        <w:rPr>
          <w:b w:val="0"/>
          <w:i w:val="0"/>
        </w:rPr>
        <w:t>“Point of Interconnection” means the point(s) at which the Tribal Network interconnects with the RIVR Tech Existing Network or third-party networks for transport, as set forth in the Network Interconnection, Transport, Equipment, and Shared Facilities Agreement and Schedule S4.</w:t>
      </w:r>
    </w:p>
    <w:p>
      <w:pPr>
        <w:ind w:left="504"/>
      </w:pPr>
      <w:r>
        <w:rPr>
          <w:b/>
        </w:rPr>
        <w:t xml:space="preserve">(▪)  </w:t>
      </w:r>
      <w:r>
        <w:rPr>
          <w:b w:val="0"/>
          <w:i w:val="0"/>
        </w:rPr>
        <w:t xml:space="preserve">“Program Income” means gross income earned that is directly generated by an Award-supported activity or earned as a result of the Award, as determined under 2 CFR 200.307 (Program income); characterization is provisional and characterization is provisional; program-income treatment under 2 CFR 200.307 turns on the controlling Award and written NTIA determination, not the label. </w:t>
      </w:r>
      <w:r>
        <w:rPr>
          <w:b/>
          <w:i w:val="0"/>
          <w:color w:val="7F007F"/>
        </w:rPr>
        <w:t>[GRANT COMPLIANCE REVIEW REQUIRED]</w:t>
      </w:r>
    </w:p>
    <w:p>
      <w:pPr>
        <w:ind w:left="504"/>
      </w:pPr>
      <w:r>
        <w:rPr>
          <w:b/>
        </w:rPr>
        <w:t xml:space="preserve">(▪)  </w:t>
      </w:r>
      <w:r>
        <w:rPr>
          <w:b w:val="0"/>
          <w:i w:val="0"/>
        </w:rPr>
        <w:t>“RIVR Tech” means LREMC Technologies, LLC d/b/a RIVR Tech, the design/engineering/procurement/construction party, operator, and retail provider of record.</w:t>
      </w:r>
    </w:p>
    <w:p>
      <w:pPr>
        <w:ind w:left="504"/>
      </w:pPr>
      <w:r>
        <w:rPr>
          <w:b/>
        </w:rPr>
        <w:t xml:space="preserve">(▪)  </w:t>
      </w:r>
      <w:r>
        <w:rPr>
          <w:b w:val="0"/>
          <w:i w:val="0"/>
        </w:rPr>
        <w:t xml:space="preserve">“RIVR Tech Existing Network” means the fiber, core, transport, network operations center, billing, and related systems and facilities owned by RIVR Tech prior to and independent of the Award, which remain RIVR Tech's property. Any use of, or reliance on, the RIVR Tech Existing Network in connection with the project is identified, valued, and cost-allocated under Schedule S10 and the Network Interconnection, Transport, Equipment, and Shared Facilities Agreement, and is never provided free of charge; grant-funded capacity is never furnished as free commercial capacity. </w:t>
      </w:r>
      <w:r>
        <w:rPr>
          <w:b/>
          <w:i w:val="0"/>
          <w:color w:val="7F007F"/>
        </w:rPr>
        <w:t>[GRANT COMPLIANCE REVIEW REQUIRED]</w:t>
      </w:r>
    </w:p>
    <w:p>
      <w:pPr>
        <w:ind w:left="504"/>
      </w:pPr>
      <w:r>
        <w:rPr>
          <w:b/>
        </w:rPr>
        <w:t xml:space="preserve">(▪)  </w:t>
      </w:r>
      <w:r>
        <w:rPr>
          <w:b w:val="0"/>
          <w:i w:val="0"/>
        </w:rPr>
        <w:t>“Schedules” means the numbered Schedules S1 through S14 listed in Article 4, as they may be completed and amended in accordance with this Agreement.</w:t>
      </w:r>
    </w:p>
    <w:p>
      <w:pPr>
        <w:ind w:left="504"/>
      </w:pPr>
      <w:r>
        <w:rPr>
          <w:b/>
        </w:rPr>
        <w:t xml:space="preserve">(▪)  </w:t>
      </w:r>
      <w:r>
        <w:rPr>
          <w:b w:val="0"/>
          <w:i w:val="0"/>
        </w:rPr>
        <w:t>“Tribal Network” means the 100/20 Mbps-or-greater fiber-to-the-home network comprising the Grant-Funded Assets, owned by the Lumbee Tribe and operated by RIVR Tech under the Definitive Agreements.</w:t>
      </w:r>
    </w:p>
    <w:p>
      <w:pPr>
        <w:ind w:left="504"/>
      </w:pPr>
      <w:r>
        <w:rPr>
          <w:b/>
        </w:rPr>
        <w:t xml:space="preserve">(▪)  </w:t>
      </w:r>
      <w:r>
        <w:rPr>
          <w:b w:val="0"/>
          <w:i w:val="0"/>
        </w:rPr>
        <w:t xml:space="preserve">“Effective Date” means the date first written above; </w:t>
      </w:r>
      <w:r>
        <w:rPr>
          <w:b w:val="0"/>
          <w:i w:val="0"/>
          <w:color w:val="804000"/>
          <w:highlight w:val="yellow"/>
        </w:rPr>
        <w:t>[■ Effective Date — to be inserted upon execution]</w:t>
      </w:r>
      <w:r>
        <w:rPr>
          <w:b w:val="0"/>
          <w:i w:val="0"/>
        </w:rPr>
        <w:t>.</w:t>
      </w:r>
    </w:p>
    <w:p>
      <w:pPr>
        <w:ind w:left="504"/>
      </w:pPr>
      <w:r>
        <w:rPr>
          <w:b/>
        </w:rPr>
        <w:t xml:space="preserve">(▪)  </w:t>
      </w:r>
      <w:r>
        <w:rPr>
          <w:b w:val="0"/>
          <w:i w:val="0"/>
        </w:rPr>
        <w:t>“Essential Services” means the broadband and voice services the interruption of which would imminently threaten public safety, continuity of critical communications, or compliance with the Award, as further described in the O&amp;M and transition instruments.</w:t>
      </w:r>
    </w:p>
    <w:p>
      <w:pPr>
        <w:ind w:left="504"/>
      </w:pPr>
      <w:r>
        <w:rPr>
          <w:b/>
          <w:color w:val="0000C0"/>
        </w:rPr>
        <w:t xml:space="preserve">[ATTORNEY REVIEW REQUIRED]  </w:t>
      </w:r>
      <w:r>
        <w:rPr>
          <w:i/>
          <w:color w:val="595959"/>
        </w:rPr>
        <w:t>This glossary is a working set. Counsel and the grant administrator must reconcile each defined term against the controlling Award, the approved application, and the other Definitive Agreements before execution. Additional defined terms (e.g., Segment, Substantial Completion, Final Completion, Notice to Proceed, IRU, Disallowed Cost) are defined in context in this Agreement and the subordinate instruments and carry those meanings package-wide.</w:t>
      </w:r>
    </w:p>
    <w:p>
      <w:pPr>
        <w:pStyle w:val="Heading1"/>
        <w:spacing w:before="240" w:after="120"/>
      </w:pPr>
      <w:r>
        <w:rPr>
          <w:rFonts w:ascii="Calibri" w:hAnsi="Calibri"/>
          <w:b/>
          <w:color w:val="1F3864"/>
          <w:sz w:val="26"/>
        </w:rPr>
        <w:t>ARTICLE 3.  PURPOSE, RELATIONSHIP, AND INDEPENDENT STATUS</w:t>
      </w:r>
    </w:p>
    <w:p>
      <w:pPr>
        <w:pStyle w:val="Heading2"/>
        <w:spacing w:before="160" w:after="60"/>
      </w:pPr>
      <w:r>
        <w:rPr>
          <w:rFonts w:ascii="Calibri" w:hAnsi="Calibri"/>
          <w:b/>
          <w:color w:val="000000"/>
          <w:sz w:val="22"/>
        </w:rPr>
        <w:t>3.1  Purpose</w:t>
      </w:r>
    </w:p>
    <w:p>
      <w:r>
        <w:rPr>
          <w:b w:val="0"/>
          <w:i w:val="0"/>
        </w:rPr>
        <w:t>The Parties enter into this Agreement to coordinate the design, construction, ownership, operation, and retail provision of the Tribal Network in a manner that (a) preserves the Lumbee Tribe's role as recipient and steward of the Award and protects the Federal Interest; (b) gives RIVR Tech the operational control necessary to perform; and (c) separates grant-funded activity and assets from commercial activity and assets.</w:t>
      </w:r>
    </w:p>
    <w:p>
      <w:pPr>
        <w:pStyle w:val="Heading2"/>
        <w:spacing w:before="160" w:after="60"/>
      </w:pPr>
      <w:r>
        <w:rPr>
          <w:rFonts w:ascii="Calibri" w:hAnsi="Calibri"/>
          <w:b/>
          <w:color w:val="000000"/>
          <w:sz w:val="22"/>
        </w:rPr>
        <w:t>3.2  Relationship of the Parties</w:t>
      </w:r>
    </w:p>
    <w:p>
      <w:r>
        <w:rPr>
          <w:b w:val="0"/>
          <w:i w:val="0"/>
        </w:rPr>
        <w:t>The Parties are independent contracting parties. Nothing in the Definitive Agreements creates a partnership, joint venture, agency, or fiduciary relationship except as expressly stated, and neither Party may bind the other except as expressly authorized. Use of the words “partnership” or “partner” is for convenience and does not create a legal partnership.</w:t>
      </w:r>
    </w:p>
    <w:p>
      <w:pPr>
        <w:pStyle w:val="Heading2"/>
        <w:spacing w:before="160" w:after="60"/>
      </w:pPr>
      <w:r>
        <w:rPr>
          <w:rFonts w:ascii="Calibri" w:hAnsi="Calibri"/>
          <w:b/>
          <w:color w:val="000000"/>
          <w:sz w:val="22"/>
        </w:rPr>
        <w:t>3.3  Separation of Grant and Commercial Activity</w:t>
      </w:r>
    </w:p>
    <w:p>
      <w:r>
        <w:rPr>
          <w:b w:val="0"/>
          <w:i w:val="0"/>
        </w:rPr>
        <w:t xml:space="preserve">The Parties will at all times maintain a clear separation between (a) the Grant-Funded Assets and Award-funded activity, and (b) the RIVR Tech Existing Network and RIVR Tech's commercial activity, including separate books, records, and cost allocation sufficient to demonstrate that grant-funded capacity is not provided as free commercial capacity and that commercial use does not receive an unallowable federal subsidy (Schedule S10; Grant Finance, Reimbursement, Program Income, and Audit Agreement). </w:t>
      </w:r>
      <w:r>
        <w:rPr>
          <w:b/>
          <w:i w:val="0"/>
          <w:color w:val="7F007F"/>
        </w:rPr>
        <w:t>[GRANT COMPLIANCE REVIEW REQUIRED]</w:t>
      </w:r>
    </w:p>
    <w:p>
      <w:pPr>
        <w:pStyle w:val="Heading1"/>
        <w:spacing w:before="240" w:after="120"/>
      </w:pPr>
      <w:r>
        <w:rPr>
          <w:rFonts w:ascii="Calibri" w:hAnsi="Calibri"/>
          <w:b/>
          <w:color w:val="1F3864"/>
          <w:sz w:val="26"/>
        </w:rPr>
        <w:t>ARTICLE 4.  THE DEFINITIVE AGREEMENTS, SCHEDULES, AND PACKAGE ARCHITECTURE</w:t>
      </w:r>
    </w:p>
    <w:p>
      <w:pPr>
        <w:pStyle w:val="Heading2"/>
        <w:spacing w:before="160" w:after="60"/>
      </w:pPr>
      <w:r>
        <w:rPr>
          <w:rFonts w:ascii="Calibri" w:hAnsi="Calibri"/>
          <w:b/>
          <w:color w:val="000000"/>
          <w:sz w:val="22"/>
        </w:rPr>
        <w:t>4.1  Definitive Agreements</w:t>
      </w:r>
    </w:p>
    <w:p>
      <w:r>
        <w:rPr>
          <w:b w:val="0"/>
          <w:i w:val="0"/>
        </w:rPr>
        <w:t>This Agreement is executed together with the following coordinated agreements, each incorporated by reference and subject to the order of precedence in Article 5:</w:t>
      </w:r>
    </w:p>
    <w:tbl>
      <w:tblPr>
        <w:tblStyle w:val="TableGrid"/>
        <w:tblW w:type="auto" w:w="0"/>
        <w:jc w:val="center"/>
        <w:tblLook w:firstColumn="1" w:firstRow="1" w:lastColumn="0" w:lastRow="0" w:noHBand="0" w:noVBand="1" w:val="04A0"/>
      </w:tblPr>
      <w:tblGrid>
        <w:gridCol w:w="4680"/>
        <w:gridCol w:w="4680"/>
      </w:tblGrid>
      <w:tr>
        <w:tc>
          <w:tcPr>
            <w:tcW w:type="dxa" w:w="1584"/>
            <w:shd w:val="clear" w:color="auto" w:fill="1F3864"/>
            <w:vAlign w:val="center"/>
          </w:tcPr>
          <w:p>
            <w:pPr>
              <w:jc w:val="center"/>
            </w:pPr>
            <w:r>
              <w:rPr>
                <w:b/>
                <w:color w:val="FFFFFF"/>
                <w:sz w:val="18"/>
              </w:rPr>
              <w:t>Ref.</w:t>
            </w:r>
          </w:p>
        </w:tc>
        <w:tc>
          <w:tcPr>
            <w:tcW w:type="dxa" w:w="7776"/>
            <w:shd w:val="clear" w:color="auto" w:fill="1F3864"/>
            <w:vAlign w:val="center"/>
          </w:tcPr>
          <w:p>
            <w:pPr>
              <w:jc w:val="center"/>
            </w:pPr>
            <w:r>
              <w:rPr>
                <w:b/>
                <w:color w:val="FFFFFF"/>
                <w:sz w:val="18"/>
              </w:rPr>
              <w:t>Definitive Agreement (verbatim title)</w:t>
            </w:r>
          </w:p>
        </w:tc>
      </w:tr>
      <w:tr>
        <w:tc>
          <w:tcPr>
            <w:tcW w:type="dxa" w:w="1584"/>
            <w:vAlign w:val="center"/>
          </w:tcPr>
          <w:p>
            <w:pPr>
              <w:jc w:val="center"/>
            </w:pPr>
            <w:r>
              <w:rPr>
                <w:b w:val="0"/>
                <w:i w:val="0"/>
                <w:sz w:val="18"/>
              </w:rPr>
              <w:t>MASTER</w:t>
            </w:r>
          </w:p>
        </w:tc>
        <w:tc>
          <w:tcPr>
            <w:tcW w:type="dxa" w:w="7776"/>
            <w:vAlign w:val="center"/>
          </w:tcPr>
          <w:p>
            <w:r>
              <w:rPr>
                <w:b w:val="0"/>
                <w:i w:val="0"/>
                <w:sz w:val="18"/>
              </w:rPr>
              <w:t>Master TBCP Partnership and Implementation Agreement</w:t>
            </w:r>
          </w:p>
        </w:tc>
      </w:tr>
      <w:tr>
        <w:tc>
          <w:tcPr>
            <w:tcW w:type="dxa" w:w="1584"/>
            <w:shd w:val="clear" w:color="auto" w:fill="F2F2F2"/>
            <w:vAlign w:val="center"/>
          </w:tcPr>
          <w:p>
            <w:pPr>
              <w:jc w:val="center"/>
            </w:pPr>
            <w:r>
              <w:rPr>
                <w:b w:val="0"/>
                <w:i w:val="0"/>
                <w:sz w:val="18"/>
              </w:rPr>
              <w:t>DEPC</w:t>
            </w:r>
          </w:p>
        </w:tc>
        <w:tc>
          <w:tcPr>
            <w:tcW w:type="dxa" w:w="7776"/>
            <w:shd w:val="clear" w:color="auto" w:fill="F2F2F2"/>
            <w:vAlign w:val="center"/>
          </w:tcPr>
          <w:p>
            <w:r>
              <w:rPr>
                <w:b w:val="0"/>
                <w:i w:val="0"/>
                <w:sz w:val="18"/>
              </w:rPr>
              <w:t>Design, Engineering, Procurement, and Construction Agreement</w:t>
            </w:r>
          </w:p>
        </w:tc>
      </w:tr>
      <w:tr>
        <w:tc>
          <w:tcPr>
            <w:tcW w:type="dxa" w:w="1584"/>
            <w:vAlign w:val="center"/>
          </w:tcPr>
          <w:p>
            <w:pPr>
              <w:jc w:val="center"/>
            </w:pPr>
            <w:r>
              <w:rPr>
                <w:b w:val="0"/>
                <w:i w:val="0"/>
                <w:sz w:val="18"/>
              </w:rPr>
              <w:t>IRU</w:t>
            </w:r>
          </w:p>
        </w:tc>
        <w:tc>
          <w:tcPr>
            <w:tcW w:type="dxa" w:w="7776"/>
            <w:vAlign w:val="center"/>
          </w:tcPr>
          <w:p>
            <w:r>
              <w:rPr>
                <w:b w:val="0"/>
                <w:i w:val="0"/>
                <w:sz w:val="18"/>
              </w:rPr>
              <w:t>Indefeasible Right of Use and Network Access Agreement</w:t>
            </w:r>
          </w:p>
        </w:tc>
      </w:tr>
      <w:tr>
        <w:tc>
          <w:tcPr>
            <w:tcW w:type="dxa" w:w="1584"/>
            <w:shd w:val="clear" w:color="auto" w:fill="F2F2F2"/>
            <w:vAlign w:val="center"/>
          </w:tcPr>
          <w:p>
            <w:pPr>
              <w:jc w:val="center"/>
            </w:pPr>
            <w:r>
              <w:rPr>
                <w:b w:val="0"/>
                <w:i w:val="0"/>
                <w:sz w:val="18"/>
              </w:rPr>
              <w:t>INTERCONNECT</w:t>
            </w:r>
          </w:p>
        </w:tc>
        <w:tc>
          <w:tcPr>
            <w:tcW w:type="dxa" w:w="7776"/>
            <w:shd w:val="clear" w:color="auto" w:fill="F2F2F2"/>
            <w:vAlign w:val="center"/>
          </w:tcPr>
          <w:p>
            <w:r>
              <w:rPr>
                <w:b w:val="0"/>
                <w:i w:val="0"/>
                <w:sz w:val="18"/>
              </w:rPr>
              <w:t>Network Interconnection, Transport, Equipment, and Shared Facilities Agreement</w:t>
            </w:r>
          </w:p>
        </w:tc>
      </w:tr>
      <w:tr>
        <w:tc>
          <w:tcPr>
            <w:tcW w:type="dxa" w:w="1584"/>
            <w:vAlign w:val="center"/>
          </w:tcPr>
          <w:p>
            <w:pPr>
              <w:jc w:val="center"/>
            </w:pPr>
            <w:r>
              <w:rPr>
                <w:b w:val="0"/>
                <w:i w:val="0"/>
                <w:sz w:val="18"/>
              </w:rPr>
              <w:t>OM</w:t>
            </w:r>
          </w:p>
        </w:tc>
        <w:tc>
          <w:tcPr>
            <w:tcW w:type="dxa" w:w="7776"/>
            <w:vAlign w:val="center"/>
          </w:tcPr>
          <w:p>
            <w:r>
              <w:rPr>
                <w:b w:val="0"/>
                <w:i w:val="0"/>
                <w:sz w:val="18"/>
              </w:rPr>
              <w:t>Network Operations, Maintenance, and Lifecycle Agreement</w:t>
            </w:r>
          </w:p>
        </w:tc>
      </w:tr>
      <w:tr>
        <w:tc>
          <w:tcPr>
            <w:tcW w:type="dxa" w:w="1584"/>
            <w:shd w:val="clear" w:color="auto" w:fill="F2F2F2"/>
            <w:vAlign w:val="center"/>
          </w:tcPr>
          <w:p>
            <w:pPr>
              <w:jc w:val="center"/>
            </w:pPr>
            <w:r>
              <w:rPr>
                <w:b w:val="0"/>
                <w:i w:val="0"/>
                <w:sz w:val="18"/>
              </w:rPr>
              <w:t>RETAIL</w:t>
            </w:r>
          </w:p>
        </w:tc>
        <w:tc>
          <w:tcPr>
            <w:tcW w:type="dxa" w:w="7776"/>
            <w:shd w:val="clear" w:color="auto" w:fill="F2F2F2"/>
            <w:vAlign w:val="center"/>
          </w:tcPr>
          <w:p>
            <w:r>
              <w:rPr>
                <w:b w:val="0"/>
                <w:i w:val="0"/>
                <w:sz w:val="18"/>
              </w:rPr>
              <w:t>Retail Customer Service, Billing, Collections, and Subscriber Revenue Agreement</w:t>
            </w:r>
          </w:p>
        </w:tc>
      </w:tr>
      <w:tr>
        <w:tc>
          <w:tcPr>
            <w:tcW w:type="dxa" w:w="1584"/>
            <w:vAlign w:val="center"/>
          </w:tcPr>
          <w:p>
            <w:pPr>
              <w:jc w:val="center"/>
            </w:pPr>
            <w:r>
              <w:rPr>
                <w:b w:val="0"/>
                <w:i w:val="0"/>
                <w:sz w:val="18"/>
              </w:rPr>
              <w:t>FINANCE</w:t>
            </w:r>
          </w:p>
        </w:tc>
        <w:tc>
          <w:tcPr>
            <w:tcW w:type="dxa" w:w="7776"/>
            <w:vAlign w:val="center"/>
          </w:tcPr>
          <w:p>
            <w:r>
              <w:rPr>
                <w:b w:val="0"/>
                <w:i w:val="0"/>
                <w:sz w:val="18"/>
              </w:rPr>
              <w:t>Grant Finance, Reimbursement, Program Income, and Audit Agreement</w:t>
            </w:r>
          </w:p>
        </w:tc>
      </w:tr>
      <w:tr>
        <w:tc>
          <w:tcPr>
            <w:tcW w:type="dxa" w:w="1584"/>
            <w:shd w:val="clear" w:color="auto" w:fill="F2F2F2"/>
            <w:vAlign w:val="center"/>
          </w:tcPr>
          <w:p>
            <w:pPr>
              <w:jc w:val="center"/>
            </w:pPr>
            <w:r>
              <w:rPr>
                <w:b w:val="0"/>
                <w:i w:val="0"/>
                <w:sz w:val="18"/>
              </w:rPr>
              <w:t>LAND</w:t>
            </w:r>
          </w:p>
        </w:tc>
        <w:tc>
          <w:tcPr>
            <w:tcW w:type="dxa" w:w="7776"/>
            <w:shd w:val="clear" w:color="auto" w:fill="F2F2F2"/>
            <w:vAlign w:val="center"/>
          </w:tcPr>
          <w:p>
            <w:r>
              <w:rPr>
                <w:b w:val="0"/>
                <w:i w:val="0"/>
                <w:sz w:val="18"/>
              </w:rPr>
              <w:t>Land, Easement, Right-of-Way, Pole, Site, Power, and Facility Instruments</w:t>
            </w:r>
          </w:p>
        </w:tc>
      </w:tr>
      <w:tr>
        <w:tc>
          <w:tcPr>
            <w:tcW w:type="dxa" w:w="1584"/>
            <w:vAlign w:val="center"/>
          </w:tcPr>
          <w:p>
            <w:pPr>
              <w:jc w:val="center"/>
            </w:pPr>
            <w:r>
              <w:rPr>
                <w:b w:val="0"/>
                <w:i w:val="0"/>
                <w:sz w:val="18"/>
              </w:rPr>
              <w:t>PRIVACY</w:t>
            </w:r>
          </w:p>
        </w:tc>
        <w:tc>
          <w:tcPr>
            <w:tcW w:type="dxa" w:w="7776"/>
            <w:vAlign w:val="center"/>
          </w:tcPr>
          <w:p>
            <w:r>
              <w:rPr>
                <w:b w:val="0"/>
                <w:i w:val="0"/>
                <w:sz w:val="18"/>
              </w:rPr>
              <w:t>Data Privacy, Cybersecurity, Supply-Chain Risk, and Business Continuity Addendum</w:t>
            </w:r>
          </w:p>
        </w:tc>
      </w:tr>
      <w:tr>
        <w:tc>
          <w:tcPr>
            <w:tcW w:type="dxa" w:w="1584"/>
            <w:shd w:val="clear" w:color="auto" w:fill="F2F2F2"/>
            <w:vAlign w:val="center"/>
          </w:tcPr>
          <w:p>
            <w:pPr>
              <w:jc w:val="center"/>
            </w:pPr>
            <w:r>
              <w:rPr>
                <w:b w:val="0"/>
                <w:i w:val="0"/>
                <w:sz w:val="18"/>
              </w:rPr>
              <w:t>TRANSITION</w:t>
            </w:r>
          </w:p>
        </w:tc>
        <w:tc>
          <w:tcPr>
            <w:tcW w:type="dxa" w:w="7776"/>
            <w:shd w:val="clear" w:color="auto" w:fill="F2F2F2"/>
            <w:vAlign w:val="center"/>
          </w:tcPr>
          <w:p>
            <w:r>
              <w:rPr>
                <w:b w:val="0"/>
                <w:i w:val="0"/>
                <w:sz w:val="18"/>
              </w:rPr>
              <w:t>Continuity, Step-In, Termination Assistance, and Transition Agreement</w:t>
            </w:r>
          </w:p>
        </w:tc>
      </w:tr>
    </w:tbl>
    <w:p>
      <w:r>
        <w:rPr>
          <w:b w:val="0"/>
          <w:i w:val="0"/>
        </w:rPr>
        <w:t>The subordinate agreements include the Design, Engineering, Procurement, and Construction Agreement; the Indefeasible Right of Use and Network Access Agreement; the Network Interconnection, Transport, Equipment, and Shared Facilities Agreement; the Network Operations, Maintenance, and Lifecycle Agreement; the Retail Customer Service, Billing, Collections, and Subscriber Revenue Agreement; the Grant Finance, Reimbursement, Program Income, and Audit Agreement; the Land, Easement, Right-of-Way, Pole, Site, Power, and Facility Instruments; the Data Privacy, Cybersecurity, Supply-Chain Risk, and Business Continuity Addendum; and the Continuity, Step-In, Termination Assistance, and Transition Agreement.</w:t>
      </w:r>
    </w:p>
    <w:p>
      <w:pPr>
        <w:pStyle w:val="Heading2"/>
        <w:spacing w:before="160" w:after="60"/>
      </w:pPr>
      <w:r>
        <w:rPr>
          <w:rFonts w:ascii="Calibri" w:hAnsi="Calibri"/>
          <w:b/>
          <w:color w:val="000000"/>
          <w:sz w:val="22"/>
        </w:rPr>
        <w:t>4.2  Schedules</w:t>
      </w:r>
    </w:p>
    <w:p>
      <w:r>
        <w:rPr>
          <w:b w:val="0"/>
          <w:i w:val="0"/>
        </w:rPr>
        <w:t>The following Schedules are incorporated into and form part of the Definitive Agreements. Blank or bracketed schedule content must be completed and reconciled to the Award before the affected clauses are finalized:</w:t>
      </w:r>
    </w:p>
    <w:tbl>
      <w:tblPr>
        <w:tblStyle w:val="TableGrid"/>
        <w:tblW w:type="auto" w:w="0"/>
        <w:jc w:val="center"/>
        <w:tblLook w:firstColumn="1" w:firstRow="1" w:lastColumn="0" w:lastRow="0" w:noHBand="0" w:noVBand="1" w:val="04A0"/>
      </w:tblPr>
      <w:tblGrid>
        <w:gridCol w:w="4680"/>
        <w:gridCol w:w="4680"/>
      </w:tblGrid>
      <w:tr>
        <w:tc>
          <w:tcPr>
            <w:tcW w:type="dxa" w:w="1296"/>
            <w:shd w:val="clear" w:color="auto" w:fill="1F3864"/>
            <w:vAlign w:val="center"/>
          </w:tcPr>
          <w:p>
            <w:pPr>
              <w:jc w:val="center"/>
            </w:pPr>
            <w:r>
              <w:rPr>
                <w:b/>
                <w:color w:val="FFFFFF"/>
                <w:sz w:val="18"/>
              </w:rPr>
              <w:t>Sched.</w:t>
            </w:r>
          </w:p>
        </w:tc>
        <w:tc>
          <w:tcPr>
            <w:tcW w:type="dxa" w:w="8064"/>
            <w:shd w:val="clear" w:color="auto" w:fill="1F3864"/>
            <w:vAlign w:val="center"/>
          </w:tcPr>
          <w:p>
            <w:pPr>
              <w:jc w:val="center"/>
            </w:pPr>
            <w:r>
              <w:rPr>
                <w:b/>
                <w:color w:val="FFFFFF"/>
                <w:sz w:val="18"/>
              </w:rPr>
              <w:t>Subject Matter (verbatim title)</w:t>
            </w:r>
          </w:p>
        </w:tc>
      </w:tr>
      <w:tr>
        <w:tc>
          <w:tcPr>
            <w:tcW w:type="dxa" w:w="1296"/>
            <w:vAlign w:val="center"/>
          </w:tcPr>
          <w:p>
            <w:pPr>
              <w:jc w:val="center"/>
            </w:pPr>
            <w:r>
              <w:rPr>
                <w:b w:val="0"/>
                <w:i w:val="0"/>
                <w:sz w:val="18"/>
              </w:rPr>
              <w:t>S1</w:t>
            </w:r>
          </w:p>
        </w:tc>
        <w:tc>
          <w:tcPr>
            <w:tcW w:type="dxa" w:w="8064"/>
            <w:vAlign w:val="center"/>
          </w:tcPr>
          <w:p>
            <w:r>
              <w:rPr>
                <w:b w:val="0"/>
                <w:i w:val="0"/>
                <w:sz w:val="18"/>
              </w:rPr>
              <w:t>Award, Authority, Resolutions, Signatories, and Document Precedence</w:t>
            </w:r>
          </w:p>
        </w:tc>
      </w:tr>
      <w:tr>
        <w:tc>
          <w:tcPr>
            <w:tcW w:type="dxa" w:w="1296"/>
            <w:shd w:val="clear" w:color="auto" w:fill="F2F2F2"/>
            <w:vAlign w:val="center"/>
          </w:tcPr>
          <w:p>
            <w:pPr>
              <w:jc w:val="center"/>
            </w:pPr>
            <w:r>
              <w:rPr>
                <w:b w:val="0"/>
                <w:i w:val="0"/>
                <w:sz w:val="18"/>
              </w:rPr>
              <w:t>S2</w:t>
            </w:r>
          </w:p>
        </w:tc>
        <w:tc>
          <w:tcPr>
            <w:tcW w:type="dxa" w:w="8064"/>
            <w:shd w:val="clear" w:color="auto" w:fill="F2F2F2"/>
            <w:vAlign w:val="center"/>
          </w:tcPr>
          <w:p>
            <w:r>
              <w:rPr>
                <w:b w:val="0"/>
                <w:i w:val="0"/>
                <w:sz w:val="18"/>
              </w:rPr>
              <w:t>Approved Project Scope, Eligible Locations, Routes, Milestones, and Service Commitments</w:t>
            </w:r>
          </w:p>
        </w:tc>
      </w:tr>
      <w:tr>
        <w:tc>
          <w:tcPr>
            <w:tcW w:type="dxa" w:w="1296"/>
            <w:vAlign w:val="center"/>
          </w:tcPr>
          <w:p>
            <w:pPr>
              <w:jc w:val="center"/>
            </w:pPr>
            <w:r>
              <w:rPr>
                <w:b w:val="0"/>
                <w:i w:val="0"/>
                <w:sz w:val="18"/>
              </w:rPr>
              <w:t>S3</w:t>
            </w:r>
          </w:p>
        </w:tc>
        <w:tc>
          <w:tcPr>
            <w:tcW w:type="dxa" w:w="8064"/>
            <w:vAlign w:val="center"/>
          </w:tcPr>
          <w:p>
            <w:r>
              <w:rPr>
                <w:b w:val="0"/>
                <w:i w:val="0"/>
                <w:sz w:val="18"/>
              </w:rPr>
              <w:t>Asset Ownership, Funding Source, Federal Interest, and IRU/Network-Rights Register</w:t>
            </w:r>
          </w:p>
        </w:tc>
      </w:tr>
      <w:tr>
        <w:tc>
          <w:tcPr>
            <w:tcW w:type="dxa" w:w="1296"/>
            <w:shd w:val="clear" w:color="auto" w:fill="F2F2F2"/>
            <w:vAlign w:val="center"/>
          </w:tcPr>
          <w:p>
            <w:pPr>
              <w:jc w:val="center"/>
            </w:pPr>
            <w:r>
              <w:rPr>
                <w:b w:val="0"/>
                <w:i w:val="0"/>
                <w:sz w:val="18"/>
              </w:rPr>
              <w:t>S4</w:t>
            </w:r>
          </w:p>
        </w:tc>
        <w:tc>
          <w:tcPr>
            <w:tcW w:type="dxa" w:w="8064"/>
            <w:shd w:val="clear" w:color="auto" w:fill="F2F2F2"/>
            <w:vAlign w:val="center"/>
          </w:tcPr>
          <w:p>
            <w:r>
              <w:rPr>
                <w:b w:val="0"/>
                <w:i w:val="0"/>
                <w:sz w:val="18"/>
              </w:rPr>
              <w:t>Engineering Standards, Bill of Materials, Equipment, Interconnection, and Demarcation</w:t>
            </w:r>
          </w:p>
        </w:tc>
      </w:tr>
      <w:tr>
        <w:tc>
          <w:tcPr>
            <w:tcW w:type="dxa" w:w="1296"/>
            <w:vAlign w:val="center"/>
          </w:tcPr>
          <w:p>
            <w:pPr>
              <w:jc w:val="center"/>
            </w:pPr>
            <w:r>
              <w:rPr>
                <w:b w:val="0"/>
                <w:i w:val="0"/>
                <w:sz w:val="18"/>
              </w:rPr>
              <w:t>S5</w:t>
            </w:r>
          </w:p>
        </w:tc>
        <w:tc>
          <w:tcPr>
            <w:tcW w:type="dxa" w:w="8064"/>
            <w:vAlign w:val="center"/>
          </w:tcPr>
          <w:p>
            <w:r>
              <w:rPr>
                <w:b w:val="0"/>
                <w:i w:val="0"/>
                <w:sz w:val="18"/>
              </w:rPr>
              <w:t>Construction Pricing, Payment Milestones, Retainage, and Warranties</w:t>
            </w:r>
          </w:p>
        </w:tc>
      </w:tr>
      <w:tr>
        <w:tc>
          <w:tcPr>
            <w:tcW w:type="dxa" w:w="1296"/>
            <w:shd w:val="clear" w:color="auto" w:fill="F2F2F2"/>
            <w:vAlign w:val="center"/>
          </w:tcPr>
          <w:p>
            <w:pPr>
              <w:jc w:val="center"/>
            </w:pPr>
            <w:r>
              <w:rPr>
                <w:b w:val="0"/>
                <w:i w:val="0"/>
                <w:sz w:val="18"/>
              </w:rPr>
              <w:t>S6</w:t>
            </w:r>
          </w:p>
        </w:tc>
        <w:tc>
          <w:tcPr>
            <w:tcW w:type="dxa" w:w="8064"/>
            <w:shd w:val="clear" w:color="auto" w:fill="F2F2F2"/>
            <w:vAlign w:val="center"/>
          </w:tcPr>
          <w:p>
            <w:r>
              <w:rPr>
                <w:b w:val="0"/>
                <w:i w:val="0"/>
                <w:sz w:val="18"/>
              </w:rPr>
              <w:t>Operations, Service Levels, Lifecycle, Spares, Refresh, and Reserves</w:t>
            </w:r>
          </w:p>
        </w:tc>
      </w:tr>
      <w:tr>
        <w:tc>
          <w:tcPr>
            <w:tcW w:type="dxa" w:w="1296"/>
            <w:vAlign w:val="center"/>
          </w:tcPr>
          <w:p>
            <w:pPr>
              <w:jc w:val="center"/>
            </w:pPr>
            <w:r>
              <w:rPr>
                <w:b w:val="0"/>
                <w:i w:val="0"/>
                <w:sz w:val="18"/>
              </w:rPr>
              <w:t>S7</w:t>
            </w:r>
          </w:p>
        </w:tc>
        <w:tc>
          <w:tcPr>
            <w:tcW w:type="dxa" w:w="8064"/>
            <w:vAlign w:val="center"/>
          </w:tcPr>
          <w:p>
            <w:r>
              <w:rPr>
                <w:b w:val="0"/>
                <w:i w:val="0"/>
                <w:sz w:val="18"/>
              </w:rPr>
              <w:t>Provider-of-Record, Customer Products, Affordability, Support, Billing, and Complaints</w:t>
            </w:r>
          </w:p>
        </w:tc>
      </w:tr>
      <w:tr>
        <w:tc>
          <w:tcPr>
            <w:tcW w:type="dxa" w:w="1296"/>
            <w:shd w:val="clear" w:color="auto" w:fill="F2F2F2"/>
            <w:vAlign w:val="center"/>
          </w:tcPr>
          <w:p>
            <w:pPr>
              <w:jc w:val="center"/>
            </w:pPr>
            <w:r>
              <w:rPr>
                <w:b w:val="0"/>
                <w:i w:val="0"/>
                <w:sz w:val="18"/>
              </w:rPr>
              <w:t>S8</w:t>
            </w:r>
          </w:p>
        </w:tc>
        <w:tc>
          <w:tcPr>
            <w:tcW w:type="dxa" w:w="8064"/>
            <w:shd w:val="clear" w:color="auto" w:fill="F2F2F2"/>
            <w:vAlign w:val="center"/>
          </w:tcPr>
          <w:p>
            <w:r>
              <w:rPr>
                <w:b w:val="0"/>
                <w:i w:val="0"/>
                <w:sz w:val="18"/>
              </w:rPr>
              <w:t>Subscriber Payment, Revenue, Program Income, Taxes, Fees, Cash Controls, and Audit</w:t>
            </w:r>
          </w:p>
        </w:tc>
      </w:tr>
      <w:tr>
        <w:tc>
          <w:tcPr>
            <w:tcW w:type="dxa" w:w="1296"/>
            <w:vAlign w:val="center"/>
          </w:tcPr>
          <w:p>
            <w:pPr>
              <w:jc w:val="center"/>
            </w:pPr>
            <w:r>
              <w:rPr>
                <w:b w:val="0"/>
                <w:i w:val="0"/>
                <w:sz w:val="18"/>
              </w:rPr>
              <w:t>S9</w:t>
            </w:r>
          </w:p>
        </w:tc>
        <w:tc>
          <w:tcPr>
            <w:tcW w:type="dxa" w:w="8064"/>
            <w:vAlign w:val="center"/>
          </w:tcPr>
          <w:p>
            <w:r>
              <w:rPr>
                <w:b w:val="0"/>
                <w:i w:val="0"/>
                <w:sz w:val="18"/>
              </w:rPr>
              <w:t>Land, Poles, Sites, Power, Permits, Shared Facilities, and Owner Consents</w:t>
            </w:r>
          </w:p>
        </w:tc>
      </w:tr>
      <w:tr>
        <w:tc>
          <w:tcPr>
            <w:tcW w:type="dxa" w:w="1296"/>
            <w:shd w:val="clear" w:color="auto" w:fill="F2F2F2"/>
            <w:vAlign w:val="center"/>
          </w:tcPr>
          <w:p>
            <w:pPr>
              <w:jc w:val="center"/>
            </w:pPr>
            <w:r>
              <w:rPr>
                <w:b w:val="0"/>
                <w:i w:val="0"/>
                <w:sz w:val="18"/>
              </w:rPr>
              <w:t>S10</w:t>
            </w:r>
          </w:p>
        </w:tc>
        <w:tc>
          <w:tcPr>
            <w:tcW w:type="dxa" w:w="8064"/>
            <w:shd w:val="clear" w:color="auto" w:fill="F2F2F2"/>
            <w:vAlign w:val="center"/>
          </w:tcPr>
          <w:p>
            <w:r>
              <w:rPr>
                <w:b w:val="0"/>
                <w:i w:val="0"/>
                <w:sz w:val="18"/>
              </w:rPr>
              <w:t>Approved Commercial Capacity, Non-Project Use, Non-Tribal Customers, Valuation, and Cost Allocation</w:t>
            </w:r>
          </w:p>
        </w:tc>
      </w:tr>
      <w:tr>
        <w:tc>
          <w:tcPr>
            <w:tcW w:type="dxa" w:w="1296"/>
            <w:vAlign w:val="center"/>
          </w:tcPr>
          <w:p>
            <w:pPr>
              <w:jc w:val="center"/>
            </w:pPr>
            <w:r>
              <w:rPr>
                <w:b w:val="0"/>
                <w:i w:val="0"/>
                <w:sz w:val="18"/>
              </w:rPr>
              <w:t>S11</w:t>
            </w:r>
          </w:p>
        </w:tc>
        <w:tc>
          <w:tcPr>
            <w:tcW w:type="dxa" w:w="8064"/>
            <w:vAlign w:val="center"/>
          </w:tcPr>
          <w:p>
            <w:r>
              <w:rPr>
                <w:b w:val="0"/>
                <w:i w:val="0"/>
                <w:sz w:val="18"/>
              </w:rPr>
              <w:t>Data, Privacy, Cybersecurity, Supply-Chain Risk, Incident Response, and Disaster Recovery</w:t>
            </w:r>
          </w:p>
        </w:tc>
      </w:tr>
      <w:tr>
        <w:tc>
          <w:tcPr>
            <w:tcW w:type="dxa" w:w="1296"/>
            <w:shd w:val="clear" w:color="auto" w:fill="F2F2F2"/>
            <w:vAlign w:val="center"/>
          </w:tcPr>
          <w:p>
            <w:pPr>
              <w:jc w:val="center"/>
            </w:pPr>
            <w:r>
              <w:rPr>
                <w:b w:val="0"/>
                <w:i w:val="0"/>
                <w:sz w:val="18"/>
              </w:rPr>
              <w:t>S12</w:t>
            </w:r>
          </w:p>
        </w:tc>
        <w:tc>
          <w:tcPr>
            <w:tcW w:type="dxa" w:w="8064"/>
            <w:shd w:val="clear" w:color="auto" w:fill="F2F2F2"/>
            <w:vAlign w:val="center"/>
          </w:tcPr>
          <w:p>
            <w:r>
              <w:rPr>
                <w:b w:val="0"/>
                <w:i w:val="0"/>
                <w:sz w:val="18"/>
              </w:rPr>
              <w:t>Insurance, Indemnity, Liability Allocation, and Claims Procedures</w:t>
            </w:r>
          </w:p>
        </w:tc>
      </w:tr>
      <w:tr>
        <w:tc>
          <w:tcPr>
            <w:tcW w:type="dxa" w:w="1296"/>
            <w:vAlign w:val="center"/>
          </w:tcPr>
          <w:p>
            <w:pPr>
              <w:jc w:val="center"/>
            </w:pPr>
            <w:r>
              <w:rPr>
                <w:b w:val="0"/>
                <w:i w:val="0"/>
                <w:sz w:val="18"/>
              </w:rPr>
              <w:t>S13</w:t>
            </w:r>
          </w:p>
        </w:tc>
        <w:tc>
          <w:tcPr>
            <w:tcW w:type="dxa" w:w="8064"/>
            <w:vAlign w:val="center"/>
          </w:tcPr>
          <w:p>
            <w:r>
              <w:rPr>
                <w:b w:val="0"/>
                <w:i w:val="0"/>
                <w:sz w:val="18"/>
              </w:rPr>
              <w:t>Default, Cure, Step-In, Continuity, Transition, and Termination Assistance</w:t>
            </w:r>
          </w:p>
        </w:tc>
      </w:tr>
      <w:tr>
        <w:tc>
          <w:tcPr>
            <w:tcW w:type="dxa" w:w="1296"/>
            <w:shd w:val="clear" w:color="auto" w:fill="F2F2F2"/>
            <w:vAlign w:val="center"/>
          </w:tcPr>
          <w:p>
            <w:pPr>
              <w:jc w:val="center"/>
            </w:pPr>
            <w:r>
              <w:rPr>
                <w:b w:val="0"/>
                <w:i w:val="0"/>
                <w:sz w:val="18"/>
              </w:rPr>
              <w:t>S14</w:t>
            </w:r>
          </w:p>
        </w:tc>
        <w:tc>
          <w:tcPr>
            <w:tcW w:type="dxa" w:w="8064"/>
            <w:shd w:val="clear" w:color="auto" w:fill="F2F2F2"/>
            <w:vAlign w:val="center"/>
          </w:tcPr>
          <w:p>
            <w:r>
              <w:rPr>
                <w:b w:val="0"/>
                <w:i w:val="0"/>
                <w:sz w:val="18"/>
              </w:rPr>
              <w:t>Required Federal, Tribal, Corporate, Landowner, Lender, and Regulatory Approvals</w:t>
            </w:r>
          </w:p>
        </w:tc>
      </w:tr>
    </w:tbl>
    <w:p>
      <w:pPr>
        <w:ind w:left="504"/>
      </w:pPr>
      <w:r>
        <w:rPr>
          <w:b/>
          <w:color w:val="0000C0"/>
        </w:rPr>
        <w:t xml:space="preserve">[ATTORNEY REVIEW REQUIRED]  </w:t>
      </w:r>
      <w:r>
        <w:rPr>
          <w:i/>
          <w:color w:val="595959"/>
        </w:rPr>
        <w:t>Each Schedule is a working shell pending the controlling Award and source documents; none may be treated as final until completed and reviewed.</w:t>
      </w:r>
    </w:p>
    <w:p>
      <w:pPr>
        <w:pStyle w:val="Heading1"/>
        <w:spacing w:before="240" w:after="120"/>
      </w:pPr>
      <w:r>
        <w:rPr>
          <w:rFonts w:ascii="Calibri" w:hAnsi="Calibri"/>
          <w:b/>
          <w:color w:val="1F3864"/>
          <w:sz w:val="26"/>
        </w:rPr>
        <w:t>ARTICLE 5.  ORDER OF PRECEDENCE AND SHARED DEFINITIONS</w:t>
      </w:r>
    </w:p>
    <w:p>
      <w:pPr>
        <w:pStyle w:val="Heading2"/>
        <w:spacing w:before="160" w:after="60"/>
      </w:pPr>
      <w:r>
        <w:rPr>
          <w:rFonts w:ascii="Calibri" w:hAnsi="Calibri"/>
          <w:b/>
          <w:color w:val="000000"/>
          <w:sz w:val="22"/>
        </w:rPr>
        <w:t>5.1  Order of Precedence</w:t>
      </w:r>
    </w:p>
    <w:p>
      <w:r>
        <w:rPr>
          <w:b w:val="0"/>
          <w:i w:val="0"/>
        </w:rPr>
        <w:t>In the event of any conflict, ambiguity, or inconsistency among the instruments comprising the transaction, the following order of precedence governs, from highest to lowest authority:</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pPr>
        <w:pStyle w:val="Heading2"/>
        <w:spacing w:before="160" w:after="60"/>
      </w:pPr>
      <w:r>
        <w:rPr>
          <w:rFonts w:ascii="Calibri" w:hAnsi="Calibri"/>
          <w:b/>
          <w:color w:val="000000"/>
          <w:sz w:val="22"/>
        </w:rPr>
        <w:t>5.2  Precedence Rule</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pStyle w:val="Heading2"/>
        <w:spacing w:before="160" w:after="60"/>
      </w:pPr>
      <w:r>
        <w:rPr>
          <w:rFonts w:ascii="Calibri" w:hAnsi="Calibri"/>
          <w:b/>
          <w:color w:val="000000"/>
          <w:sz w:val="22"/>
        </w:rPr>
        <w:t>5.3  Shared Definitions</w:t>
      </w:r>
    </w:p>
    <w:p>
      <w:r>
        <w:rPr>
          <w:b w:val="0"/>
          <w:i w:val="0"/>
        </w:rPr>
        <w:t>Capitalized terms used and not otherwise defined in a document have the meanings given in Article 2 (Definitions) of the Master TBCP Partnership and Implementation Agreement, which is the single shared definitions source for the package.</w:t>
      </w:r>
    </w:p>
    <w:p>
      <w:pPr>
        <w:pStyle w:val="Heading2"/>
        <w:spacing w:before="160" w:after="60"/>
      </w:pPr>
      <w:r>
        <w:rPr>
          <w:rFonts w:ascii="Calibri" w:hAnsi="Calibri"/>
          <w:b/>
          <w:color w:val="000000"/>
          <w:sz w:val="22"/>
        </w:rPr>
        <w:t>5.4  No Enlargement of Federal or Tribal Obligations</w:t>
      </w:r>
    </w:p>
    <w:p>
      <w:r>
        <w:rPr>
          <w:b w:val="0"/>
          <w:i w:val="0"/>
        </w:rPr>
        <w:t>No provision of this Agreement, and no schedule, exhibit, certificate, or form, may be construed to authorize any act prohibited by, or inconsistent with, the Award, applicable federal law, or the sovereign rights of the Lumbee Tribe. A rejected or unenforceable commercial term does not invalidate a lawful construction and service provision; the provisions of Article on Severability and Reformation apply.</w:t>
      </w:r>
    </w:p>
    <w:p>
      <w:pPr>
        <w:pStyle w:val="Heading1"/>
        <w:spacing w:before="240" w:after="120"/>
      </w:pPr>
      <w:r>
        <w:rPr>
          <w:rFonts w:ascii="Calibri" w:hAnsi="Calibri"/>
          <w:b/>
          <w:color w:val="1F3864"/>
          <w:sz w:val="26"/>
        </w:rPr>
        <w:t>ARTICLE 6.  REPRESENTATIONS AND WARRANTIES</w:t>
      </w:r>
    </w:p>
    <w:p>
      <w:pPr>
        <w:pStyle w:val="Heading2"/>
        <w:spacing w:before="160" w:after="60"/>
      </w:pPr>
      <w:r>
        <w:rPr>
          <w:rFonts w:ascii="Calibri" w:hAnsi="Calibri"/>
          <w:b/>
          <w:color w:val="000000"/>
          <w:sz w:val="22"/>
        </w:rPr>
        <w:t>6.1  Mutual Representations</w:t>
      </w:r>
    </w:p>
    <w:p>
      <w:r>
        <w:rPr>
          <w:b w:val="0"/>
          <w:i w:val="0"/>
        </w:rPr>
        <w:t xml:space="preserve">Each Party represents and warrants that it is duly organized and validly existing; that, subject to the conditions precedent in Article 10 and to all required governmental and Tribal approvals, it has (or upon such approvals will have) the power and authority to enter into and perform the Definitive Agreements; and that its execution has been duly authorized. </w:t>
      </w:r>
      <w:r>
        <w:rPr>
          <w:b/>
          <w:i w:val="0"/>
          <w:color w:val="0000C0"/>
        </w:rPr>
        <w:t>[ATTORNEY REVIEW REQUIRED]</w:t>
      </w:r>
      <w:r>
        <w:rPr>
          <w:b w:val="0"/>
          <w:i w:val="0"/>
        </w:rPr>
        <w:t xml:space="preserve"> Authority is subject to the authorizing resolutions and approvals in Schedule S1 and Schedule S14.</w:t>
      </w:r>
    </w:p>
    <w:p>
      <w:pPr>
        <w:pStyle w:val="Heading2"/>
        <w:spacing w:before="160" w:after="60"/>
      </w:pPr>
      <w:r>
        <w:rPr>
          <w:rFonts w:ascii="Calibri" w:hAnsi="Calibri"/>
          <w:b/>
          <w:color w:val="000000"/>
          <w:sz w:val="22"/>
        </w:rPr>
        <w:t>6.2  Lumbee Tribe Representations</w:t>
      </w:r>
    </w:p>
    <w:p>
      <w:r>
        <w:rPr>
          <w:b w:val="0"/>
          <w:i w:val="0"/>
        </w:rPr>
        <w:t xml:space="preserve">The Lumbee Tribe represents, to its knowledge and subject to confirmation against the controlling Award, that it is (or expects to be) the recipient of the Award and that it does not warrant any award number, routes, prices, useful life, approvals, land rights, or consents not yet supplied. </w:t>
      </w:r>
      <w:r>
        <w:rPr>
          <w:b/>
          <w:i w:val="0"/>
          <w:color w:val="7F007F"/>
        </w:rPr>
        <w:t>[GRANT COMPLIANCE REVIEW REQUIRED]</w:t>
      </w:r>
      <w:r>
        <w:rPr>
          <w:b w:val="0"/>
          <w:i w:val="0"/>
        </w:rPr>
        <w:t xml:space="preserve"> </w:t>
      </w:r>
      <w:r>
        <w:rPr>
          <w:b w:val="0"/>
          <w:i w:val="0"/>
          <w:color w:val="804000"/>
          <w:highlight w:val="yellow"/>
        </w:rPr>
        <w:t>[■ Tribal-specific representations to be confirmed against the Award]</w:t>
      </w:r>
    </w:p>
    <w:p>
      <w:pPr>
        <w:pStyle w:val="Heading2"/>
        <w:spacing w:before="160" w:after="60"/>
      </w:pPr>
      <w:r>
        <w:rPr>
          <w:rFonts w:ascii="Calibri" w:hAnsi="Calibri"/>
          <w:b/>
          <w:color w:val="000000"/>
          <w:sz w:val="22"/>
        </w:rPr>
        <w:t>6.3  RIVR Tech Representations</w:t>
      </w:r>
    </w:p>
    <w:p>
      <w:r>
        <w:rPr>
          <w:b w:val="0"/>
          <w:i w:val="0"/>
        </w:rPr>
        <w:t xml:space="preserve">RIVR Tech represents that it owns and operates the RIVR Tech Existing Network; that it is not debarred or suspended (2 CFR Part 180 and 2 CFR Part 1327 (Governmentwide debarment and suspension — DOC/NTIA adoption)); that it will comply with the flow-down requirements of Article 11; and that it does not represent any ownership or control of the LREMC Facilities. </w:t>
      </w:r>
      <w:r>
        <w:rPr>
          <w:b/>
          <w:i w:val="0"/>
          <w:color w:val="0000C0"/>
        </w:rPr>
        <w:t>[ATTORNEY REVIEW REQUIRED]</w:t>
      </w:r>
    </w:p>
    <w:p>
      <w:pPr>
        <w:pStyle w:val="Heading2"/>
        <w:spacing w:before="160" w:after="60"/>
      </w:pPr>
      <w:r>
        <w:rPr>
          <w:rFonts w:ascii="Calibri" w:hAnsi="Calibri"/>
          <w:b/>
          <w:color w:val="000000"/>
          <w:sz w:val="22"/>
        </w:rPr>
        <w:t>6.4  No Reliance on Unsupplied Facts</w:t>
      </w:r>
    </w:p>
    <w:p>
      <w:r>
        <w:rPr>
          <w:b w:val="0"/>
          <w:i w:val="0"/>
        </w:rPr>
        <w:t xml:space="preserve">Because no controlling Award or source documents have been supplied, no Party makes any representation as to award amount, eligible locations, routes, pricing, useful life, or approvals; all such matters are </w:t>
      </w:r>
      <w:r>
        <w:rPr>
          <w:b w:val="0"/>
          <w:i w:val="0"/>
          <w:color w:val="804000"/>
          <w:highlight w:val="yellow"/>
        </w:rPr>
        <w:t>[■ to be confirmed against the Award]</w:t>
      </w:r>
      <w:r>
        <w:rPr>
          <w:b w:val="0"/>
          <w:i w:val="0"/>
        </w:rPr>
        <w:t xml:space="preserve"> and are subject to Article 10. </w:t>
      </w:r>
      <w:r>
        <w:rPr>
          <w:b/>
          <w:i w:val="0"/>
          <w:color w:val="7F007F"/>
        </w:rPr>
        <w:t>[GRANT COMPLIANCE REVIEW REQUIRED]</w:t>
      </w:r>
    </w:p>
    <w:p>
      <w:pPr>
        <w:pStyle w:val="Heading1"/>
        <w:spacing w:before="240" w:after="120"/>
      </w:pPr>
      <w:r>
        <w:rPr>
          <w:rFonts w:ascii="Calibri" w:hAnsi="Calibri"/>
          <w:b/>
          <w:color w:val="1F3864"/>
          <w:sz w:val="26"/>
        </w:rPr>
        <w:t>ARTICLE 7.  GOVERNANCE, STEERING COMMITTEE, AND ESCALATION</w:t>
      </w:r>
    </w:p>
    <w:p>
      <w:pPr>
        <w:pStyle w:val="Heading2"/>
        <w:spacing w:before="160" w:after="60"/>
      </w:pPr>
      <w:r>
        <w:rPr>
          <w:rFonts w:ascii="Calibri" w:hAnsi="Calibri"/>
          <w:b/>
          <w:color w:val="000000"/>
          <w:sz w:val="22"/>
        </w:rPr>
        <w:t>7.1  Steering Committee</w:t>
      </w:r>
    </w:p>
    <w:p>
      <w:r>
        <w:rPr>
          <w:b w:val="0"/>
          <w:i w:val="0"/>
        </w:rPr>
        <w:t xml:space="preserve">The Parties will establish a Steering Committee with equal representation from the Lumbee Tribe and RIVR Tech to oversee coordination, review progress against Schedule S2 milestones, and address disputes below the level requiring formal dispute resolution. </w:t>
      </w:r>
      <w:r>
        <w:rPr>
          <w:b w:val="0"/>
          <w:i w:val="0"/>
          <w:color w:val="804000"/>
          <w:highlight w:val="yellow"/>
        </w:rPr>
        <w:t>[■ committee size, members, and quorum]</w:t>
      </w:r>
      <w:r>
        <w:rPr>
          <w:b w:val="0"/>
          <w:i w:val="0"/>
        </w:rPr>
        <w:t xml:space="preserve"> </w:t>
      </w:r>
      <w:r>
        <w:rPr>
          <w:b/>
          <w:i w:val="0"/>
          <w:color w:val="C00000"/>
        </w:rPr>
        <w:t>[BUSINESS DECISION REQUIRED]</w:t>
      </w:r>
    </w:p>
    <w:p>
      <w:pPr>
        <w:pStyle w:val="Heading2"/>
        <w:spacing w:before="160" w:after="60"/>
      </w:pPr>
      <w:r>
        <w:rPr>
          <w:rFonts w:ascii="Calibri" w:hAnsi="Calibri"/>
          <w:b/>
          <w:color w:val="000000"/>
          <w:sz w:val="22"/>
        </w:rPr>
        <w:t>7.2  Meetings and Reporting</w:t>
      </w:r>
    </w:p>
    <w:p>
      <w:r>
        <w:rPr>
          <w:b w:val="0"/>
          <w:i w:val="0"/>
        </w:rPr>
        <w:t xml:space="preserve">The Steering Committee will meet not less than </w:t>
      </w:r>
      <w:r>
        <w:rPr>
          <w:b w:val="0"/>
          <w:i w:val="0"/>
          <w:color w:val="804000"/>
          <w:highlight w:val="yellow"/>
        </w:rPr>
        <w:t>[■ frequency, e.g., monthly]</w:t>
      </w:r>
      <w:r>
        <w:rPr>
          <w:b w:val="0"/>
          <w:i w:val="0"/>
        </w:rPr>
        <w:t xml:space="preserve"> and receive reporting sufficient for the Lumbee Tribe to discharge its stewardship and reporting obligations under the Award and Article 9.</w:t>
      </w:r>
    </w:p>
    <w:p>
      <w:pPr>
        <w:pStyle w:val="Heading2"/>
        <w:spacing w:before="160" w:after="60"/>
      </w:pPr>
      <w:r>
        <w:rPr>
          <w:rFonts w:ascii="Calibri" w:hAnsi="Calibri"/>
          <w:b/>
          <w:color w:val="000000"/>
          <w:sz w:val="22"/>
        </w:rPr>
        <w:t>7.3  Escalation</w:t>
      </w:r>
    </w:p>
    <w:p>
      <w:r>
        <w:rPr>
          <w:b w:val="0"/>
          <w:i w:val="0"/>
        </w:rPr>
        <w:t xml:space="preserve">Matters not resolved by the Steering Committee within </w:t>
      </w:r>
      <w:r>
        <w:rPr>
          <w:b w:val="0"/>
          <w:i w:val="0"/>
          <w:color w:val="804000"/>
          <w:highlight w:val="yellow"/>
        </w:rPr>
        <w:t>[■ number]</w:t>
      </w:r>
      <w:r>
        <w:rPr>
          <w:b w:val="0"/>
          <w:i w:val="0"/>
        </w:rPr>
        <w:t xml:space="preserve"> business days escalate to the Parties' respective executive sponsors, and thereafter to the dispute-resolution process in Article 24. Escalation does not stay any Award-compliance obligation or the Lumbee Tribe's reserved decisions under Article 8.</w:t>
      </w:r>
    </w:p>
    <w:p>
      <w:pPr>
        <w:pStyle w:val="Heading1"/>
        <w:spacing w:before="240" w:after="120"/>
      </w:pPr>
      <w:r>
        <w:rPr>
          <w:rFonts w:ascii="Calibri" w:hAnsi="Calibri"/>
          <w:b/>
          <w:color w:val="1F3864"/>
          <w:sz w:val="26"/>
        </w:rPr>
        <w:t>ARTICLE 8.  ROLES, RESPONSIBILITIES, AND RESERVED DECISIONS</w:t>
      </w:r>
    </w:p>
    <w:p>
      <w:pPr>
        <w:pStyle w:val="Heading2"/>
        <w:spacing w:before="160" w:after="60"/>
      </w:pPr>
      <w:r>
        <w:rPr>
          <w:rFonts w:ascii="Calibri" w:hAnsi="Calibri"/>
          <w:b/>
          <w:color w:val="000000"/>
          <w:sz w:val="22"/>
        </w:rPr>
        <w:t>8.1  RIVR Tech Operational Control</w:t>
      </w:r>
    </w:p>
    <w:p>
      <w:r>
        <w:rPr>
          <w:b w:val="0"/>
          <w:i w:val="0"/>
        </w:rPr>
        <w:t>Subject to the Lumbee Tribe's reserved decisions and the Award, RIVR Tech has operational control over the design, construction, operation, maintenance, and retail provision of the Tribal Network, as detailed in the Design, Engineering, Procurement, and Construction Agreement, Network Operations, Maintenance, and Lifecycle Agreement, and Retail Customer Service, Billing, Collections, and Subscriber Revenue Agreement.</w:t>
      </w:r>
    </w:p>
    <w:p>
      <w:pPr>
        <w:pStyle w:val="Heading2"/>
        <w:spacing w:before="160" w:after="60"/>
      </w:pPr>
      <w:r>
        <w:rPr>
          <w:rFonts w:ascii="Calibri" w:hAnsi="Calibri"/>
          <w:b/>
          <w:color w:val="000000"/>
          <w:sz w:val="22"/>
        </w:rPr>
        <w:t>8.2  Reserved Decisions of the Lumbee Tribe</w:t>
      </w:r>
    </w:p>
    <w:p>
      <w:r>
        <w:rPr>
          <w:b w:val="0"/>
          <w:i w:val="0"/>
        </w:rPr>
        <w:t>The following decisions are reserved to the Lumbee Tribe as recipient and steward and may not be made or overridden by RIVR Tech:</w:t>
      </w:r>
    </w:p>
    <w:p>
      <w:pPr>
        <w:pStyle w:val="ListNumber"/>
      </w:pPr>
      <w:r>
        <w:rPr>
          <w:b w:val="0"/>
          <w:i w:val="0"/>
        </w:rPr>
        <w:t>acceptance of, and any change to, the Award, the approved application, budget, routes, and service commitments, and all communications with NTIA/DOC on Award matters;</w:t>
      </w:r>
    </w:p>
    <w:p>
      <w:pPr>
        <w:pStyle w:val="ListNumber"/>
      </w:pPr>
      <w:r>
        <w:rPr>
          <w:b w:val="0"/>
          <w:i w:val="0"/>
        </w:rPr>
        <w:t>any disposition, encumbrance, lien, or transfer of, or grant of any interest in, the Grant-Funded Assets or any asset subject to the Federal Interest;</w:t>
      </w:r>
    </w:p>
    <w:p>
      <w:pPr>
        <w:pStyle w:val="ListNumber"/>
      </w:pPr>
      <w:r>
        <w:rPr>
          <w:b w:val="0"/>
          <w:i w:val="0"/>
        </w:rPr>
        <w:t>any determination affecting the property trust relationship, program-income treatment, or federal-interest release;</w:t>
      </w:r>
    </w:p>
    <w:p>
      <w:pPr>
        <w:pStyle w:val="ListNumber"/>
      </w:pPr>
      <w:r>
        <w:rPr>
          <w:b w:val="0"/>
          <w:i w:val="0"/>
        </w:rPr>
        <w:t>matters implicating Tribal sovereignty, any waiver of sovereign immunity, and governing-law/forum elections (Article 24);</w:t>
      </w:r>
    </w:p>
    <w:p>
      <w:pPr>
        <w:pStyle w:val="ListNumber"/>
      </w:pPr>
      <w:r>
        <w:rPr>
          <w:b w:val="0"/>
          <w:i w:val="0"/>
        </w:rPr>
        <w:t>approval of the Approved Project Area, eligible-location list, and any commercial or non-project use of the Grant-Funded Assets (Schedule S10).</w:t>
      </w:r>
    </w:p>
    <w:p>
      <w:pPr>
        <w:ind w:left="504"/>
      </w:pPr>
      <w:r>
        <w:rPr>
          <w:b/>
          <w:color w:val="7F007F"/>
        </w:rPr>
        <w:t xml:space="preserve">[GRANT COMPLIANCE REVIEW REQUIRED]  </w:t>
      </w:r>
      <w:r>
        <w:rPr>
          <w:i/>
          <w:color w:val="595959"/>
        </w:rPr>
        <w:t>Reserved decisions must be reconciled with the Award, 2 CFR Part 200 property and program-income rules, and any NTIA prior-approval requirements.</w:t>
      </w:r>
    </w:p>
    <w:p>
      <w:pPr>
        <w:pStyle w:val="Heading1"/>
        <w:spacing w:before="240" w:after="120"/>
      </w:pPr>
      <w:r>
        <w:rPr>
          <w:rFonts w:ascii="Calibri" w:hAnsi="Calibri"/>
          <w:b/>
          <w:color w:val="1F3864"/>
          <w:sz w:val="26"/>
        </w:rPr>
        <w:t>ARTICLE 9.  GRANT-RECIPIENT AUTHORITY AND STEWARDSHIP</w:t>
      </w:r>
    </w:p>
    <w:p>
      <w:pPr>
        <w:pStyle w:val="Heading2"/>
        <w:spacing w:before="160" w:after="60"/>
      </w:pPr>
      <w:r>
        <w:rPr>
          <w:rFonts w:ascii="Calibri" w:hAnsi="Calibri"/>
          <w:b/>
          <w:color w:val="000000"/>
          <w:sz w:val="22"/>
        </w:rPr>
        <w:t>9.1  Recipient Responsibility</w:t>
      </w:r>
    </w:p>
    <w:p>
      <w:r>
        <w:rPr>
          <w:b w:val="0"/>
          <w:i w:val="0"/>
        </w:rPr>
        <w:t>The Lumbee Tribe retains ultimate responsibility to NTIA/DOC for the Award, including performance, reporting, financial management, and property stewardship. No delegation of operational functions to RIVR Tech relieves the Lumbee Tribe of, or transfers, that recipient responsibility.</w:t>
      </w:r>
    </w:p>
    <w:p>
      <w:pPr>
        <w:pStyle w:val="Heading2"/>
        <w:spacing w:before="160" w:after="60"/>
      </w:pPr>
      <w:r>
        <w:rPr>
          <w:rFonts w:ascii="Calibri" w:hAnsi="Calibri"/>
          <w:b/>
          <w:color w:val="000000"/>
          <w:sz w:val="22"/>
        </w:rPr>
        <w:t>9.2  Property Stewardship</w:t>
      </w:r>
    </w:p>
    <w:p>
      <w:r>
        <w:rPr>
          <w:b w:val="0"/>
          <w:i w:val="0"/>
        </w:rPr>
        <w:t xml:space="preserve">The Grant-Funded Assets are held and used in accordance with 2 CFR 200.311 (Real property — use, encumbrance, and disposition), 2 CFR 200.313 (Equipment — use, management, and disposition), 2 CFR 200.315 (Intangible property), and the property trust relationship under 2 CFR 200.316 (Property trust relationship). RIVR Tech operates the Grant-Funded Assets as a custodian for the Lumbee Tribe and acquires no ownership interest therein. </w:t>
      </w:r>
      <w:r>
        <w:rPr>
          <w:b/>
          <w:i w:val="0"/>
          <w:color w:val="7F007F"/>
        </w:rPr>
        <w:t>[GRANT COMPLIANCE REVIEW REQUIRED]</w:t>
      </w:r>
    </w:p>
    <w:p>
      <w:pPr>
        <w:pStyle w:val="Heading2"/>
        <w:spacing w:before="160" w:after="60"/>
      </w:pPr>
      <w:r>
        <w:rPr>
          <w:rFonts w:ascii="Calibri" w:hAnsi="Calibri"/>
          <w:b/>
          <w:color w:val="000000"/>
          <w:sz w:val="22"/>
        </w:rPr>
        <w:t>9.3  No Liens or Attachment</w:t>
      </w:r>
    </w:p>
    <w:p>
      <w:r>
        <w:rPr>
          <w:b w:val="0"/>
          <w:i w:val="0"/>
        </w:rPr>
        <w:t xml:space="preserve">No Party may create, permit, or suffer any lien, security interest, levy, attachment, or encumbrance against the Grant-Funded Assets or any trust, restricted, or Federal Interest asset. RIVR Tech will keep such assets free of all claims arising from its acts and will discharge any such lien promptly. </w:t>
      </w:r>
      <w:r>
        <w:rPr>
          <w:b/>
          <w:i w:val="0"/>
          <w:color w:val="0000C0"/>
        </w:rPr>
        <w:t>[ATTORNEY REVIEW REQUIRED]</w:t>
      </w:r>
    </w:p>
    <w:p>
      <w:pPr>
        <w:pStyle w:val="Heading2"/>
        <w:spacing w:before="160" w:after="60"/>
      </w:pPr>
      <w:r>
        <w:rPr>
          <w:rFonts w:ascii="Calibri" w:hAnsi="Calibri"/>
          <w:b/>
          <w:color w:val="000000"/>
          <w:sz w:val="22"/>
        </w:rPr>
        <w:t>9.4  Records and Access</w:t>
      </w:r>
    </w:p>
    <w:p>
      <w:r>
        <w:rPr>
          <w:b w:val="0"/>
          <w:i w:val="0"/>
        </w:rPr>
        <w:t>Each Party will maintain records and provide access consistent with 2 CFR 200.334–200.337 (Record retention and access; three-year retention), retaining records for not less than 3 years measured from submission of the final report, and will cooperate with audit on not less than 10 business days' notice (or immediately where required by law or the Award).</w:t>
      </w:r>
    </w:p>
    <w:p>
      <w:pPr>
        <w:pStyle w:val="Heading1"/>
        <w:spacing w:before="240" w:after="120"/>
      </w:pPr>
      <w:r>
        <w:rPr>
          <w:rFonts w:ascii="Calibri" w:hAnsi="Calibri"/>
          <w:b/>
          <w:color w:val="1F3864"/>
          <w:sz w:val="26"/>
        </w:rPr>
        <w:t>ARTICLE 10.  CONDITIONS PRECEDENT (SEGMENT-LEVEL)</w:t>
      </w:r>
    </w:p>
    <w:p>
      <w:pPr>
        <w:pStyle w:val="Heading2"/>
        <w:spacing w:before="160" w:after="60"/>
      </w:pPr>
      <w:r>
        <w:rPr>
          <w:rFonts w:ascii="Calibri" w:hAnsi="Calibri"/>
          <w:b/>
          <w:color w:val="000000"/>
          <w:sz w:val="22"/>
        </w:rPr>
        <w:t>10.1  No Activity Until Conditions Met</w:t>
      </w:r>
    </w:p>
    <w:p>
      <w:r>
        <w:rPr>
          <w:b w:val="0"/>
          <w:i w:val="0"/>
        </w:rPr>
        <w:t>No design finalization for construction, construction, ground disturbance, IRU activation, or service activation may occur for any Tribal Network segment until all of the following conditions have been satisfied (or expressly waived in writing by the Party entitled to the benefit, and, where required, by NTIA/DOC) for that segment:</w:t>
      </w:r>
    </w:p>
    <w:p>
      <w:pPr>
        <w:pStyle w:val="ListNumber"/>
      </w:pPr>
      <w:r>
        <w:rPr>
          <w:b w:val="0"/>
          <w:i w:val="0"/>
        </w:rPr>
        <w:t>confirmed funding and budget authority for the segment under the Award;</w:t>
      </w:r>
    </w:p>
    <w:p>
      <w:pPr>
        <w:pStyle w:val="ListNumber"/>
      </w:pPr>
      <w:r>
        <w:rPr>
          <w:b w:val="0"/>
          <w:i w:val="0"/>
        </w:rPr>
        <w:t>completed procurement in compliance with 2 CFR 200.317–200.327 (Procurement standards) and domestic-preference/BABA requirements;</w:t>
      </w:r>
    </w:p>
    <w:p>
      <w:pPr>
        <w:pStyle w:val="ListNumber"/>
      </w:pPr>
      <w:r>
        <w:rPr>
          <w:b w:val="0"/>
          <w:i w:val="0"/>
        </w:rPr>
        <w:t>completed environmental and historic-preservation review and clearances under National Environmental Policy Act (NEPA), 42 U.S.C. § 4321 et seq., and DOC/NTIA implementing procedures and National Historic Preservation Act § 106, 54 U.S.C. § 306108 (36 CFR Part 800) before any ground disturbance;</w:t>
      </w:r>
    </w:p>
    <w:p>
      <w:pPr>
        <w:pStyle w:val="ListNumber"/>
      </w:pPr>
      <w:r>
        <w:rPr>
          <w:b w:val="0"/>
          <w:i w:val="0"/>
        </w:rPr>
        <w:t>secured land, easement, right-of-way, pole, site, and power rights for the segment under the Land, Easement, Right-of-Way, Pole, Site, Power, and Facility Instruments, including any required LREMC consent or joinder and any approvals for trust/restricted land (25 CFR Part 162 (leases of Indian land) — where trust/restricted land is used, 25 CFR Part 169 (rights-of-way over Indian land) — where trust/restricted land is crossed, 25 U.S.C. §§ 415, 81 and 25 CFR Parts 162/169 (BIA approval of certain leases/ROW/contracts on Indian land));</w:t>
      </w:r>
    </w:p>
    <w:p>
      <w:pPr>
        <w:pStyle w:val="ListNumber"/>
      </w:pPr>
      <w:r>
        <w:rPr>
          <w:b w:val="0"/>
          <w:i w:val="0"/>
        </w:rPr>
        <w:t>all required permits and authorizations for the segment;</w:t>
      </w:r>
    </w:p>
    <w:p>
      <w:pPr>
        <w:pStyle w:val="ListNumber"/>
      </w:pPr>
      <w:r>
        <w:rPr>
          <w:b w:val="0"/>
          <w:i w:val="0"/>
        </w:rPr>
        <w:t>insurance in force meeting Schedule S12 and Article 15;</w:t>
      </w:r>
    </w:p>
    <w:p>
      <w:pPr>
        <w:pStyle w:val="ListNumber"/>
      </w:pPr>
      <w:r>
        <w:rPr>
          <w:b w:val="0"/>
          <w:i w:val="0"/>
        </w:rPr>
        <w:t>all required federal, Tribal, corporate, landowner, lender, and regulatory approvals (Schedule S14); and</w:t>
      </w:r>
    </w:p>
    <w:p>
      <w:pPr>
        <w:pStyle w:val="ListNumber"/>
      </w:pPr>
      <w:r>
        <w:rPr>
          <w:b w:val="0"/>
          <w:i w:val="0"/>
        </w:rPr>
        <w:t>issuance of a Notice to Proceed for the segment.</w:t>
      </w:r>
    </w:p>
    <w:p>
      <w:pPr>
        <w:pStyle w:val="Heading2"/>
        <w:spacing w:before="160" w:after="60"/>
      </w:pPr>
      <w:r>
        <w:rPr>
          <w:rFonts w:ascii="Calibri" w:hAnsi="Calibri"/>
          <w:b/>
          <w:color w:val="000000"/>
          <w:sz w:val="22"/>
        </w:rPr>
        <w:t>10.2  Segment-by-Segment Application</w:t>
      </w:r>
    </w:p>
    <w:p>
      <w:r>
        <w:rPr>
          <w:b w:val="0"/>
          <w:i w:val="0"/>
        </w:rPr>
        <w:t>Conditions precedent apply on a segment-by-segment basis; satisfaction for one segment does not satisfy them for another. Segment acceptance under the Design, Engineering, Procurement, and Construction Agreement triggers the Term and IRU activation for that segment only (Article 22; Indefeasible Right of Use and Network Access Agreement).</w:t>
      </w:r>
    </w:p>
    <w:p>
      <w:pPr>
        <w:ind w:left="504"/>
      </w:pPr>
      <w:r>
        <w:rPr>
          <w:b/>
          <w:color w:val="7F007F"/>
        </w:rPr>
        <w:t xml:space="preserve">[GRANT COMPLIANCE REVIEW REQUIRED]  </w:t>
      </w:r>
      <w:r>
        <w:rPr>
          <w:i/>
          <w:color w:val="595959"/>
        </w:rPr>
        <w:t>The condition list must be reconciled to the Specific Award Conditions and any NTIA prior-approval or pre-construction requirements before finalization.</w:t>
      </w:r>
    </w:p>
    <w:p>
      <w:pPr>
        <w:pStyle w:val="Heading1"/>
        <w:spacing w:before="240" w:after="120"/>
      </w:pPr>
      <w:r>
        <w:rPr>
          <w:rFonts w:ascii="Calibri" w:hAnsi="Calibri"/>
          <w:b/>
          <w:color w:val="1F3864"/>
          <w:sz w:val="26"/>
        </w:rPr>
        <w:t>ARTICLE 11.  COMPLIANCE FLOW-DOWNS</w:t>
      </w:r>
    </w:p>
    <w:p>
      <w:pPr>
        <w:pStyle w:val="Heading2"/>
        <w:spacing w:before="160" w:after="60"/>
      </w:pPr>
      <w:r>
        <w:rPr>
          <w:rFonts w:ascii="Calibri" w:hAnsi="Calibri"/>
          <w:b/>
          <w:color w:val="000000"/>
          <w:sz w:val="22"/>
        </w:rPr>
        <w:t>11.1  Uniform Guidance</w:t>
      </w:r>
    </w:p>
    <w:p>
      <w:r>
        <w:rPr>
          <w:b w:val="0"/>
          <w:i w:val="0"/>
        </w:rPr>
        <w:t xml:space="preserve">RIVR Tech will comply with, and flow down to its subcontractors, the applicable requirements of 2 CFR Part 200 (Uniform Administrative Requirements, Cost Principles, and Audit Requirements for Federal Awards), as revised (2 CFR Part 200, as revised effective October 1, 2024 (equipment/supplies and disposition threshold $10,000; single-audit threshold $1,000,000)), including cost principles (2 CFR Part 200, Subpart E (Cost Principles — allowability, allocability, reasonableness)), procurement standards (2 CFR 200.317–200.327 (Procurement standards)), and audit requirements (2 CFR Part 200, Subpart F (Audit Requirements; single-audit threshold $1,000,000)). </w:t>
      </w:r>
      <w:r>
        <w:rPr>
          <w:b/>
          <w:i w:val="0"/>
          <w:color w:val="7F007F"/>
        </w:rPr>
        <w:t>[GRANT COMPLIANCE REVIEW REQUIRED]</w:t>
      </w:r>
    </w:p>
    <w:p>
      <w:pPr>
        <w:pStyle w:val="Heading2"/>
        <w:spacing w:before="160" w:after="60"/>
      </w:pPr>
      <w:r>
        <w:rPr>
          <w:rFonts w:ascii="Calibri" w:hAnsi="Calibri"/>
          <w:b/>
          <w:color w:val="000000"/>
          <w:sz w:val="22"/>
        </w:rPr>
        <w:t>11.2  Domestic Preference and Build America, Buy America</w:t>
      </w:r>
    </w:p>
    <w:p>
      <w:r>
        <w:rPr>
          <w:b w:val="0"/>
          <w:i w:val="0"/>
        </w:rPr>
        <w:t>All procurement is subject to domestic-preference requirements (2 CFR 200.322 (Domestic preferences for procurements)) and the Build America, Buy America Act, IIJA §§ 70911–70917 (Pub. L. 117-58); 2 CFR Part 184; and NTIA BABA award terms.</w:t>
      </w:r>
    </w:p>
    <w:p>
      <w:pPr>
        <w:pStyle w:val="Heading2"/>
        <w:spacing w:before="160" w:after="60"/>
      </w:pPr>
      <w:r>
        <w:rPr>
          <w:rFonts w:ascii="Calibri" w:hAnsi="Calibri"/>
          <w:b/>
          <w:color w:val="000000"/>
          <w:sz w:val="22"/>
        </w:rPr>
        <w:t>11.3  Prohibited Telecommunications Equipment</w:t>
      </w:r>
    </w:p>
    <w:p>
      <w:r>
        <w:rPr>
          <w:b w:val="0"/>
          <w:i w:val="0"/>
        </w:rPr>
        <w:t>No covered telecommunications equipment or services may be procured, used, or extended, consistent with 2 CFR 200.216 (Prohibition on certain telecommunications and video surveillance — §889 covered equipment) (Section 889).</w:t>
      </w:r>
    </w:p>
    <w:p>
      <w:pPr>
        <w:pStyle w:val="Heading2"/>
        <w:spacing w:before="160" w:after="60"/>
      </w:pPr>
      <w:r>
        <w:rPr>
          <w:rFonts w:ascii="Calibri" w:hAnsi="Calibri"/>
          <w:b/>
          <w:color w:val="000000"/>
          <w:sz w:val="22"/>
        </w:rPr>
        <w:t>11.4  Environmental and Historic Preservation</w:t>
      </w:r>
    </w:p>
    <w:p>
      <w:r>
        <w:rPr>
          <w:b w:val="0"/>
          <w:i w:val="0"/>
        </w:rPr>
        <w:t>All activity is subject to National Environmental Policy Act (NEPA), 42 U.S.C. § 4321 et seq., and DOC/NTIA implementing procedures and National Historic Preservation Act § 106, 54 U.S.C. § 306108 (36 CFR Part 800); required reviews and clearances must be completed before ground disturbance (Article 10).</w:t>
      </w:r>
    </w:p>
    <w:p>
      <w:pPr>
        <w:pStyle w:val="Heading2"/>
        <w:spacing w:before="160" w:after="60"/>
      </w:pPr>
      <w:r>
        <w:rPr>
          <w:rFonts w:ascii="Calibri" w:hAnsi="Calibri"/>
          <w:b/>
          <w:color w:val="000000"/>
          <w:sz w:val="22"/>
        </w:rPr>
        <w:t>11.5  Records, Disclosures, and Debarment</w:t>
      </w:r>
    </w:p>
    <w:p>
      <w:r>
        <w:rPr>
          <w:b w:val="0"/>
          <w:i w:val="0"/>
        </w:rPr>
        <w:t>The Parties will comply with record-retention and access rules (2 CFR 200.334–200.337 (Record retention and access; three-year retention)), mandatory disclosures (2 CFR 200.113 (Mandatory disclosures)), and debarment/suspension rules (2 CFR Part 180 and 2 CFR Part 1327 (Governmentwide debarment and suspension — DOC/NTIA adoption)).</w:t>
      </w:r>
    </w:p>
    <w:p>
      <w:pPr>
        <w:pStyle w:val="Heading2"/>
        <w:spacing w:before="160" w:after="60"/>
      </w:pPr>
      <w:r>
        <w:rPr>
          <w:rFonts w:ascii="Calibri" w:hAnsi="Calibri"/>
          <w:b/>
          <w:color w:val="000000"/>
          <w:sz w:val="22"/>
        </w:rPr>
        <w:t>11.6  Conflict of Interest</w:t>
      </w:r>
    </w:p>
    <w:p>
      <w:r>
        <w:rPr>
          <w:b w:val="0"/>
          <w:i w:val="0"/>
        </w:rPr>
        <w:t xml:space="preserve">The Parties will maintain written standards of conduct and manage organizational and personal conflicts of interest consistent with 2 CFR 200.318(c) and 2 CFR 200.112 (Conflict of interest) and 2 CFR 200.318(c)(1)-(2) (organizational conflict of interest and written standards of conduct), recognizing the affiliation between RIVR Tech and LREMC. </w:t>
      </w:r>
      <w:r>
        <w:rPr>
          <w:b/>
          <w:i w:val="0"/>
          <w:color w:val="7F007F"/>
        </w:rPr>
        <w:t>[GRANT COMPLIANCE REVIEW REQUIRED]</w:t>
      </w:r>
    </w:p>
    <w:p>
      <w:pPr>
        <w:pStyle w:val="Heading1"/>
        <w:spacing w:before="240" w:after="120"/>
      </w:pPr>
      <w:r>
        <w:rPr>
          <w:rFonts w:ascii="Calibri" w:hAnsi="Calibri"/>
          <w:b/>
          <w:color w:val="1F3864"/>
          <w:sz w:val="26"/>
        </w:rPr>
        <w:t>ARTICLE 12.  CONTRACTOR VERSUS SUBRECIPIENT DETERMINATION</w:t>
      </w:r>
    </w:p>
    <w:p>
      <w:pPr>
        <w:pStyle w:val="Heading2"/>
        <w:spacing w:before="160" w:after="60"/>
      </w:pPr>
      <w:r>
        <w:rPr>
          <w:rFonts w:ascii="Calibri" w:hAnsi="Calibri"/>
          <w:b/>
          <w:color w:val="000000"/>
          <w:sz w:val="22"/>
        </w:rPr>
        <w:t>12.1  Preliminary Characterization</w:t>
      </w:r>
    </w:p>
    <w:p>
      <w:r>
        <w:rPr>
          <w:b w:val="0"/>
          <w:i w:val="0"/>
        </w:rPr>
        <w:t>For purposes of these preliminary drafts, the Parties anticipate that RIVR Tech is engaged as a contractor (procurement relationship) rather than a subrecipient, under 2 CFR 200.331 (Subrecipient and contractor determinations), because RIVR Tech provides goods and services within its normal business operations, in a competitive environment, for the benefit of the Lumbee Tribe's Award-funded program, and does not itself determine eligibility or administer the federal program.</w:t>
      </w:r>
    </w:p>
    <w:p>
      <w:pPr>
        <w:pStyle w:val="Heading2"/>
        <w:spacing w:before="160" w:after="60"/>
      </w:pPr>
      <w:r>
        <w:rPr>
          <w:rFonts w:ascii="Calibri" w:hAnsi="Calibri"/>
          <w:b/>
          <w:color w:val="000000"/>
          <w:sz w:val="22"/>
        </w:rPr>
        <w:t>12.2  Substance Over Form; Deferred Analysis</w:t>
      </w:r>
    </w:p>
    <w:p>
      <w:r>
        <w:rPr>
          <w:b w:val="0"/>
          <w:i w:val="0"/>
        </w:rPr>
        <w:t xml:space="preserve">The determination turns on the substance of the relationship, not its label, and must be confirmed by the Phase-1 diligence analysis and reflected in the Grant Finance, Reimbursement, Program Income, and Audit Agreement. Where a subrecipient relationship is determined, the pass-through requirements of 2 CFR 200.332 (Requirements for pass-through entities) apply. </w:t>
      </w:r>
      <w:r>
        <w:rPr>
          <w:b/>
          <w:i w:val="0"/>
          <w:color w:val="7F007F"/>
        </w:rPr>
        <w:t>[GRANT COMPLIANCE REVIEW REQUIRED]</w:t>
      </w:r>
      <w:r>
        <w:rPr>
          <w:b w:val="0"/>
          <w:i w:val="0"/>
        </w:rPr>
        <w:t xml:space="preserve"> </w:t>
      </w:r>
      <w:r>
        <w:rPr>
          <w:b/>
          <w:i w:val="0"/>
          <w:color w:val="0000C0"/>
        </w:rPr>
        <w:t>[ATTORNEY REVIEW REQUIRED]</w:t>
      </w:r>
    </w:p>
    <w:p>
      <w:pPr>
        <w:pStyle w:val="Heading1"/>
        <w:spacing w:before="240" w:after="120"/>
      </w:pPr>
      <w:r>
        <w:rPr>
          <w:rFonts w:ascii="Calibri" w:hAnsi="Calibri"/>
          <w:b/>
          <w:color w:val="1F3864"/>
          <w:sz w:val="26"/>
        </w:rPr>
        <w:t>ARTICLE 13.  CHANGE CONTROL</w:t>
      </w:r>
    </w:p>
    <w:p>
      <w:pPr>
        <w:pStyle w:val="Heading2"/>
        <w:spacing w:before="160" w:after="60"/>
      </w:pPr>
      <w:r>
        <w:rPr>
          <w:rFonts w:ascii="Calibri" w:hAnsi="Calibri"/>
          <w:b/>
          <w:color w:val="000000"/>
          <w:sz w:val="22"/>
        </w:rPr>
        <w:t>13.1  Change Control Process</w:t>
      </w:r>
    </w:p>
    <w:p>
      <w:r>
        <w:rPr>
          <w:b w:val="0"/>
          <w:i w:val="0"/>
        </w:rPr>
        <w:t>Changes to scope, routes, schedule, price, or the Definitive Agreements are made only through a written change process. Changes affecting the Award, the Approved Project Area, the Grant-Funded Assets, or the Federal Interest require the Lumbee Tribe's reserved-decision approval (Article 8) and, where required, NTIA/DOC prior approval. Construction change orders are processed under the Design, Engineering, Procurement, and Construction Agreement and the Operational Forms (Document 04).</w:t>
      </w:r>
    </w:p>
    <w:p>
      <w:pPr>
        <w:pStyle w:val="Heading2"/>
        <w:spacing w:before="160" w:after="60"/>
      </w:pPr>
      <w:r>
        <w:rPr>
          <w:rFonts w:ascii="Calibri" w:hAnsi="Calibri"/>
          <w:b/>
          <w:color w:val="000000"/>
          <w:sz w:val="22"/>
        </w:rPr>
        <w:t>13.2  No Unauthorized Changes</w:t>
      </w:r>
    </w:p>
    <w:p>
      <w:r>
        <w:rPr>
          <w:b w:val="0"/>
          <w:i w:val="0"/>
        </w:rPr>
        <w:t xml:space="preserve">No change is effective, and no cost arising from an unauthorized change is allowable or payable, unless approved under this Article. </w:t>
      </w:r>
      <w:r>
        <w:rPr>
          <w:b/>
          <w:i w:val="0"/>
          <w:color w:val="7F007F"/>
        </w:rPr>
        <w:t>[GRANT COMPLIANCE REVIEW REQUIRED]</w:t>
      </w:r>
    </w:p>
    <w:p>
      <w:pPr>
        <w:pStyle w:val="Heading1"/>
        <w:spacing w:before="240" w:after="120"/>
      </w:pPr>
      <w:r>
        <w:rPr>
          <w:rFonts w:ascii="Calibri" w:hAnsi="Calibri"/>
          <w:b/>
          <w:color w:val="1F3864"/>
          <w:sz w:val="26"/>
        </w:rPr>
        <w:t>ARTICLE 14.  CONFIDENTIALITY</w:t>
      </w:r>
    </w:p>
    <w:p>
      <w:pPr>
        <w:pStyle w:val="Heading2"/>
        <w:spacing w:before="160" w:after="60"/>
      </w:pPr>
      <w:r>
        <w:rPr>
          <w:rFonts w:ascii="Calibri" w:hAnsi="Calibri"/>
          <w:b/>
          <w:color w:val="000000"/>
          <w:sz w:val="22"/>
        </w:rPr>
        <w:t>14.1  Confidential Information</w:t>
      </w:r>
    </w:p>
    <w:p>
      <w:r>
        <w:rPr>
          <w:b w:val="0"/>
          <w:i w:val="0"/>
        </w:rPr>
        <w:t>Each Party will protect the other's confidential information and use it only for the purposes of the Definitive Agreements.</w:t>
      </w:r>
    </w:p>
    <w:p>
      <w:pPr>
        <w:pStyle w:val="Heading2"/>
        <w:spacing w:before="160" w:after="60"/>
      </w:pPr>
      <w:r>
        <w:rPr>
          <w:rFonts w:ascii="Calibri" w:hAnsi="Calibri"/>
          <w:b/>
          <w:color w:val="000000"/>
          <w:sz w:val="22"/>
        </w:rPr>
        <w:t>14.2  Subject to Audit and Public Law</w:t>
      </w:r>
    </w:p>
    <w:p>
      <w:r>
        <w:rPr>
          <w:b w:val="0"/>
          <w:i w:val="0"/>
        </w:rPr>
        <w:t xml:space="preserve">Confidentiality is subject to, and does not override, (a) federal audit and access rights (2 CFR 200.334–200.337 (Record retention and access; three-year retention)); (b) NTIA/DOC oversight and reporting; and (c) any public-records, Tribal-law, or freedom-of-information obligations applicable to the Lumbee Tribe. </w:t>
      </w:r>
      <w:r>
        <w:rPr>
          <w:b/>
          <w:i w:val="0"/>
          <w:color w:val="0000C0"/>
        </w:rPr>
        <w:t>[ATTORNEY REVIEW REQUIRED]</w:t>
      </w:r>
      <w:r>
        <w:rPr>
          <w:b w:val="0"/>
          <w:i w:val="0"/>
        </w:rPr>
        <w:t xml:space="preserve"> Subscriber information is additionally subject to 47 U.S.C. § 222 and 47 CFR §§ 64.2001–64.2011 (Customer Proprietary Network Information) and the Data Privacy, Cybersecurity, Supply-Chain Risk, and Business Continuity Addendum.</w:t>
      </w:r>
    </w:p>
    <w:p>
      <w:pPr>
        <w:pStyle w:val="Heading1"/>
        <w:spacing w:before="240" w:after="120"/>
      </w:pPr>
      <w:r>
        <w:rPr>
          <w:rFonts w:ascii="Calibri" w:hAnsi="Calibri"/>
          <w:b/>
          <w:color w:val="1F3864"/>
          <w:sz w:val="26"/>
        </w:rPr>
        <w:t>ARTICLE 15.  PUBLICITY AND BRANDING</w:t>
      </w:r>
    </w:p>
    <w:p>
      <w:pPr>
        <w:pStyle w:val="Heading2"/>
        <w:spacing w:before="160" w:after="60"/>
      </w:pPr>
      <w:r>
        <w:rPr>
          <w:rFonts w:ascii="Calibri" w:hAnsi="Calibri"/>
          <w:b/>
          <w:color w:val="000000"/>
          <w:sz w:val="22"/>
        </w:rPr>
        <w:t>15.1  Award Attribution</w:t>
      </w:r>
    </w:p>
    <w:p>
      <w:r>
        <w:rPr>
          <w:b w:val="0"/>
          <w:i w:val="0"/>
        </w:rPr>
        <w:t xml:space="preserve">Public communications will accurately attribute Award funding to the TBCP/NTIA as required by the Award, and will not imply that RIVR Tech owns the Grant-Funded Assets or the Award. </w:t>
      </w:r>
      <w:r>
        <w:rPr>
          <w:b w:val="0"/>
          <w:i w:val="0"/>
          <w:color w:val="804000"/>
          <w:highlight w:val="yellow"/>
        </w:rPr>
        <w:t>[■ required funding-attribution language from the Award]</w:t>
      </w:r>
      <w:r>
        <w:rPr>
          <w:b w:val="0"/>
          <w:i w:val="0"/>
        </w:rPr>
        <w:t xml:space="preserve"> </w:t>
      </w:r>
      <w:r>
        <w:rPr>
          <w:b/>
          <w:i w:val="0"/>
          <w:color w:val="7F007F"/>
        </w:rPr>
        <w:t>[GRANT COMPLIANCE REVIEW REQUIRED]</w:t>
      </w:r>
    </w:p>
    <w:p>
      <w:pPr>
        <w:pStyle w:val="Heading2"/>
        <w:spacing w:before="160" w:after="60"/>
      </w:pPr>
      <w:r>
        <w:rPr>
          <w:rFonts w:ascii="Calibri" w:hAnsi="Calibri"/>
          <w:b/>
          <w:color w:val="000000"/>
          <w:sz w:val="22"/>
        </w:rPr>
        <w:t>15.2  Use of Names and Marks</w:t>
      </w:r>
    </w:p>
    <w:p>
      <w:r>
        <w:rPr>
          <w:b w:val="0"/>
          <w:i w:val="0"/>
        </w:rPr>
        <w:t xml:space="preserve">Neither Party may use the other's, or the Lumbee Tribe's, names, marks, or the LREMC name without prior written consent, except as required by the Award or law. </w:t>
      </w:r>
      <w:r>
        <w:rPr>
          <w:b/>
          <w:i w:val="0"/>
          <w:color w:val="C00000"/>
        </w:rPr>
        <w:t>[BUSINESS DECISION REQUIRED]</w:t>
      </w:r>
    </w:p>
    <w:p>
      <w:pPr>
        <w:pStyle w:val="Heading1"/>
        <w:spacing w:before="240" w:after="120"/>
      </w:pPr>
      <w:r>
        <w:rPr>
          <w:rFonts w:ascii="Calibri" w:hAnsi="Calibri"/>
          <w:b/>
          <w:color w:val="1F3864"/>
          <w:sz w:val="26"/>
        </w:rPr>
        <w:t>ARTICLE 16.  INSURANCE</w:t>
      </w:r>
    </w:p>
    <w:p>
      <w:pPr>
        <w:pStyle w:val="Heading2"/>
        <w:spacing w:before="160" w:after="60"/>
      </w:pPr>
      <w:r>
        <w:rPr>
          <w:rFonts w:ascii="Calibri" w:hAnsi="Calibri"/>
          <w:b/>
          <w:color w:val="000000"/>
          <w:sz w:val="22"/>
        </w:rPr>
        <w:t>16.1  Required Coverage</w:t>
      </w:r>
    </w:p>
    <w:p>
      <w:r>
        <w:rPr>
          <w:b w:val="0"/>
          <w:i w:val="0"/>
        </w:rPr>
        <w:t>RIVR Tech will procure and maintain, and cause its subcontractors to maintain, insurance consistent with 2 CFR 200.310 (Insurance coverage), Schedule S12, and the Insurance Exhibit, in not less than the following limits (subject to confirmation against the Award and the Lumbee Tribe's requirements):</w:t>
      </w:r>
    </w:p>
    <w:tbl>
      <w:tblPr>
        <w:tblStyle w:val="TableGrid"/>
        <w:tblW w:type="auto" w:w="0"/>
        <w:jc w:val="center"/>
        <w:tblLook w:firstColumn="1" w:firstRow="1" w:lastColumn="0" w:lastRow="0" w:noHBand="0" w:noVBand="1" w:val="04A0"/>
      </w:tblPr>
      <w:tblGrid>
        <w:gridCol w:w="4680"/>
        <w:gridCol w:w="4680"/>
      </w:tblGrid>
      <w:tr>
        <w:tc>
          <w:tcPr>
            <w:tcW w:type="dxa" w:w="6192"/>
            <w:shd w:val="clear" w:color="auto" w:fill="1F3864"/>
            <w:vAlign w:val="center"/>
          </w:tcPr>
          <w:p>
            <w:pPr>
              <w:jc w:val="center"/>
            </w:pPr>
            <w:r>
              <w:rPr>
                <w:b/>
                <w:color w:val="FFFFFF"/>
                <w:sz w:val="18"/>
              </w:rPr>
              <w:t>Coverage</w:t>
            </w:r>
          </w:p>
        </w:tc>
        <w:tc>
          <w:tcPr>
            <w:tcW w:type="dxa" w:w="3168"/>
            <w:shd w:val="clear" w:color="auto" w:fill="1F3864"/>
            <w:vAlign w:val="center"/>
          </w:tcPr>
          <w:p>
            <w:pPr>
              <w:jc w:val="center"/>
            </w:pPr>
            <w:r>
              <w:rPr>
                <w:b/>
                <w:color w:val="FFFFFF"/>
                <w:sz w:val="18"/>
              </w:rPr>
              <w:t>Minimum Limit</w:t>
            </w:r>
          </w:p>
        </w:tc>
      </w:tr>
      <w:tr>
        <w:tc>
          <w:tcPr>
            <w:tcW w:type="dxa" w:w="6192"/>
            <w:vAlign w:val="center"/>
          </w:tcPr>
          <w:p>
            <w:r>
              <w:rPr>
                <w:b w:val="0"/>
                <w:i w:val="0"/>
                <w:sz w:val="18"/>
              </w:rPr>
              <w:t>Commercial General Liability (per occurrence)</w:t>
            </w:r>
          </w:p>
        </w:tc>
        <w:tc>
          <w:tcPr>
            <w:tcW w:type="dxa" w:w="3168"/>
            <w:vAlign w:val="center"/>
          </w:tcPr>
          <w:p>
            <w:pPr>
              <w:jc w:val="center"/>
            </w:pPr>
            <w:r>
              <w:rPr>
                <w:b w:val="0"/>
                <w:i w:val="0"/>
                <w:sz w:val="18"/>
              </w:rPr>
              <w:t>$2,000,000</w:t>
            </w:r>
          </w:p>
        </w:tc>
      </w:tr>
      <w:tr>
        <w:tc>
          <w:tcPr>
            <w:tcW w:type="dxa" w:w="6192"/>
            <w:shd w:val="clear" w:color="auto" w:fill="F2F2F2"/>
            <w:vAlign w:val="center"/>
          </w:tcPr>
          <w:p>
            <w:r>
              <w:rPr>
                <w:b w:val="0"/>
                <w:i w:val="0"/>
                <w:sz w:val="18"/>
              </w:rPr>
              <w:t>Commercial General Liability (aggregate)</w:t>
            </w:r>
          </w:p>
        </w:tc>
        <w:tc>
          <w:tcPr>
            <w:tcW w:type="dxa" w:w="3168"/>
            <w:shd w:val="clear" w:color="auto" w:fill="F2F2F2"/>
            <w:vAlign w:val="center"/>
          </w:tcPr>
          <w:p>
            <w:pPr>
              <w:jc w:val="center"/>
            </w:pPr>
            <w:r>
              <w:rPr>
                <w:b w:val="0"/>
                <w:i w:val="0"/>
                <w:sz w:val="18"/>
              </w:rPr>
              <w:t>$4,000,000</w:t>
            </w:r>
          </w:p>
        </w:tc>
      </w:tr>
      <w:tr>
        <w:tc>
          <w:tcPr>
            <w:tcW w:type="dxa" w:w="6192"/>
            <w:vAlign w:val="center"/>
          </w:tcPr>
          <w:p>
            <w:r>
              <w:rPr>
                <w:b w:val="0"/>
                <w:i w:val="0"/>
                <w:sz w:val="18"/>
              </w:rPr>
              <w:t>Automobile Liability</w:t>
            </w:r>
          </w:p>
        </w:tc>
        <w:tc>
          <w:tcPr>
            <w:tcW w:type="dxa" w:w="3168"/>
            <w:vAlign w:val="center"/>
          </w:tcPr>
          <w:p>
            <w:pPr>
              <w:jc w:val="center"/>
            </w:pPr>
            <w:r>
              <w:rPr>
                <w:b w:val="0"/>
                <w:i w:val="0"/>
                <w:sz w:val="18"/>
              </w:rPr>
              <w:t>$1,000,000</w:t>
            </w:r>
          </w:p>
        </w:tc>
      </w:tr>
      <w:tr>
        <w:tc>
          <w:tcPr>
            <w:tcW w:type="dxa" w:w="6192"/>
            <w:shd w:val="clear" w:color="auto" w:fill="F2F2F2"/>
            <w:vAlign w:val="center"/>
          </w:tcPr>
          <w:p>
            <w:r>
              <w:rPr>
                <w:b w:val="0"/>
                <w:i w:val="0"/>
                <w:sz w:val="18"/>
              </w:rPr>
              <w:t>Umbrella / Excess Liability</w:t>
            </w:r>
          </w:p>
        </w:tc>
        <w:tc>
          <w:tcPr>
            <w:tcW w:type="dxa" w:w="3168"/>
            <w:shd w:val="clear" w:color="auto" w:fill="F2F2F2"/>
            <w:vAlign w:val="center"/>
          </w:tcPr>
          <w:p>
            <w:pPr>
              <w:jc w:val="center"/>
            </w:pPr>
            <w:r>
              <w:rPr>
                <w:b w:val="0"/>
                <w:i w:val="0"/>
                <w:sz w:val="18"/>
              </w:rPr>
              <w:t>$10,000,000</w:t>
            </w:r>
          </w:p>
        </w:tc>
      </w:tr>
      <w:tr>
        <w:tc>
          <w:tcPr>
            <w:tcW w:type="dxa" w:w="6192"/>
            <w:vAlign w:val="center"/>
          </w:tcPr>
          <w:p>
            <w:r>
              <w:rPr>
                <w:b w:val="0"/>
                <w:i w:val="0"/>
                <w:sz w:val="18"/>
              </w:rPr>
              <w:t>Workers' Compensation</w:t>
            </w:r>
          </w:p>
        </w:tc>
        <w:tc>
          <w:tcPr>
            <w:tcW w:type="dxa" w:w="3168"/>
            <w:vAlign w:val="center"/>
          </w:tcPr>
          <w:p>
            <w:pPr>
              <w:jc w:val="center"/>
            </w:pPr>
            <w:r>
              <w:rPr>
                <w:b w:val="0"/>
                <w:i w:val="0"/>
                <w:sz w:val="18"/>
              </w:rPr>
              <w:t>statutory limits</w:t>
            </w:r>
          </w:p>
        </w:tc>
      </w:tr>
      <w:tr>
        <w:tc>
          <w:tcPr>
            <w:tcW w:type="dxa" w:w="6192"/>
            <w:shd w:val="clear" w:color="auto" w:fill="F2F2F2"/>
            <w:vAlign w:val="center"/>
          </w:tcPr>
          <w:p>
            <w:r>
              <w:rPr>
                <w:b w:val="0"/>
                <w:i w:val="0"/>
                <w:sz w:val="18"/>
              </w:rPr>
              <w:t>Employer's Liability</w:t>
            </w:r>
          </w:p>
        </w:tc>
        <w:tc>
          <w:tcPr>
            <w:tcW w:type="dxa" w:w="3168"/>
            <w:shd w:val="clear" w:color="auto" w:fill="F2F2F2"/>
            <w:vAlign w:val="center"/>
          </w:tcPr>
          <w:p>
            <w:pPr>
              <w:jc w:val="center"/>
            </w:pPr>
            <w:r>
              <w:rPr>
                <w:b w:val="0"/>
                <w:i w:val="0"/>
                <w:sz w:val="18"/>
              </w:rPr>
              <w:t>$1,000,000</w:t>
            </w:r>
          </w:p>
        </w:tc>
      </w:tr>
      <w:tr>
        <w:tc>
          <w:tcPr>
            <w:tcW w:type="dxa" w:w="6192"/>
            <w:vAlign w:val="center"/>
          </w:tcPr>
          <w:p>
            <w:r>
              <w:rPr>
                <w:b w:val="0"/>
                <w:i w:val="0"/>
                <w:sz w:val="18"/>
              </w:rPr>
              <w:t>Professional / Technology E&amp;O</w:t>
            </w:r>
          </w:p>
        </w:tc>
        <w:tc>
          <w:tcPr>
            <w:tcW w:type="dxa" w:w="3168"/>
            <w:vAlign w:val="center"/>
          </w:tcPr>
          <w:p>
            <w:pPr>
              <w:jc w:val="center"/>
            </w:pPr>
            <w:r>
              <w:rPr>
                <w:b w:val="0"/>
                <w:i w:val="0"/>
                <w:sz w:val="18"/>
              </w:rPr>
              <w:t>$5,000,000</w:t>
            </w:r>
          </w:p>
        </w:tc>
      </w:tr>
      <w:tr>
        <w:tc>
          <w:tcPr>
            <w:tcW w:type="dxa" w:w="6192"/>
            <w:shd w:val="clear" w:color="auto" w:fill="F2F2F2"/>
            <w:vAlign w:val="center"/>
          </w:tcPr>
          <w:p>
            <w:r>
              <w:rPr>
                <w:b w:val="0"/>
                <w:i w:val="0"/>
                <w:sz w:val="18"/>
              </w:rPr>
              <w:t>Cyber Liability</w:t>
            </w:r>
          </w:p>
        </w:tc>
        <w:tc>
          <w:tcPr>
            <w:tcW w:type="dxa" w:w="3168"/>
            <w:shd w:val="clear" w:color="auto" w:fill="F2F2F2"/>
            <w:vAlign w:val="center"/>
          </w:tcPr>
          <w:p>
            <w:pPr>
              <w:jc w:val="center"/>
            </w:pPr>
            <w:r>
              <w:rPr>
                <w:b w:val="0"/>
                <w:i w:val="0"/>
                <w:sz w:val="18"/>
              </w:rPr>
              <w:t>$5,000,000</w:t>
            </w:r>
          </w:p>
        </w:tc>
      </w:tr>
      <w:tr>
        <w:tc>
          <w:tcPr>
            <w:tcW w:type="dxa" w:w="6192"/>
            <w:vAlign w:val="center"/>
          </w:tcPr>
          <w:p>
            <w:r>
              <w:rPr>
                <w:b w:val="0"/>
                <w:i w:val="0"/>
                <w:sz w:val="18"/>
              </w:rPr>
              <w:t>Property / Builder's Risk</w:t>
            </w:r>
          </w:p>
        </w:tc>
        <w:tc>
          <w:tcPr>
            <w:tcW w:type="dxa" w:w="3168"/>
            <w:vAlign w:val="center"/>
          </w:tcPr>
          <w:p>
            <w:pPr>
              <w:jc w:val="center"/>
            </w:pPr>
            <w:r>
              <w:rPr>
                <w:b w:val="0"/>
                <w:i w:val="0"/>
                <w:sz w:val="18"/>
              </w:rPr>
              <w:t>full replacement cost of the Tribal Assets</w:t>
            </w:r>
          </w:p>
        </w:tc>
      </w:tr>
      <w:tr>
        <w:tc>
          <w:tcPr>
            <w:tcW w:type="dxa" w:w="6192"/>
            <w:shd w:val="clear" w:color="auto" w:fill="F2F2F2"/>
            <w:vAlign w:val="center"/>
          </w:tcPr>
          <w:p>
            <w:r>
              <w:rPr>
                <w:b w:val="0"/>
                <w:i w:val="0"/>
                <w:sz w:val="18"/>
              </w:rPr>
              <w:t>Contractor's Pollution Liability</w:t>
            </w:r>
          </w:p>
        </w:tc>
        <w:tc>
          <w:tcPr>
            <w:tcW w:type="dxa" w:w="3168"/>
            <w:shd w:val="clear" w:color="auto" w:fill="F2F2F2"/>
            <w:vAlign w:val="center"/>
          </w:tcPr>
          <w:p>
            <w:pPr>
              <w:jc w:val="center"/>
            </w:pPr>
            <w:r>
              <w:rPr>
                <w:b w:val="0"/>
                <w:i w:val="0"/>
                <w:sz w:val="18"/>
              </w:rPr>
              <w:t>$1,000,000</w:t>
            </w:r>
          </w:p>
        </w:tc>
      </w:tr>
    </w:tbl>
    <w:p>
      <w:pPr>
        <w:pStyle w:val="Heading2"/>
        <w:spacing w:before="160" w:after="60"/>
      </w:pPr>
      <w:r>
        <w:rPr>
          <w:rFonts w:ascii="Calibri" w:hAnsi="Calibri"/>
          <w:b/>
          <w:color w:val="000000"/>
          <w:sz w:val="22"/>
        </w:rPr>
        <w:t>16.2  Additional Insured; Waiver; Certificates</w:t>
      </w:r>
    </w:p>
    <w:p>
      <w:r>
        <w:rPr>
          <w:b w:val="0"/>
          <w:i w:val="0"/>
        </w:rPr>
        <w:t xml:space="preserve">The Lumbee Tribe (and, where required, NTIA/DOC and LREMC) will be named as additional insured as their interests appear; certificates and endorsements will be provided before any Notice to Proceed. </w:t>
      </w:r>
      <w:r>
        <w:rPr>
          <w:b/>
          <w:i w:val="0"/>
          <w:color w:val="0000C0"/>
        </w:rPr>
        <w:t>[ATTORNEY REVIEW REQUIRED]</w:t>
      </w:r>
    </w:p>
    <w:p>
      <w:pPr>
        <w:pStyle w:val="Heading1"/>
        <w:spacing w:before="240" w:after="120"/>
      </w:pPr>
      <w:r>
        <w:rPr>
          <w:rFonts w:ascii="Calibri" w:hAnsi="Calibri"/>
          <w:b/>
          <w:color w:val="1F3864"/>
          <w:sz w:val="26"/>
        </w:rPr>
        <w:t>ARTICLE 17.  INDEMNIFICATION</w:t>
      </w:r>
    </w:p>
    <w:p>
      <w:pPr>
        <w:pStyle w:val="Heading2"/>
        <w:spacing w:before="160" w:after="60"/>
      </w:pPr>
      <w:r>
        <w:rPr>
          <w:rFonts w:ascii="Calibri" w:hAnsi="Calibri"/>
          <w:b/>
          <w:color w:val="000000"/>
          <w:sz w:val="22"/>
        </w:rPr>
        <w:t>17.1  RIVR Tech Indemnity</w:t>
      </w:r>
    </w:p>
    <w:p>
      <w:r>
        <w:rPr>
          <w:b w:val="0"/>
          <w:i w:val="0"/>
        </w:rPr>
        <w:t xml:space="preserve">RIVR Tech will indemnify, defend, and hold harmless the Lumbee Tribe (and its officials, officers, employees, and agents) from third-party claims, losses, and liabilities to the extent arising from RIVR Tech's breach, negligence, willful misconduct, or noncompliance with the Award or applicable law, including any Disallowed Cost caused thereby. </w:t>
      </w:r>
      <w:r>
        <w:rPr>
          <w:b/>
          <w:i w:val="0"/>
          <w:color w:val="0000C0"/>
        </w:rPr>
        <w:t>[ATTORNEY REVIEW REQUIRED]</w:t>
      </w:r>
    </w:p>
    <w:p>
      <w:pPr>
        <w:pStyle w:val="Heading2"/>
        <w:spacing w:before="160" w:after="60"/>
      </w:pPr>
      <w:r>
        <w:rPr>
          <w:rFonts w:ascii="Calibri" w:hAnsi="Calibri"/>
          <w:b/>
          <w:color w:val="000000"/>
          <w:sz w:val="22"/>
        </w:rPr>
        <w:t>17.2  Allocation and Sovereignty</w:t>
      </w:r>
    </w:p>
    <w:p>
      <w:r>
        <w:rPr>
          <w:b w:val="0"/>
          <w:i w:val="0"/>
        </w:rPr>
        <w:t xml:space="preserve">Indemnity is allocated according to fault and control and does not, by itself, waive or diminish the Lumbee Tribe's sovereign immunity, which is addressed only under Article 24. </w:t>
      </w:r>
      <w:r>
        <w:rPr>
          <w:b w:val="0"/>
          <w:i w:val="0"/>
          <w:color w:val="804000"/>
          <w:highlight w:val="yellow"/>
        </w:rPr>
        <w:t>[■ reciprocal or limited Tribal indemnity, if any]</w:t>
      </w:r>
      <w:r>
        <w:rPr>
          <w:b w:val="0"/>
          <w:i w:val="0"/>
        </w:rPr>
        <w:t xml:space="preserve"> </w:t>
      </w:r>
      <w:r>
        <w:rPr>
          <w:b/>
          <w:i w:val="0"/>
          <w:color w:val="0000C0"/>
        </w:rPr>
        <w:t>[ATTORNEY REVIEW REQUIRED]</w:t>
      </w:r>
    </w:p>
    <w:p>
      <w:pPr>
        <w:pStyle w:val="Heading1"/>
        <w:spacing w:before="240" w:after="120"/>
      </w:pPr>
      <w:r>
        <w:rPr>
          <w:rFonts w:ascii="Calibri" w:hAnsi="Calibri"/>
          <w:b/>
          <w:color w:val="1F3864"/>
          <w:sz w:val="26"/>
        </w:rPr>
        <w:t>ARTICLE 18.  LIMITATION OF LIABILITY</w:t>
      </w:r>
    </w:p>
    <w:p>
      <w:pPr>
        <w:pStyle w:val="Heading2"/>
        <w:spacing w:before="160" w:after="60"/>
      </w:pPr>
      <w:r>
        <w:rPr>
          <w:rFonts w:ascii="Calibri" w:hAnsi="Calibri"/>
          <w:b/>
          <w:color w:val="000000"/>
          <w:sz w:val="22"/>
        </w:rPr>
        <w:t>18.1  Liability Tied to Control and Breach</w:t>
      </w:r>
    </w:p>
    <w:p>
      <w:r>
        <w:rPr>
          <w:b w:val="0"/>
          <w:i w:val="0"/>
        </w:rPr>
        <w:t xml:space="preserve">Except for indemnity obligations, liability for Disallowed Costs, breaches of confidentiality, and a Party's gross negligence or willful misconduct, each Party's liability is limited as set forth in Schedule S12, and is tied to the Party's control over, breach of, or noncompliance with the relevant obligation. </w:t>
      </w:r>
      <w:r>
        <w:rPr>
          <w:b w:val="0"/>
          <w:i w:val="0"/>
          <w:color w:val="804000"/>
          <w:highlight w:val="yellow"/>
        </w:rPr>
        <w:t>[■ liability cap methodology and amount]</w:t>
      </w:r>
      <w:r>
        <w:rPr>
          <w:b w:val="0"/>
          <w:i w:val="0"/>
        </w:rPr>
        <w:t xml:space="preserve"> </w:t>
      </w:r>
      <w:r>
        <w:rPr>
          <w:b/>
          <w:i w:val="0"/>
          <w:color w:val="C00000"/>
        </w:rPr>
        <w:t>[BUSINESS DECISION REQUIRED]</w:t>
      </w:r>
      <w:r>
        <w:rPr>
          <w:b w:val="0"/>
          <w:i w:val="0"/>
        </w:rPr>
        <w:t xml:space="preserve"> </w:t>
      </w:r>
      <w:r>
        <w:rPr>
          <w:b/>
          <w:i w:val="0"/>
          <w:color w:val="0000C0"/>
        </w:rPr>
        <w:t>[ATTORNEY REVIEW REQUIRED]</w:t>
      </w:r>
    </w:p>
    <w:p>
      <w:pPr>
        <w:pStyle w:val="Heading2"/>
        <w:spacing w:before="160" w:after="60"/>
      </w:pPr>
      <w:r>
        <w:rPr>
          <w:rFonts w:ascii="Calibri" w:hAnsi="Calibri"/>
          <w:b/>
          <w:color w:val="000000"/>
          <w:sz w:val="22"/>
        </w:rPr>
        <w:t>18.2  Consequential Damages</w:t>
      </w:r>
    </w:p>
    <w:p>
      <w:r>
        <w:rPr>
          <w:b w:val="0"/>
          <w:i w:val="0"/>
        </w:rPr>
        <w:t>Neither Party is liable for indirect, incidental, or consequential damages except as expressly provided, subject to counsel's review against the Award and applicable law.</w:t>
      </w:r>
    </w:p>
    <w:p>
      <w:pPr>
        <w:pStyle w:val="Heading1"/>
        <w:spacing w:before="240" w:after="120"/>
      </w:pPr>
      <w:r>
        <w:rPr>
          <w:rFonts w:ascii="Calibri" w:hAnsi="Calibri"/>
          <w:b/>
          <w:color w:val="1F3864"/>
          <w:sz w:val="26"/>
        </w:rPr>
        <w:t>ARTICLE 19.  FORCE MAJEURE</w:t>
      </w:r>
    </w:p>
    <w:p>
      <w:pPr>
        <w:pStyle w:val="Heading2"/>
        <w:spacing w:before="160" w:after="60"/>
      </w:pPr>
      <w:r>
        <w:rPr>
          <w:rFonts w:ascii="Calibri" w:hAnsi="Calibri"/>
          <w:b/>
          <w:color w:val="000000"/>
          <w:sz w:val="22"/>
        </w:rPr>
        <w:t>19.1  Excused Delay</w:t>
      </w:r>
    </w:p>
    <w:p>
      <w:r>
        <w:rPr>
          <w:b w:val="0"/>
          <w:i w:val="0"/>
        </w:rPr>
        <w:t>Neither Party is liable for failure or delay in performance (other than payment obligations already due) caused by events beyond its reasonable control, provided it gives prompt notice, uses commercially reasonable efforts to mitigate, and resumes performance as soon as practicable.</w:t>
      </w:r>
    </w:p>
    <w:p>
      <w:pPr>
        <w:pStyle w:val="Heading2"/>
        <w:spacing w:before="160" w:after="60"/>
      </w:pPr>
      <w:r>
        <w:rPr>
          <w:rFonts w:ascii="Calibri" w:hAnsi="Calibri"/>
          <w:b/>
          <w:color w:val="000000"/>
          <w:sz w:val="22"/>
        </w:rPr>
        <w:t>19.2  Award Compliance Not Excused</w:t>
      </w:r>
    </w:p>
    <w:p>
      <w:r>
        <w:rPr>
          <w:b w:val="0"/>
          <w:i w:val="0"/>
        </w:rPr>
        <w:t xml:space="preserve">Force majeure does not excuse noncompliance with the Award or applicable federal law; where a force-majeure event affects Award performance, the Lumbee Tribe will pursue any relief available from NTIA/DOC. </w:t>
      </w:r>
      <w:r>
        <w:rPr>
          <w:b/>
          <w:i w:val="0"/>
          <w:color w:val="7F007F"/>
        </w:rPr>
        <w:t>[GRANT COMPLIANCE REVIEW REQUIRED]</w:t>
      </w:r>
    </w:p>
    <w:p>
      <w:pPr>
        <w:pStyle w:val="Heading1"/>
        <w:spacing w:before="240" w:after="120"/>
      </w:pPr>
      <w:r>
        <w:rPr>
          <w:rFonts w:ascii="Calibri" w:hAnsi="Calibri"/>
          <w:b/>
          <w:color w:val="1F3864"/>
          <w:sz w:val="26"/>
        </w:rPr>
        <w:t>ARTICLE 20.  DEFAULT AND CURE</w:t>
      </w:r>
    </w:p>
    <w:p>
      <w:pPr>
        <w:pStyle w:val="Heading2"/>
        <w:spacing w:before="160" w:after="60"/>
      </w:pPr>
      <w:r>
        <w:rPr>
          <w:rFonts w:ascii="Calibri" w:hAnsi="Calibri"/>
          <w:b/>
          <w:color w:val="000000"/>
          <w:sz w:val="22"/>
        </w:rPr>
        <w:t>20.1  Events of Default</w:t>
      </w:r>
    </w:p>
    <w:p>
      <w:r>
        <w:rPr>
          <w:b w:val="0"/>
          <w:i w:val="0"/>
        </w:rPr>
        <w:t>An event of default occurs upon a material breach not cured within the applicable cure period, insolvency, or a persistent failure to comply with the Award after notice.</w:t>
      </w:r>
    </w:p>
    <w:p>
      <w:pPr>
        <w:pStyle w:val="Heading2"/>
        <w:spacing w:before="160" w:after="60"/>
      </w:pPr>
      <w:r>
        <w:rPr>
          <w:rFonts w:ascii="Calibri" w:hAnsi="Calibri"/>
          <w:b/>
          <w:color w:val="000000"/>
          <w:sz w:val="22"/>
        </w:rPr>
        <w:t>20.2  Cure Periods</w:t>
      </w:r>
    </w:p>
    <w:p>
      <w:r>
        <w:rPr>
          <w:b w:val="0"/>
          <w:i w:val="0"/>
        </w:rPr>
        <w:t>A defaulting Party has 30 days to cure a monetary default and 60 days to cure a non-monetary default after written notice, with an additional sixty (60) days if the breach is not reasonably curable within the initial period and the defaulting Party is diligently pursuing cure. Notice of default is given not less than 30 days before exercising remedies, except where immediate action is required to protect Essential Services, public safety, or Award compliance.</w:t>
      </w:r>
    </w:p>
    <w:p>
      <w:pPr>
        <w:pStyle w:val="Heading2"/>
        <w:spacing w:before="160" w:after="60"/>
      </w:pPr>
      <w:r>
        <w:rPr>
          <w:rFonts w:ascii="Calibri" w:hAnsi="Calibri"/>
          <w:b/>
          <w:color w:val="000000"/>
          <w:sz w:val="22"/>
        </w:rPr>
        <w:t>20.3  Remedies and Noncompliance</w:t>
      </w:r>
    </w:p>
    <w:p>
      <w:r>
        <w:rPr>
          <w:b w:val="0"/>
          <w:i w:val="0"/>
        </w:rPr>
        <w:t xml:space="preserve">Remedies are cumulative and are exercised consistent with 2 CFR 200.339–200.343 (Remedies for noncompliance; termination). A Disallowed Cost or noncompliance caused by a Party is that Party's responsibility, subject to notice and cure. </w:t>
      </w:r>
      <w:r>
        <w:rPr>
          <w:b/>
          <w:i w:val="0"/>
          <w:color w:val="7F007F"/>
        </w:rPr>
        <w:t>[GRANT COMPLIANCE REVIEW REQUIRED]</w:t>
      </w:r>
    </w:p>
    <w:p>
      <w:pPr>
        <w:pStyle w:val="Heading1"/>
        <w:spacing w:before="240" w:after="120"/>
      </w:pPr>
      <w:r>
        <w:rPr>
          <w:rFonts w:ascii="Calibri" w:hAnsi="Calibri"/>
          <w:b/>
          <w:color w:val="1F3864"/>
          <w:sz w:val="26"/>
        </w:rPr>
        <w:t>ARTICLE 21.  SUSPENSION</w:t>
      </w:r>
    </w:p>
    <w:p>
      <w:pPr>
        <w:pStyle w:val="Heading2"/>
        <w:spacing w:before="160" w:after="60"/>
      </w:pPr>
      <w:r>
        <w:rPr>
          <w:rFonts w:ascii="Calibri" w:hAnsi="Calibri"/>
          <w:b/>
          <w:color w:val="000000"/>
          <w:sz w:val="22"/>
        </w:rPr>
        <w:t>21.1  Suspension of Work</w:t>
      </w:r>
    </w:p>
    <w:p>
      <w:r>
        <w:rPr>
          <w:b w:val="0"/>
          <w:i w:val="0"/>
        </w:rPr>
        <w:t>The Lumbee Tribe may suspend affected work upon notice where continued performance would violate the Award or applicable law, threaten the Federal Interest, or where NTIA/DOC directs suspension. Suspension is limited to the affected scope and duration and does not, by itself, terminate the Definitive Agreements.</w:t>
      </w:r>
    </w:p>
    <w:p>
      <w:pPr>
        <w:pStyle w:val="Heading1"/>
        <w:spacing w:before="240" w:after="120"/>
      </w:pPr>
      <w:r>
        <w:rPr>
          <w:rFonts w:ascii="Calibri" w:hAnsi="Calibri"/>
          <w:b/>
          <w:color w:val="1F3864"/>
          <w:sz w:val="26"/>
        </w:rPr>
        <w:t>ARTICLE 22.  STEP-IN RIGHTS</w:t>
      </w:r>
    </w:p>
    <w:p>
      <w:pPr>
        <w:pStyle w:val="Heading2"/>
        <w:spacing w:before="160" w:after="60"/>
      </w:pPr>
      <w:r>
        <w:rPr>
          <w:rFonts w:ascii="Calibri" w:hAnsi="Calibri"/>
          <w:b/>
          <w:color w:val="000000"/>
          <w:sz w:val="22"/>
        </w:rPr>
        <w:t>22.1  Step-In to Preserve Continuity</w:t>
      </w:r>
    </w:p>
    <w:p>
      <w:r>
        <w:rPr>
          <w:b w:val="0"/>
          <w:i w:val="0"/>
        </w:rPr>
        <w:t xml:space="preserve">Where necessary to preserve Essential Services, protect public safety, or maintain Award compliance, the Lumbee Tribe (or its designee) may step in (immediate, upon notice, where continuity of Essential Services, public safety, or compliance with the Award is imminently threatened), as detailed in the Continuity, Step-In, Termination Assistance, and Transition Agreement and Schedule S13. Step-in is temporary, proportionate, and without prejudice to other remedies. </w:t>
      </w:r>
      <w:r>
        <w:rPr>
          <w:b/>
          <w:i w:val="0"/>
          <w:color w:val="0000C0"/>
        </w:rPr>
        <w:t>[ATTORNEY REVIEW REQUIRED]</w:t>
      </w:r>
    </w:p>
    <w:p>
      <w:pPr>
        <w:pStyle w:val="Heading1"/>
        <w:spacing w:before="240" w:after="120"/>
      </w:pPr>
      <w:r>
        <w:rPr>
          <w:rFonts w:ascii="Calibri" w:hAnsi="Calibri"/>
          <w:b/>
          <w:color w:val="1F3864"/>
          <w:sz w:val="26"/>
        </w:rPr>
        <w:t>ARTICLE 23.  TERM AND RENEWAL</w:t>
      </w:r>
    </w:p>
    <w:p>
      <w:pPr>
        <w:pStyle w:val="Heading2"/>
        <w:spacing w:before="160" w:after="60"/>
      </w:pPr>
      <w:r>
        <w:rPr>
          <w:rFonts w:ascii="Calibri" w:hAnsi="Calibri"/>
          <w:b/>
          <w:color w:val="000000"/>
          <w:sz w:val="22"/>
        </w:rPr>
        <w:t>23.1  Term</w:t>
      </w:r>
    </w:p>
    <w:p>
      <w:r>
        <w:rPr>
          <w:b w:val="0"/>
          <w:i w:val="0"/>
        </w:rPr>
        <w:t>The term for each Tribal Network segment is 20 years commencing on acceptance of each Network segment, subject to two (2) optional renewal terms of five (5) years each, and in no event extending beyond the useful life of the Grant-Funded Assets, the duration of the underlying land/access rights, the Federal Interest period, and the controlling Award.</w:t>
      </w:r>
    </w:p>
    <w:p>
      <w:pPr>
        <w:pStyle w:val="Heading2"/>
        <w:spacing w:before="160" w:after="60"/>
      </w:pPr>
      <w:r>
        <w:rPr>
          <w:rFonts w:ascii="Calibri" w:hAnsi="Calibri"/>
          <w:b/>
          <w:color w:val="000000"/>
          <w:sz w:val="22"/>
        </w:rPr>
        <w:t>23.2  Renewal Conditions</w:t>
      </w:r>
    </w:p>
    <w:p>
      <w:r>
        <w:rPr>
          <w:b w:val="0"/>
          <w:i w:val="0"/>
        </w:rPr>
        <w:t xml:space="preserve">Each renewal is subject to continued compliance with the Award and applicable law, the Lumbee Tribe's reserved decisions, and the availability of the underlying land/access rights and useful life. </w:t>
      </w:r>
      <w:r>
        <w:rPr>
          <w:b/>
          <w:i w:val="0"/>
          <w:color w:val="C00000"/>
        </w:rPr>
        <w:t>[BUSINESS DECISION REQUIRED]</w:t>
      </w:r>
    </w:p>
    <w:p>
      <w:pPr>
        <w:pStyle w:val="Heading1"/>
        <w:spacing w:before="240" w:after="120"/>
      </w:pPr>
      <w:r>
        <w:rPr>
          <w:rFonts w:ascii="Calibri" w:hAnsi="Calibri"/>
          <w:b/>
          <w:color w:val="1F3864"/>
          <w:sz w:val="26"/>
        </w:rPr>
        <w:t>ARTICLE 24.  DISPUTE RESOLUTION, TRIBAL SOVEREIGNTY, AND LIMITED WAIVER OF SOVEREIGN IMMUNITY</w:t>
      </w:r>
    </w:p>
    <w:p>
      <w:pPr>
        <w:pStyle w:val="Heading2"/>
        <w:spacing w:before="160" w:after="60"/>
      </w:pPr>
      <w:r>
        <w:rPr>
          <w:rFonts w:ascii="Calibri" w:hAnsi="Calibri"/>
          <w:b/>
          <w:color w:val="000000"/>
          <w:sz w:val="22"/>
        </w:rPr>
        <w:t>24.1  Escalation and Negotiation</w:t>
      </w:r>
    </w:p>
    <w:p>
      <w:r>
        <w:rPr>
          <w:b w:val="0"/>
          <w:i w:val="0"/>
        </w:rPr>
        <w:t>The Parties will first attempt to resolve disputes through the escalation process in Article 7 before invoking any binding process.</w:t>
      </w:r>
    </w:p>
    <w:p>
      <w:pPr>
        <w:pStyle w:val="Heading2"/>
        <w:spacing w:before="160" w:after="60"/>
      </w:pPr>
      <w:r>
        <w:rPr>
          <w:rFonts w:ascii="Calibri" w:hAnsi="Calibri"/>
          <w:b/>
          <w:color w:val="000000"/>
          <w:sz w:val="22"/>
        </w:rPr>
        <w:t>24.2  Tribal Sovereign Immunity — Alternatives Only</w:t>
      </w:r>
    </w:p>
    <w:p>
      <w:r>
        <w:rPr>
          <w:b w:val="0"/>
          <w:i w:val="0"/>
        </w:rPr>
        <w:t>The Lumbee Tribe possesses sovereign immunity, which is not waived except by an express, written, and specifically authorized waiver. The following are bracketed ALTERNATIVES for counsel; none is selected:</w:t>
      </w:r>
    </w:p>
    <w:p>
      <w:pPr>
        <w:ind w:left="504"/>
      </w:pPr>
      <w:r>
        <w:rPr>
          <w:b/>
        </w:rPr>
        <w:t xml:space="preserve">(Alt. 1)  </w:t>
      </w:r>
      <w:r>
        <w:rPr>
          <w:b w:val="0"/>
          <w:i w:val="0"/>
        </w:rPr>
        <w:t>[No waiver of sovereign immunity; disputes resolved by non-binding processes and by the Parties' respective self-help and termination remedies only.]</w:t>
      </w:r>
    </w:p>
    <w:p>
      <w:pPr>
        <w:ind w:left="504"/>
      </w:pPr>
      <w:r>
        <w:rPr>
          <w:b/>
        </w:rPr>
        <w:t xml:space="preserve">(Alt. 2)  </w:t>
      </w:r>
      <w:r>
        <w:rPr>
          <w:b w:val="0"/>
          <w:i w:val="0"/>
        </w:rPr>
        <w:t xml:space="preserve">[Limited, express waiver of sovereign immunity solely for the purpose of binding arbitration of contract disputes, limited to available insurance and specified assets, expressly excluding the Grant-Funded Assets and any trust, restricted, or Federal-Interest assets, and requiring authorization by </w:t>
      </w:r>
      <w:r>
        <w:rPr>
          <w:b w:val="0"/>
          <w:i w:val="0"/>
          <w:color w:val="804000"/>
          <w:highlight w:val="yellow"/>
        </w:rPr>
        <w:t>[■ the Tribal governing body by resolution]</w:t>
      </w:r>
      <w:r>
        <w:rPr>
          <w:b w:val="0"/>
          <w:i w:val="0"/>
        </w:rPr>
        <w:t>.]</w:t>
      </w:r>
    </w:p>
    <w:p>
      <w:pPr>
        <w:ind w:left="504"/>
      </w:pPr>
      <w:r>
        <w:rPr>
          <w:b/>
        </w:rPr>
        <w:t xml:space="preserve">(Alt. 3)  </w:t>
      </w:r>
      <w:r>
        <w:rPr>
          <w:b w:val="0"/>
          <w:i w:val="0"/>
        </w:rPr>
        <w:t>[Limited, express waiver solely for a designated federal or state forum, with a cap and asset carve-outs as in Alternative 2, subject to counsel's forum and enforceability analysis.]</w:t>
      </w:r>
    </w:p>
    <w:p>
      <w:pPr>
        <w:ind w:left="504"/>
      </w:pPr>
      <w:r>
        <w:rPr>
          <w:b/>
          <w:color w:val="0000C0"/>
        </w:rPr>
        <w:t xml:space="preserve">[ATTORNEY REVIEW REQUIRED]  </w:t>
      </w:r>
      <w:r>
        <w:rPr>
          <w:i/>
          <w:color w:val="595959"/>
        </w:rPr>
        <w:t>Sovereign immunity, any limited waiver, governing law, forum, and dispute-resolution mechanism are reserved decisions of the Lumbee Tribe and must be drafted and authorized by counsel. See Santa Clara Pueblo v. Martinez, 436 U.S. 49 (1978); C&amp;L Enterprises v. Citizen Band Potawatomi, 532 U.S. 411 (2001); Michigan v. Bay Mills, 572 U.S. 782 (2014) (tribal sovereign immunity; clear express waiver required). Any waiver must be clear and express and must exclude the Grant-Funded Assets and trust/restricted/Federal-Interest assets. Cross-reference the parallel provisions in the governance/authorization instruments (Document 03) and the Continuity, Step-In, Termination Assistance, and Transition Agreement (Document 04 forms).</w:t>
      </w:r>
    </w:p>
    <w:p>
      <w:pPr>
        <w:pStyle w:val="Heading2"/>
        <w:spacing w:before="160" w:after="60"/>
      </w:pPr>
      <w:r>
        <w:rPr>
          <w:rFonts w:ascii="Calibri" w:hAnsi="Calibri"/>
          <w:b/>
          <w:color w:val="000000"/>
          <w:sz w:val="22"/>
        </w:rPr>
        <w:t>24.3  Governing Law and Forum — Alternatives Only</w:t>
      </w:r>
    </w:p>
    <w:p>
      <w:r>
        <w:rPr>
          <w:b w:val="0"/>
          <w:i w:val="0"/>
          <w:color w:val="804000"/>
          <w:highlight w:val="yellow"/>
        </w:rPr>
        <w:t>[■ Governing law and forum — bracketed alternatives for counsel: Tribal law/forum; federal law/forum; or specified state law/forum]</w:t>
      </w:r>
      <w:r>
        <w:rPr>
          <w:b w:val="0"/>
          <w:i w:val="0"/>
        </w:rPr>
        <w:t xml:space="preserve"> </w:t>
      </w:r>
      <w:r>
        <w:rPr>
          <w:b/>
          <w:i w:val="0"/>
          <w:color w:val="0000C0"/>
        </w:rPr>
        <w:t>[ATTORNEY REVIEW REQUIRED]</w:t>
      </w:r>
    </w:p>
    <w:p>
      <w:pPr>
        <w:pStyle w:val="Heading1"/>
        <w:spacing w:before="240" w:after="120"/>
      </w:pPr>
      <w:r>
        <w:rPr>
          <w:rFonts w:ascii="Calibri" w:hAnsi="Calibri"/>
          <w:b/>
          <w:color w:val="1F3864"/>
          <w:sz w:val="26"/>
        </w:rPr>
        <w:t>ARTICLE 25.  ASSIGNMENT, CHANGE OF CONTROL, AND SUCCESSORS</w:t>
      </w:r>
    </w:p>
    <w:p>
      <w:pPr>
        <w:pStyle w:val="Heading2"/>
        <w:spacing w:before="160" w:after="60"/>
      </w:pPr>
      <w:r>
        <w:rPr>
          <w:rFonts w:ascii="Calibri" w:hAnsi="Calibri"/>
          <w:b/>
          <w:color w:val="000000"/>
          <w:sz w:val="22"/>
        </w:rPr>
        <w:t>25.1  Restriction on Assignment</w:t>
      </w:r>
    </w:p>
    <w:p>
      <w:r>
        <w:rPr>
          <w:b w:val="0"/>
          <w:i w:val="0"/>
        </w:rPr>
        <w:t xml:space="preserve">Neither Party may assign the Definitive Agreements, nor may RIVR Tech undergo a change of control, without the other Party's prior written consent and, where required, NTIA/DOC approval. Any assignment or change of control must preserve the Federal Interest, the Lumbee Tribe's interests and reserved decisions, and the flow-down obligations of Article 11. </w:t>
      </w:r>
      <w:r>
        <w:rPr>
          <w:b/>
          <w:i w:val="0"/>
          <w:color w:val="0000C0"/>
        </w:rPr>
        <w:t>[ATTORNEY REVIEW REQUIRED]</w:t>
      </w:r>
      <w:r>
        <w:rPr>
          <w:b w:val="0"/>
          <w:i w:val="0"/>
        </w:rPr>
        <w:t xml:space="preserve"> </w:t>
      </w:r>
      <w:r>
        <w:rPr>
          <w:b/>
          <w:i w:val="0"/>
          <w:color w:val="7F007F"/>
        </w:rPr>
        <w:t>[GRANT COMPLIANCE REVIEW REQUIRED]</w:t>
      </w:r>
    </w:p>
    <w:p>
      <w:pPr>
        <w:pStyle w:val="Heading2"/>
        <w:spacing w:before="160" w:after="60"/>
      </w:pPr>
      <w:r>
        <w:rPr>
          <w:rFonts w:ascii="Calibri" w:hAnsi="Calibri"/>
          <w:b/>
          <w:color w:val="000000"/>
          <w:sz w:val="22"/>
        </w:rPr>
        <w:t>25.2  Successors Bound</w:t>
      </w:r>
    </w:p>
    <w:p>
      <w:r>
        <w:rPr>
          <w:b w:val="0"/>
          <w:i w:val="0"/>
        </w:rPr>
        <w:t>Permitted successors and assigns are bound by the Definitive Agreements, including the property, compliance, and non-lien provisions protecting the Grant-Funded Assets.</w:t>
      </w:r>
    </w:p>
    <w:p>
      <w:pPr>
        <w:pStyle w:val="Heading1"/>
        <w:spacing w:before="240" w:after="120"/>
      </w:pPr>
      <w:r>
        <w:rPr>
          <w:rFonts w:ascii="Calibri" w:hAnsi="Calibri"/>
          <w:b/>
          <w:color w:val="1F3864"/>
          <w:sz w:val="26"/>
        </w:rPr>
        <w:t>ARTICLE 26.  SURVIVAL</w:t>
      </w:r>
    </w:p>
    <w:p>
      <w:pPr>
        <w:pStyle w:val="Heading2"/>
        <w:spacing w:before="160" w:after="60"/>
      </w:pPr>
      <w:r>
        <w:rPr>
          <w:rFonts w:ascii="Calibri" w:hAnsi="Calibri"/>
          <w:b/>
          <w:color w:val="000000"/>
          <w:sz w:val="22"/>
        </w:rPr>
        <w:t>26.1  Surviving Provisions</w:t>
      </w:r>
    </w:p>
    <w:p>
      <w:r>
        <w:rPr>
          <w:b w:val="0"/>
          <w:i w:val="0"/>
        </w:rPr>
        <w:t>Provisions that by their nature survive expiration or termination — including confidentiality, records and audit, indemnity, limitation of liability, non-lien protection of the Grant-Funded Assets, program-income and closeout obligations (2 CFR 200.344 (Closeout) and 2 CFR 200.345 (Post-closeout adjustments and continuing responsibilities)), dispute resolution, and sovereignty provisions — survive.</w:t>
      </w:r>
    </w:p>
    <w:p>
      <w:pPr>
        <w:pStyle w:val="Heading1"/>
        <w:spacing w:before="240" w:after="120"/>
      </w:pPr>
      <w:r>
        <w:rPr>
          <w:rFonts w:ascii="Calibri" w:hAnsi="Calibri"/>
          <w:b/>
          <w:color w:val="1F3864"/>
          <w:sz w:val="26"/>
        </w:rPr>
        <w:t>ARTICLE 27.  GENERAL PROVISIONS</w:t>
      </w:r>
    </w:p>
    <w:p>
      <w:pPr>
        <w:pStyle w:val="Heading2"/>
        <w:spacing w:before="160" w:after="60"/>
      </w:pPr>
      <w:r>
        <w:rPr>
          <w:rFonts w:ascii="Calibri" w:hAnsi="Calibri"/>
          <w:b/>
          <w:color w:val="000000"/>
          <w:sz w:val="22"/>
        </w:rPr>
        <w:t>27.1  Severability and Reformation</w:t>
      </w:r>
    </w:p>
    <w:p>
      <w:r>
        <w:rPr>
          <w:b w:val="0"/>
          <w:i w:val="0"/>
        </w:rPr>
        <w:t>If any provision is held invalid or unenforceable, it is reformed to the minimum extent necessary to make it enforceable and consistent with the Award, and the remaining provisions continue in effect; a lawful construction and service provision is not invalidated by a rejected IRU, exclusivity, payment, or commercial-use term.</w:t>
      </w:r>
    </w:p>
    <w:p>
      <w:pPr>
        <w:pStyle w:val="Heading2"/>
        <w:spacing w:before="160" w:after="60"/>
      </w:pPr>
      <w:r>
        <w:rPr>
          <w:rFonts w:ascii="Calibri" w:hAnsi="Calibri"/>
          <w:b/>
          <w:color w:val="000000"/>
          <w:sz w:val="22"/>
        </w:rPr>
        <w:t>27.2  Notices</w:t>
      </w:r>
    </w:p>
    <w:p>
      <w:r>
        <w:rPr>
          <w:b w:val="0"/>
          <w:i w:val="0"/>
        </w:rPr>
        <w:t xml:space="preserve">Notices are in writing to the addresses in Schedule S1. </w:t>
      </w:r>
      <w:r>
        <w:rPr>
          <w:b w:val="0"/>
          <w:i w:val="0"/>
          <w:color w:val="804000"/>
          <w:highlight w:val="yellow"/>
        </w:rPr>
        <w:t>[■ notice addresses and designated recipients]</w:t>
      </w:r>
    </w:p>
    <w:p>
      <w:pPr>
        <w:pStyle w:val="Heading2"/>
        <w:spacing w:before="160" w:after="60"/>
      </w:pPr>
      <w:r>
        <w:rPr>
          <w:rFonts w:ascii="Calibri" w:hAnsi="Calibri"/>
          <w:b/>
          <w:color w:val="000000"/>
          <w:sz w:val="22"/>
        </w:rPr>
        <w:t>27.3  Amendments</w:t>
      </w:r>
    </w:p>
    <w:p>
      <w:r>
        <w:rPr>
          <w:b w:val="0"/>
          <w:i w:val="0"/>
        </w:rPr>
        <w:t>Amendments are effective only in a writing signed by both Parties and, where required, approved by NTIA/DOC and by Tribal authorization.</w:t>
      </w:r>
    </w:p>
    <w:p>
      <w:pPr>
        <w:pStyle w:val="Heading2"/>
        <w:spacing w:before="160" w:after="60"/>
      </w:pPr>
      <w:r>
        <w:rPr>
          <w:rFonts w:ascii="Calibri" w:hAnsi="Calibri"/>
          <w:b/>
          <w:color w:val="000000"/>
          <w:sz w:val="22"/>
        </w:rPr>
        <w:t>27.4  Counterparts and Electronic Signature</w:t>
      </w:r>
    </w:p>
    <w:p>
      <w:r>
        <w:rPr>
          <w:b w:val="0"/>
          <w:i w:val="0"/>
        </w:rPr>
        <w:t>This Agreement may be executed in counterparts and by electronic signature.</w:t>
      </w:r>
    </w:p>
    <w:p>
      <w:pPr>
        <w:pStyle w:val="Heading1"/>
        <w:spacing w:before="240" w:after="120"/>
      </w:pPr>
      <w:r>
        <w:rPr>
          <w:rFonts w:ascii="Calibri" w:hAnsi="Calibri"/>
          <w:b/>
          <w:color w:val="1F3864"/>
          <w:sz w:val="26"/>
        </w:rPr>
        <w:t>ARTICLE 28.  ENTIRE AGREEMENT</w:t>
      </w:r>
    </w:p>
    <w:p>
      <w:pPr>
        <w:pStyle w:val="Heading2"/>
        <w:spacing w:before="160" w:after="60"/>
      </w:pPr>
      <w:r>
        <w:rPr>
          <w:rFonts w:ascii="Calibri" w:hAnsi="Calibri"/>
          <w:b/>
          <w:color w:val="000000"/>
          <w:sz w:val="22"/>
        </w:rPr>
        <w:t>28.1  Integration</w:t>
      </w:r>
    </w:p>
    <w:p>
      <w:r>
        <w:rPr>
          <w:b w:val="0"/>
          <w:i w:val="0"/>
        </w:rPr>
        <w:t>The Definitive Agreements, together with the Schedules, Exhibits, Certificates, Operational Forms, and the Award, constitute the entire agreement of the Parties on their subject matter and supersede prior understandings, subject to the order of precedence in Article 5.</w:t>
      </w:r>
    </w:p>
    <w:p/>
    <w:p>
      <w:r>
        <w:rPr>
          <w:b/>
          <w:color w:val="C00000"/>
          <w:sz w:val="22"/>
        </w:rPr>
        <w:t>NOTICE AND DISCLAIMER</w:t>
      </w:r>
    </w:p>
    <w:p>
      <w:pPr>
        <w:ind w:left="504"/>
      </w:pPr>
      <w:r>
        <w:rPr>
          <w:b/>
          <w:color w:val="0000C0"/>
        </w:rPr>
        <w:t xml:space="preserve">[ATTORNEY REVIEW REQUIRED]  </w:t>
      </w:r>
      <w:r>
        <w:rPr>
          <w:i/>
          <w:color w:val="595959"/>
        </w:rPr>
        <w:t>These drafts are provided for business planning and attorney review. They are preliminary, non-binding working documents prepared without the controlling TBCP award or any source documents, do not constitute legal, financial, tax, engineering, or grant-compliance advice, and by themselves create no obligation, agreement, license, or right in favor of any Party. No Party should act or refrain from acting in reliance on these drafts. Nothing in these drafts authorizes any design finalization, construction, ground disturbance, procurement commitment, expenditure, encumbrance, interconnection, or service activation absent the executed federal Award and its Specific Award Conditions, confirmation of the controlling round and award terms, qualified attorney review, and all required governmental consent.</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Signatory authority, titles, and authorizing resolutions must be confirmed in Schedule S1 and Schedule S14 before execution.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Master TBCP Agreement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