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02.02 — DEFINITIVE AGREEMENTS</w:t>
      </w:r>
    </w:p>
    <w:p>
      <w:pPr>
        <w:jc w:val="center"/>
      </w:pPr>
      <w:r>
        <w:rPr>
          <w:b/>
          <w:color w:val="1F3864"/>
          <w:sz w:val="48"/>
        </w:rPr>
        <w:t>Design, Engineering, Procurement, and Construction Agreement</w:t>
      </w:r>
    </w:p>
    <w:p>
      <w:pPr>
        <w:jc w:val="center"/>
      </w:pPr>
      <w:r>
        <w:rPr>
          <w:color w:val="595959"/>
          <w:sz w:val="28"/>
        </w:rPr>
        <w:t>The DEPC agreement for the coordinated TBCP fiber-project package (subordinate to the Master Agreement)</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pStyle w:val="Heading1"/>
        <w:spacing w:before="240" w:after="120"/>
      </w:pPr>
      <w:r>
        <w:rPr>
          <w:rFonts w:ascii="Calibri" w:hAnsi="Calibri"/>
          <w:b/>
          <w:color w:val="1F3864"/>
          <w:sz w:val="26"/>
        </w:rPr>
        <w:t>ARTICLE 1.  PARTIES, RECITALS, AND INCORPORATION</w:t>
      </w:r>
    </w:p>
    <w:p>
      <w:r>
        <w:t>This Design, Engineering, Procurement, and Construction Agreement (this “Agreement”) is entered into as of [■ Effective Date] (the “Effective Date”), by and between Lumbee Tribe of North Carolina (the “Lumbee Tribe”), and LREMC Technologies, LLC d/b/a RIVR Tech (“RIVR Tech”). The Lumbee Tribe and RIVR Tech are each a “Party” and together the “Parties.”</w:t>
      </w:r>
    </w:p>
    <w:p>
      <w:pPr>
        <w:ind w:left="504"/>
      </w:pPr>
      <w:r>
        <w:rPr>
          <w:b/>
          <w:color w:val="C00000"/>
        </w:rPr>
        <w:t xml:space="preserve">[BUSINESS DECISION REQUIRED]  </w:t>
      </w:r>
      <w:r>
        <w:rPr>
          <w:i/>
          <w:color w:val="595959"/>
        </w:rPr>
        <w:t>Confirm whether the contracting Tribal party is the Lumbee Tribe of North Carolina directly or a wholly owned Tribal entity or Tribally chartered instrumentality designated by the Lumbee Tribe; align the recitals, signatory, and authorizing resolution accordingly (Schedule S1).</w:t>
      </w:r>
    </w:p>
    <w:p>
      <w:pPr>
        <w:pStyle w:val="Heading2"/>
        <w:spacing w:before="160" w:after="60"/>
      </w:pPr>
      <w:r>
        <w:rPr>
          <w:rFonts w:ascii="Calibri" w:hAnsi="Calibri"/>
          <w:b/>
          <w:color w:val="000000"/>
          <w:sz w:val="22"/>
        </w:rPr>
        <w:t>1.1  Incorporation of the Master Agreement</w:t>
      </w:r>
    </w:p>
    <w:p>
      <w:r>
        <w:rPr>
          <w:b w:val="0"/>
          <w:i w:val="0"/>
        </w:rPr>
        <w:t>This Agreement is one of the Definitive Agreements and is subordinate to and incorporates the Master TBCP Partnership and Implementation Agreement, including its Article 2 (Definitions), the order of precedence, and the cross-cutting terms. In any conflict, the order of precedence in Article 3 governs.</w:t>
      </w:r>
    </w:p>
    <w:p>
      <w:pPr>
        <w:pStyle w:val="Heading2"/>
        <w:spacing w:before="160" w:after="60"/>
      </w:pPr>
      <w:r>
        <w:rPr>
          <w:rFonts w:ascii="Calibri" w:hAnsi="Calibri"/>
          <w:b/>
          <w:color w:val="000000"/>
          <w:sz w:val="22"/>
        </w:rPr>
        <w:t>1.2  Purpose</w:t>
      </w:r>
    </w:p>
    <w:p>
      <w:r>
        <w:rPr>
          <w:b w:val="0"/>
          <w:i w:val="0"/>
        </w:rPr>
        <w:t>RIVR Tech will design, engineer, procure, and construct the Tribal Network (the Grant-Funded Assets) within the Approved Project Area, on a segment-by-segment basis, in compliance with the Award and applicable federal law, for ownership by the Lumbee Tribe.</w:t>
      </w:r>
    </w:p>
    <w:p>
      <w:pPr>
        <w:pStyle w:val="Heading2"/>
        <w:spacing w:before="160" w:after="60"/>
      </w:pPr>
      <w:r>
        <w:rPr>
          <w:rFonts w:ascii="Calibri" w:hAnsi="Calibri"/>
          <w:b/>
          <w:color w:val="000000"/>
          <w:sz w:val="22"/>
        </w:rPr>
        <w:t>1.3  LREMC Facilities Not Conveyed</w:t>
      </w:r>
    </w:p>
    <w:p>
      <w:r>
        <w:rPr>
          <w:b w:val="0"/>
          <w:i w:val="0"/>
        </w:rPr>
        <w:t xml:space="preserve">This Agreement does not convey, and does not assume RIVR Tech ownership or control of, any LREMC Facilities. Use of LREMC Facilities (poles, conduit, easements, huts, power, land) requires the Land, Easement, Right-of-Way, Pole, Site, Power, and Facility Instruments and a separate LREMC consent or joinder. </w:t>
      </w:r>
      <w:r>
        <w:rPr>
          <w:b/>
          <w:i w:val="0"/>
          <w:color w:val="0000C0"/>
        </w:rPr>
        <w:t>[ATTORNEY REVIEW REQUIRED]</w:t>
      </w:r>
    </w:p>
    <w:p>
      <w:pPr>
        <w:pStyle w:val="Heading1"/>
        <w:spacing w:before="240" w:after="120"/>
      </w:pPr>
      <w:r>
        <w:rPr>
          <w:rFonts w:ascii="Calibri" w:hAnsi="Calibri"/>
          <w:b/>
          <w:color w:val="1F3864"/>
          <w:sz w:val="26"/>
        </w:rPr>
        <w:t>ARTICLE 2.  DEFINITIONS</w:t>
      </w:r>
    </w:p>
    <w:p>
      <w:pPr>
        <w:pStyle w:val="Heading2"/>
        <w:spacing w:before="160" w:after="60"/>
      </w:pPr>
      <w:r>
        <w:rPr>
          <w:rFonts w:ascii="Calibri" w:hAnsi="Calibri"/>
          <w:b/>
          <w:color w:val="000000"/>
          <w:sz w:val="22"/>
        </w:rPr>
        <w:t>2.1  Shared Definitions Govern</w:t>
      </w:r>
    </w:p>
    <w:p>
      <w:r>
        <w:rPr>
          <w:b w:val="0"/>
          <w:i w:val="0"/>
        </w:rPr>
        <w:t>Capitalized terms used and not otherwise defined in a document have the meanings given in Article 2 (Definitions) of the Master TBCP Partnership and Implementation Agreement, which is the single shared definitions source for the package. This Agreement does not restate the shared glossary. Terms defined below are unique to the design and construction subject matter of this Agreement.</w:t>
      </w:r>
    </w:p>
    <w:p>
      <w:pPr>
        <w:ind w:left="504"/>
      </w:pPr>
      <w:r>
        <w:rPr>
          <w:b/>
        </w:rPr>
        <w:t xml:space="preserve">(▪)  </w:t>
      </w:r>
      <w:r>
        <w:rPr>
          <w:b w:val="0"/>
          <w:i w:val="0"/>
        </w:rPr>
        <w:t>“Segment” means a defined portion of the Tribal Network designed, constructed, tested, and accepted as a unit, as identified in Schedule S2.</w:t>
      </w:r>
    </w:p>
    <w:p>
      <w:pPr>
        <w:ind w:left="504"/>
      </w:pPr>
      <w:r>
        <w:rPr>
          <w:b/>
        </w:rPr>
        <w:t xml:space="preserve">(▪)  </w:t>
      </w:r>
      <w:r>
        <w:rPr>
          <w:b w:val="0"/>
          <w:i w:val="0"/>
        </w:rPr>
        <w:t>“Notice to Proceed” means the written authorization issued for a Segment after all segment-level conditions precedent are satisfied, authorizing construction to begin for that Segment.</w:t>
      </w:r>
    </w:p>
    <w:p>
      <w:pPr>
        <w:ind w:left="504"/>
      </w:pPr>
      <w:r>
        <w:rPr>
          <w:b/>
        </w:rPr>
        <w:t xml:space="preserve">(▪)  </w:t>
      </w:r>
      <w:r>
        <w:rPr>
          <w:b w:val="0"/>
          <w:i w:val="0"/>
        </w:rPr>
        <w:t>“Substantial Completion” means the point at which a Segment is sufficiently complete to be used for its intended purpose, subject only to punch-list items, as certified under Article 23.</w:t>
      </w:r>
    </w:p>
    <w:p>
      <w:pPr>
        <w:ind w:left="504"/>
      </w:pPr>
      <w:r>
        <w:rPr>
          <w:b/>
        </w:rPr>
        <w:t xml:space="preserve">(▪)  </w:t>
      </w:r>
      <w:r>
        <w:rPr>
          <w:b w:val="0"/>
          <w:i w:val="0"/>
        </w:rPr>
        <w:t>“Final Completion” means the point at which all work for a Segment, including punch-list items, as-builts, and required documentation, is complete and accepted under Article 23.</w:t>
      </w:r>
    </w:p>
    <w:p>
      <w:pPr>
        <w:ind w:left="504"/>
      </w:pPr>
      <w:r>
        <w:rPr>
          <w:b/>
        </w:rPr>
        <w:t xml:space="preserve">(▪)  </w:t>
      </w:r>
      <w:r>
        <w:rPr>
          <w:b w:val="0"/>
          <w:i w:val="0"/>
        </w:rPr>
        <w:t>“Segment Acceptance” means the Tribe's acceptance of a Segment following successful testing and completion, which triggers commencement of the Term and IRU activation for that Segment (Article 24).</w:t>
      </w:r>
    </w:p>
    <w:p>
      <w:pPr>
        <w:ind w:left="504"/>
      </w:pPr>
      <w:r>
        <w:rPr>
          <w:b/>
        </w:rPr>
        <w:t xml:space="preserve">(▪)  </w:t>
      </w:r>
      <w:r>
        <w:rPr>
          <w:b w:val="0"/>
          <w:i w:val="0"/>
        </w:rPr>
        <w:t>“Disallowed Cost” means any cost determined by NTIA/DOC, audit, or the Award to be unallowable, unallocable, unreasonable, or unsupported under 2 CFR Part 200 or the Award.</w:t>
      </w:r>
    </w:p>
    <w:p>
      <w:pPr>
        <w:pStyle w:val="Heading1"/>
        <w:spacing w:before="240" w:after="120"/>
      </w:pPr>
      <w:r>
        <w:rPr>
          <w:rFonts w:ascii="Calibri" w:hAnsi="Calibri"/>
          <w:b/>
          <w:color w:val="1F3864"/>
          <w:sz w:val="26"/>
        </w:rPr>
        <w:t>ARTICLE 3.  ORDER OF PRECEDENCE AND SHARED DEFINITIONS</w:t>
      </w:r>
    </w:p>
    <w:p>
      <w:pPr>
        <w:pStyle w:val="Heading2"/>
        <w:spacing w:before="160" w:after="60"/>
      </w:pPr>
      <w:r>
        <w:rPr>
          <w:rFonts w:ascii="Calibri" w:hAnsi="Calibri"/>
          <w:b/>
          <w:color w:val="000000"/>
          <w:sz w:val="22"/>
        </w:rPr>
        <w:t>3.1  Order of Precedence</w:t>
      </w:r>
    </w:p>
    <w:p>
      <w:r>
        <w:rPr>
          <w:b w:val="0"/>
          <w:i w:val="0"/>
        </w:rPr>
        <w:t>In the event of any conflict, ambiguity, or inconsistency among the instruments comprising the transaction, the following order of precedence governs, from highest to lowest authority:</w:t>
      </w:r>
    </w:p>
    <w:p>
      <w:pPr>
        <w:pStyle w:val="ListNumber"/>
      </w:pPr>
      <w:r>
        <w:rPr>
          <w:b w:val="0"/>
          <w:i w:val="0"/>
        </w:rPr>
        <w:t>the executed federal Award and all requirements incorporated into it (including the controlling NOFO, the Specific Award Conditions, the approved application, budget, routes, and service commitments, and any later written NTIA/DOC determination)</w:t>
      </w:r>
    </w:p>
    <w:p>
      <w:pPr>
        <w:pStyle w:val="ListNumber"/>
      </w:pPr>
      <w:r>
        <w:rPr>
          <w:b w:val="0"/>
          <w:i w:val="0"/>
        </w:rPr>
        <w:t>applicable federal statutes and regulations, including 2 CFR Part 200 and NTIA/DOC award terms</w:t>
      </w:r>
    </w:p>
    <w:p>
      <w:pPr>
        <w:pStyle w:val="ListNumber"/>
      </w:pPr>
      <w:r>
        <w:rPr>
          <w:b w:val="0"/>
          <w:i w:val="0"/>
        </w:rPr>
        <w:t>the approved project documents</w:t>
      </w:r>
    </w:p>
    <w:p>
      <w:pPr>
        <w:pStyle w:val="ListNumber"/>
      </w:pPr>
      <w:r>
        <w:rPr>
          <w:b w:val="0"/>
          <w:i w:val="0"/>
        </w:rPr>
        <w:t>the Master TBCP Partnership and Implementation Agreement</w:t>
      </w:r>
    </w:p>
    <w:p>
      <w:pPr>
        <w:pStyle w:val="ListNumber"/>
      </w:pPr>
      <w:r>
        <w:rPr>
          <w:b w:val="0"/>
          <w:i w:val="0"/>
        </w:rPr>
        <w:t>the other Definitive Agreements</w:t>
      </w:r>
    </w:p>
    <w:p>
      <w:pPr>
        <w:pStyle w:val="ListNumber"/>
      </w:pPr>
      <w:r>
        <w:rPr>
          <w:b w:val="0"/>
          <w:i w:val="0"/>
        </w:rPr>
        <w:t>the Schedules, Exhibits, Certificates, and Operational Forms</w:t>
      </w:r>
    </w:p>
    <w:p>
      <w:pPr>
        <w:pStyle w:val="Heading2"/>
        <w:spacing w:before="160" w:after="60"/>
      </w:pPr>
      <w:r>
        <w:rPr>
          <w:rFonts w:ascii="Calibri" w:hAnsi="Calibri"/>
          <w:b/>
          <w:color w:val="000000"/>
          <w:sz w:val="22"/>
        </w:rPr>
        <w:t>3.2  Precedence Rule</w:t>
      </w:r>
    </w:p>
    <w:p>
      <w:r>
        <w:rPr>
          <w:b w:val="0"/>
          <w:i w:val="0"/>
        </w:rPr>
        <w:t>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p>
      <w:pPr>
        <w:pStyle w:val="Heading2"/>
        <w:spacing w:before="160" w:after="60"/>
      </w:pPr>
      <w:r>
        <w:rPr>
          <w:rFonts w:ascii="Calibri" w:hAnsi="Calibri"/>
          <w:b/>
          <w:color w:val="000000"/>
          <w:sz w:val="22"/>
        </w:rPr>
        <w:t>3.3  Shared Definitions</w:t>
      </w:r>
    </w:p>
    <w:p>
      <w:r>
        <w:rPr>
          <w:b w:val="0"/>
          <w:i w:val="0"/>
        </w:rPr>
        <w:t>Capitalized terms used and not otherwise defined in a document have the meanings given in Article 2 (Definitions) of the Master TBCP Partnership and Implementation Agreement, which is the single shared definitions source for the package.</w:t>
      </w:r>
    </w:p>
    <w:p>
      <w:r>
        <w:rPr>
          <w:b w:val="0"/>
          <w:i w:val="0"/>
        </w:rPr>
        <w:t>This Agreement does not restate the shared glossary. Capitalized terms are used as defined in Article 2 (Definitions) of the Master TBCP Partnership and Implementation Agreement. Where a term is defined both here and in the Master TBCP Partnership and Implementation Agreement, the Master TBCP Partnership and Implementation Agreement controls unless this Agreement expressly states otherwise for a term unique to its subject matter.</w:t>
      </w:r>
    </w:p>
    <w:p>
      <w:pPr>
        <w:pStyle w:val="Heading2"/>
        <w:spacing w:before="160" w:after="60"/>
      </w:pPr>
      <w:r>
        <w:rPr>
          <w:rFonts w:ascii="Calibri" w:hAnsi="Calibri"/>
          <w:b/>
          <w:color w:val="000000"/>
          <w:sz w:val="22"/>
        </w:rPr>
        <w:t>3.4  No Enlargement of Federal or Tribal Obligations</w:t>
      </w:r>
    </w:p>
    <w:p>
      <w:r>
        <w:rPr>
          <w:b w:val="0"/>
          <w:i w:val="0"/>
        </w:rPr>
        <w:t>No provision of this Agreement, and no schedule, exhibit, certificate, or form, may be construed to authorize any act prohibited by, or inconsistent with, the Award, applicable federal law, or the sovereign rights of the Lumbee Tribe. A rejected or unenforceable commercial term does not invalidate a lawful construction and service provision; the provisions of Article on Severability and Reformation apply.</w:t>
      </w:r>
    </w:p>
    <w:p>
      <w:pPr>
        <w:pStyle w:val="Heading1"/>
        <w:spacing w:before="240" w:after="120"/>
      </w:pPr>
      <w:r>
        <w:rPr>
          <w:rFonts w:ascii="Calibri" w:hAnsi="Calibri"/>
          <w:b/>
          <w:color w:val="1F3864"/>
          <w:sz w:val="26"/>
        </w:rPr>
        <w:t>ARTICLE 4.  SCOPE OF WORK</w:t>
      </w:r>
    </w:p>
    <w:p>
      <w:pPr>
        <w:pStyle w:val="Heading2"/>
        <w:spacing w:before="160" w:after="60"/>
      </w:pPr>
      <w:r>
        <w:rPr>
          <w:rFonts w:ascii="Calibri" w:hAnsi="Calibri"/>
          <w:b/>
          <w:color w:val="000000"/>
          <w:sz w:val="22"/>
        </w:rPr>
        <w:t>4.1  DEPC Services</w:t>
      </w:r>
    </w:p>
    <w:p>
      <w:r>
        <w:rPr>
          <w:b w:val="0"/>
          <w:i w:val="0"/>
        </w:rPr>
        <w:t>RIVR Tech will provide all design, engineering, procurement, construction, testing, and commissioning services necessary to deliver the Grant-Funded Assets for each Segment, in accordance with the design standards (Article 5), the approved routes (Article 6), and Schedules S2, S4, and S5.</w:t>
      </w:r>
    </w:p>
    <w:p>
      <w:pPr>
        <w:pStyle w:val="Heading2"/>
        <w:spacing w:before="160" w:after="60"/>
      </w:pPr>
      <w:r>
        <w:rPr>
          <w:rFonts w:ascii="Calibri" w:hAnsi="Calibri"/>
          <w:b/>
          <w:color w:val="000000"/>
          <w:sz w:val="22"/>
        </w:rPr>
        <w:t>4.2  Segment-by-Segment Delivery</w:t>
      </w:r>
    </w:p>
    <w:p>
      <w:r>
        <w:rPr>
          <w:b w:val="0"/>
          <w:i w:val="0"/>
        </w:rPr>
        <w:t>Work proceeds Segment by Segment. No work may begin on a Segment before its Notice to Proceed (Article 29), and no ground disturbance may occur before environmental and historic clearances (Article 13).</w:t>
      </w:r>
    </w:p>
    <w:p>
      <w:pPr>
        <w:pStyle w:val="Heading2"/>
        <w:spacing w:before="160" w:after="60"/>
      </w:pPr>
      <w:r>
        <w:rPr>
          <w:rFonts w:ascii="Calibri" w:hAnsi="Calibri"/>
          <w:b/>
          <w:color w:val="000000"/>
          <w:sz w:val="22"/>
        </w:rPr>
        <w:t>4.3  Ownership of Work Product</w:t>
      </w:r>
    </w:p>
    <w:p>
      <w:r>
        <w:rPr>
          <w:b w:val="0"/>
          <w:i w:val="0"/>
        </w:rPr>
        <w:t xml:space="preserve">The Grant-Funded Assets, including installed materials, designs, and as-builts funded by the Award, are owned by the Lumbee Tribe and are subject to the Federal Interest; RIVR Tech acquires no ownership therein. The RIVR Tech Existing Network remains RIVR Tech's property. </w:t>
      </w:r>
      <w:r>
        <w:rPr>
          <w:b/>
          <w:i w:val="0"/>
          <w:color w:val="7F007F"/>
        </w:rPr>
        <w:t>[GRANT COMPLIANCE REVIEW REQUIRED]</w:t>
      </w:r>
    </w:p>
    <w:p>
      <w:pPr>
        <w:pStyle w:val="Heading1"/>
        <w:spacing w:before="240" w:after="120"/>
      </w:pPr>
      <w:r>
        <w:rPr>
          <w:rFonts w:ascii="Calibri" w:hAnsi="Calibri"/>
          <w:b/>
          <w:color w:val="1F3864"/>
          <w:sz w:val="26"/>
        </w:rPr>
        <w:t>ARTICLE 5.  DESIGN STANDARDS</w:t>
      </w:r>
    </w:p>
    <w:p>
      <w:pPr>
        <w:pStyle w:val="Heading2"/>
        <w:spacing w:before="160" w:after="60"/>
      </w:pPr>
      <w:r>
        <w:rPr>
          <w:rFonts w:ascii="Calibri" w:hAnsi="Calibri"/>
          <w:b/>
          <w:color w:val="000000"/>
          <w:sz w:val="22"/>
        </w:rPr>
        <w:t>5.1  FTTH Architecture</w:t>
      </w:r>
    </w:p>
    <w:p>
      <w:r>
        <w:rPr>
          <w:b w:val="0"/>
          <w:i w:val="0"/>
        </w:rPr>
        <w:t xml:space="preserve">The Tribal Network is a fiber-to-the-home (FTTH) network delivering not less than 100/20 Mbps (and the higher speeds required by the Award), using a passive optical network architecture. </w:t>
      </w:r>
      <w:r>
        <w:rPr>
          <w:b w:val="0"/>
          <w:i w:val="0"/>
          <w:color w:val="804000"/>
          <w:highlight w:val="yellow"/>
        </w:rPr>
        <w:t>[■ XGS-PON and/or GPON election and split ratios]</w:t>
      </w:r>
      <w:r>
        <w:rPr>
          <w:b w:val="0"/>
          <w:i w:val="0"/>
        </w:rPr>
        <w:t xml:space="preserve"> </w:t>
      </w:r>
      <w:r>
        <w:rPr>
          <w:b/>
          <w:i w:val="0"/>
          <w:color w:val="007000"/>
        </w:rPr>
        <w:t>[TECHNICAL INFORMATION REQUIRED]</w:t>
      </w:r>
    </w:p>
    <w:p>
      <w:pPr>
        <w:pStyle w:val="Heading2"/>
        <w:spacing w:before="160" w:after="60"/>
      </w:pPr>
      <w:r>
        <w:rPr>
          <w:rFonts w:ascii="Calibri" w:hAnsi="Calibri"/>
          <w:b/>
          <w:color w:val="000000"/>
          <w:sz w:val="22"/>
        </w:rPr>
        <w:t>5.2  Optical and Electronics Standards</w:t>
      </w:r>
    </w:p>
    <w:p>
      <w:r>
        <w:rPr>
          <w:b w:val="0"/>
          <w:i w:val="0"/>
        </w:rPr>
        <w:t xml:space="preserve">Design will conform to recognized FTTH engineering standards and the bill of materials in Schedule S4, using Calix-class (or approved-equivalent) access electronics. </w:t>
      </w:r>
      <w:r>
        <w:rPr>
          <w:b w:val="0"/>
          <w:i w:val="0"/>
          <w:color w:val="804000"/>
          <w:highlight w:val="yellow"/>
        </w:rPr>
        <w:t>[■ specific OLT/ONT platforms, electronics, and firmware]</w:t>
      </w:r>
      <w:r>
        <w:rPr>
          <w:b w:val="0"/>
          <w:i w:val="0"/>
        </w:rPr>
        <w:t xml:space="preserve"> </w:t>
      </w:r>
      <w:r>
        <w:rPr>
          <w:b/>
          <w:i w:val="0"/>
          <w:color w:val="007000"/>
        </w:rPr>
        <w:t>[TECHNICAL INFORMATION REQUIRED]</w:t>
      </w:r>
    </w:p>
    <w:p>
      <w:pPr>
        <w:pStyle w:val="Heading2"/>
        <w:spacing w:before="160" w:after="60"/>
      </w:pPr>
      <w:r>
        <w:rPr>
          <w:rFonts w:ascii="Calibri" w:hAnsi="Calibri"/>
          <w:b/>
          <w:color w:val="000000"/>
          <w:sz w:val="22"/>
        </w:rPr>
        <w:t>5.3  Interconnection and Demarcation</w:t>
      </w:r>
    </w:p>
    <w:p>
      <w:r>
        <w:rPr>
          <w:b w:val="0"/>
          <w:i w:val="0"/>
        </w:rPr>
        <w:t>Design will fix the Point of Interconnection and Demarcation Point for each Segment per Schedule S4 and the Network Interconnection, Transport, Equipment, and Shared Facilities Agreement, maintaining separation between the Grant-Funded Assets and the RIVR Tech Existing Network.</w:t>
      </w:r>
    </w:p>
    <w:p>
      <w:pPr>
        <w:pStyle w:val="Heading2"/>
        <w:spacing w:before="160" w:after="60"/>
      </w:pPr>
      <w:r>
        <w:rPr>
          <w:rFonts w:ascii="Calibri" w:hAnsi="Calibri"/>
          <w:b/>
          <w:color w:val="000000"/>
          <w:sz w:val="22"/>
        </w:rPr>
        <w:t>5.4  Design Review and Approval</w:t>
      </w:r>
    </w:p>
    <w:p>
      <w:r>
        <w:rPr>
          <w:b w:val="0"/>
          <w:i w:val="0"/>
        </w:rPr>
        <w:t xml:space="preserve">Design deliverables are submitted for review; changes to approved routes or standards follow change control (Article 18 and Master Article 13). </w:t>
      </w:r>
      <w:r>
        <w:rPr>
          <w:b/>
          <w:i w:val="0"/>
          <w:color w:val="007000"/>
        </w:rPr>
        <w:t>[TECHNICAL INFORMATION REQUIRED]</w:t>
      </w:r>
    </w:p>
    <w:p>
      <w:pPr>
        <w:pStyle w:val="Heading1"/>
        <w:spacing w:before="240" w:after="120"/>
      </w:pPr>
      <w:r>
        <w:rPr>
          <w:rFonts w:ascii="Calibri" w:hAnsi="Calibri"/>
          <w:b/>
          <w:color w:val="1F3864"/>
          <w:sz w:val="26"/>
        </w:rPr>
        <w:t>ARTICLE 6.  ROUTES AND APPROVED PROJECT AREA</w:t>
      </w:r>
    </w:p>
    <w:p>
      <w:pPr>
        <w:pStyle w:val="Heading2"/>
        <w:spacing w:before="160" w:after="60"/>
      </w:pPr>
      <w:r>
        <w:rPr>
          <w:rFonts w:ascii="Calibri" w:hAnsi="Calibri"/>
          <w:b/>
          <w:color w:val="000000"/>
          <w:sz w:val="22"/>
        </w:rPr>
        <w:t>6.1  Approved Routes</w:t>
      </w:r>
    </w:p>
    <w:p>
      <w:r>
        <w:rPr>
          <w:b w:val="0"/>
          <w:i w:val="0"/>
        </w:rPr>
        <w:t xml:space="preserve">Construction follows the approved routes and eligible locations within the Approved Project Area as set forth in Schedule S2. </w:t>
      </w:r>
      <w:r>
        <w:rPr>
          <w:b w:val="0"/>
          <w:i w:val="0"/>
          <w:color w:val="804000"/>
          <w:highlight w:val="yellow"/>
        </w:rPr>
        <w:t>[■ route maps, mileage, eligible-location list — NOT SUPPLIED; do not invent]</w:t>
      </w:r>
      <w:r>
        <w:rPr>
          <w:b w:val="0"/>
          <w:i w:val="0"/>
        </w:rPr>
        <w:t xml:space="preserve"> </w:t>
      </w:r>
      <w:r>
        <w:rPr>
          <w:b/>
          <w:i w:val="0"/>
          <w:color w:val="7F007F"/>
        </w:rPr>
        <w:t>[GRANT COMPLIANCE REVIEW REQUIRED]</w:t>
      </w:r>
    </w:p>
    <w:p>
      <w:pPr>
        <w:pStyle w:val="Heading2"/>
        <w:spacing w:before="160" w:after="60"/>
      </w:pPr>
      <w:r>
        <w:rPr>
          <w:rFonts w:ascii="Calibri" w:hAnsi="Calibri"/>
          <w:b/>
          <w:color w:val="000000"/>
          <w:sz w:val="22"/>
        </w:rPr>
        <w:t>6.2  Route Changes</w:t>
      </w:r>
    </w:p>
    <w:p>
      <w:r>
        <w:rPr>
          <w:b w:val="0"/>
          <w:i w:val="0"/>
        </w:rPr>
        <w:t xml:space="preserve">Any deviation from approved routes requires change control and, where it affects the Award or Approved Project Area, the Lumbee Tribe's reserved-decision approval and any required NTIA/DOC approval. </w:t>
      </w:r>
      <w:r>
        <w:rPr>
          <w:b/>
          <w:i w:val="0"/>
          <w:color w:val="7F007F"/>
        </w:rPr>
        <w:t>[GRANT COMPLIANCE REVIEW REQUIRED]</w:t>
      </w:r>
    </w:p>
    <w:p>
      <w:pPr>
        <w:pStyle w:val="Heading1"/>
        <w:spacing w:before="240" w:after="120"/>
      </w:pPr>
      <w:r>
        <w:rPr>
          <w:rFonts w:ascii="Calibri" w:hAnsi="Calibri"/>
          <w:b/>
          <w:color w:val="1F3864"/>
          <w:sz w:val="26"/>
        </w:rPr>
        <w:t>ARTICLE 7.  BILLS OF MATERIALS AND APPROVED MANUFACTURERS</w:t>
      </w:r>
    </w:p>
    <w:p>
      <w:pPr>
        <w:pStyle w:val="Heading2"/>
        <w:spacing w:before="160" w:after="60"/>
      </w:pPr>
      <w:r>
        <w:rPr>
          <w:rFonts w:ascii="Calibri" w:hAnsi="Calibri"/>
          <w:b/>
          <w:color w:val="000000"/>
          <w:sz w:val="22"/>
        </w:rPr>
        <w:t>7.1  Bill of Materials</w:t>
      </w:r>
    </w:p>
    <w:p>
      <w:r>
        <w:rPr>
          <w:b w:val="0"/>
          <w:i w:val="0"/>
        </w:rPr>
        <w:t xml:space="preserve">Materials and equipment conform to the bill of materials and approved-manufacturer list in Schedule S4. </w:t>
      </w:r>
      <w:r>
        <w:rPr>
          <w:b w:val="0"/>
          <w:i w:val="0"/>
          <w:color w:val="804000"/>
          <w:highlight w:val="yellow"/>
        </w:rPr>
        <w:t>[■ final BOM and approved-manufacturer list]</w:t>
      </w:r>
      <w:r>
        <w:rPr>
          <w:b w:val="0"/>
          <w:i w:val="0"/>
        </w:rPr>
        <w:t xml:space="preserve"> </w:t>
      </w:r>
      <w:r>
        <w:rPr>
          <w:b/>
          <w:i w:val="0"/>
          <w:color w:val="007000"/>
        </w:rPr>
        <w:t>[TECHNICAL INFORMATION REQUIRED]</w:t>
      </w:r>
    </w:p>
    <w:p>
      <w:pPr>
        <w:pStyle w:val="Heading2"/>
        <w:spacing w:before="160" w:after="60"/>
      </w:pPr>
      <w:r>
        <w:rPr>
          <w:rFonts w:ascii="Calibri" w:hAnsi="Calibri"/>
          <w:b/>
          <w:color w:val="000000"/>
          <w:sz w:val="22"/>
        </w:rPr>
        <w:t>7.2  Compliance of Materials</w:t>
      </w:r>
    </w:p>
    <w:p>
      <w:r>
        <w:rPr>
          <w:b w:val="0"/>
          <w:i w:val="0"/>
        </w:rPr>
        <w:t xml:space="preserve">All materials and equipment comply with domestic-preference/BABA requirements (Build America, Buy America Act, IIJA §§ 70911–70917 (Pub. L. 117-58); 2 CFR Part 184; and NTIA BABA award terms; 2 CFR 200.322 (Domestic preferences for procurements)) and the Section 889 prohibition (2 CFR 200.216 (Prohibition on certain telecommunications and video surveillance — §889 covered equipment)). Substitutions require approval and re-verification of compliance. </w:t>
      </w:r>
      <w:r>
        <w:rPr>
          <w:b/>
          <w:i w:val="0"/>
          <w:color w:val="7F007F"/>
        </w:rPr>
        <w:t>[GRANT COMPLIANCE REVIEW REQUIRED]</w:t>
      </w:r>
    </w:p>
    <w:p>
      <w:pPr>
        <w:pStyle w:val="Heading1"/>
        <w:spacing w:before="240" w:after="120"/>
      </w:pPr>
      <w:r>
        <w:rPr>
          <w:rFonts w:ascii="Calibri" w:hAnsi="Calibri"/>
          <w:b/>
          <w:color w:val="1F3864"/>
          <w:sz w:val="26"/>
        </w:rPr>
        <w:t>ARTICLE 8.  ESTIMATES, UNIT PRICING, AND MILESTONE PRICING</w:t>
      </w:r>
    </w:p>
    <w:p>
      <w:pPr>
        <w:pStyle w:val="Heading2"/>
        <w:spacing w:before="160" w:after="60"/>
      </w:pPr>
      <w:r>
        <w:rPr>
          <w:rFonts w:ascii="Calibri" w:hAnsi="Calibri"/>
          <w:b/>
          <w:color w:val="000000"/>
          <w:sz w:val="22"/>
        </w:rPr>
        <w:t>8.1  Pricing Basis</w:t>
      </w:r>
    </w:p>
    <w:p>
      <w:r>
        <w:rPr>
          <w:b w:val="0"/>
          <w:i w:val="0"/>
        </w:rPr>
        <w:t xml:space="preserve">Construction pricing, unit prices, milestone payments, retainage, and warranties are set forth in Schedule S5. </w:t>
      </w:r>
      <w:r>
        <w:rPr>
          <w:b w:val="0"/>
          <w:i w:val="0"/>
          <w:color w:val="804000"/>
          <w:highlight w:val="yellow"/>
        </w:rPr>
        <w:t>[■ unit prices, milestone schedule, GMP or unit-price basis — NOT SUPPLIED]</w:t>
      </w:r>
      <w:r>
        <w:rPr>
          <w:b w:val="0"/>
          <w:i w:val="0"/>
        </w:rPr>
        <w:t xml:space="preserve"> </w:t>
      </w:r>
      <w:r>
        <w:rPr>
          <w:b/>
          <w:i w:val="0"/>
          <w:color w:val="C00000"/>
        </w:rPr>
        <w:t>[BUSINESS DECISION REQUIRED]</w:t>
      </w:r>
    </w:p>
    <w:p>
      <w:pPr>
        <w:pStyle w:val="Heading2"/>
        <w:spacing w:before="160" w:after="60"/>
      </w:pPr>
      <w:r>
        <w:rPr>
          <w:rFonts w:ascii="Calibri" w:hAnsi="Calibri"/>
          <w:b/>
          <w:color w:val="000000"/>
          <w:sz w:val="22"/>
        </w:rPr>
        <w:t>8.2  Cost Reasonableness</w:t>
      </w:r>
    </w:p>
    <w:p>
      <w:r>
        <w:rPr>
          <w:b w:val="0"/>
          <w:i w:val="0"/>
        </w:rPr>
        <w:t xml:space="preserve">All prices must be reasonable, allocable, and supportable under the cost principles (2 CFR Part 200, Subpart E (Cost Principles — allowability, allocability, reasonableness)) and the procurement standards (2 CFR 200.317–200.327 (Procurement standards)). </w:t>
      </w:r>
      <w:r>
        <w:rPr>
          <w:b/>
          <w:i w:val="0"/>
          <w:color w:val="7F007F"/>
        </w:rPr>
        <w:t>[GRANT COMPLIANCE REVIEW REQUIRED]</w:t>
      </w:r>
    </w:p>
    <w:p>
      <w:pPr>
        <w:pStyle w:val="Heading1"/>
        <w:spacing w:before="240" w:after="120"/>
      </w:pPr>
      <w:r>
        <w:rPr>
          <w:rFonts w:ascii="Calibri" w:hAnsi="Calibri"/>
          <w:b/>
          <w:color w:val="1F3864"/>
          <w:sz w:val="26"/>
        </w:rPr>
        <w:t>ARTICLE 9.  ELIGIBLE-COST SUPPORT AND PROHIBITION ON DUPLICATE OR UNSUPPORTED CHARGES</w:t>
      </w:r>
    </w:p>
    <w:p>
      <w:pPr>
        <w:pStyle w:val="Heading2"/>
        <w:spacing w:before="160" w:after="60"/>
      </w:pPr>
      <w:r>
        <w:rPr>
          <w:rFonts w:ascii="Calibri" w:hAnsi="Calibri"/>
          <w:b/>
          <w:color w:val="000000"/>
          <w:sz w:val="22"/>
        </w:rPr>
        <w:t>9.1  Support for Eligible Costs</w:t>
      </w:r>
    </w:p>
    <w:p>
      <w:r>
        <w:rPr>
          <w:b w:val="0"/>
          <w:i w:val="0"/>
        </w:rPr>
        <w:t>RIVR Tech will provide documentation sufficient to support eligible costs for reimbursement under the Grant Finance, Reimbursement, Program Income, and Audit Agreement and Schedule S8, consistent with 2 CFR Part 200, Subpart E (Cost Principles — allowability, allocability, reasonableness) and 2 CFR 200.334–200.337 (Record retention and access; three-year retention).</w:t>
      </w:r>
    </w:p>
    <w:p>
      <w:pPr>
        <w:pStyle w:val="Heading2"/>
        <w:spacing w:before="160" w:after="60"/>
      </w:pPr>
      <w:r>
        <w:rPr>
          <w:rFonts w:ascii="Calibri" w:hAnsi="Calibri"/>
          <w:b/>
          <w:color w:val="000000"/>
          <w:sz w:val="22"/>
        </w:rPr>
        <w:t>9.2  No Duplicate or Unsupported Charges</w:t>
      </w:r>
    </w:p>
    <w:p>
      <w:r>
        <w:rPr>
          <w:b w:val="0"/>
          <w:i w:val="0"/>
        </w:rPr>
        <w:t xml:space="preserve">RIVR Tech will not charge to the Award any cost that is duplicated, unsupported, attributable to the RIVR Tech Existing Network or commercial activity, or otherwise unallowable. Costs associated with the RIVR Tech Existing Network are identified, valued, and cost-allocated under Schedule S10 and are never charged to the Award as if grant-funded, and grant-funded capacity is never furnished as free commercial capacity. </w:t>
      </w:r>
      <w:r>
        <w:rPr>
          <w:b/>
          <w:i w:val="0"/>
          <w:color w:val="7F007F"/>
        </w:rPr>
        <w:t>[GRANT COMPLIANCE REVIEW REQUIRED]</w:t>
      </w:r>
    </w:p>
    <w:p>
      <w:pPr>
        <w:pStyle w:val="Heading1"/>
        <w:spacing w:before="240" w:after="120"/>
      </w:pPr>
      <w:r>
        <w:rPr>
          <w:rFonts w:ascii="Calibri" w:hAnsi="Calibri"/>
          <w:b/>
          <w:color w:val="1F3864"/>
          <w:sz w:val="26"/>
        </w:rPr>
        <w:t>ARTICLE 10.  SUBCONTRACTING AND PROCUREMENT FLOW-DOWNS</w:t>
      </w:r>
    </w:p>
    <w:p>
      <w:pPr>
        <w:pStyle w:val="Heading2"/>
        <w:spacing w:before="160" w:after="60"/>
      </w:pPr>
      <w:r>
        <w:rPr>
          <w:rFonts w:ascii="Calibri" w:hAnsi="Calibri"/>
          <w:b/>
          <w:color w:val="000000"/>
          <w:sz w:val="22"/>
        </w:rPr>
        <w:t>10.1  Procurement Standards</w:t>
      </w:r>
    </w:p>
    <w:p>
      <w:r>
        <w:rPr>
          <w:b w:val="0"/>
          <w:i w:val="0"/>
        </w:rPr>
        <w:t xml:space="preserve">All procurement and subcontracting comply with 2 CFR 200.317–200.327 (Procurement standards), including competition (2 CFR 200.319 (Competition)) and methods of procurement (2 CFR 200.320 (Methods of procurement)), and flow down applicable Award and 2 CFR Part 200 requirements to subcontractors. </w:t>
      </w:r>
      <w:r>
        <w:rPr>
          <w:b/>
          <w:i w:val="0"/>
          <w:color w:val="7F007F"/>
        </w:rPr>
        <w:t>[GRANT COMPLIANCE REVIEW REQUIRED]</w:t>
      </w:r>
    </w:p>
    <w:p>
      <w:pPr>
        <w:pStyle w:val="Heading2"/>
        <w:spacing w:before="160" w:after="60"/>
      </w:pPr>
      <w:r>
        <w:rPr>
          <w:rFonts w:ascii="Calibri" w:hAnsi="Calibri"/>
          <w:b/>
          <w:color w:val="000000"/>
          <w:sz w:val="22"/>
        </w:rPr>
        <w:t>10.2  Conflicts and Debarment</w:t>
      </w:r>
    </w:p>
    <w:p>
      <w:r>
        <w:rPr>
          <w:b w:val="0"/>
          <w:i w:val="0"/>
        </w:rPr>
        <w:t>RIVR Tech will manage conflicts of interest (2 CFR 200.318(c) and 2 CFR 200.112 (Conflict of interest), 2 CFR 200.318(c)(1)-(2) (organizational conflict of interest and written standards of conduct)), including its affiliation with LREMC, and will not subcontract to debarred or suspended parties (2 CFR Part 180 and 2 CFR Part 1327 (Governmentwide debarment and suspension — DOC/NTIA adoption)).</w:t>
      </w:r>
    </w:p>
    <w:p>
      <w:pPr>
        <w:pStyle w:val="Heading1"/>
        <w:spacing w:before="240" w:after="120"/>
      </w:pPr>
      <w:r>
        <w:rPr>
          <w:rFonts w:ascii="Calibri" w:hAnsi="Calibri"/>
          <w:b/>
          <w:color w:val="1F3864"/>
          <w:sz w:val="26"/>
        </w:rPr>
        <w:t>ARTICLE 11.  DOMESTIC PREFERENCE AND BUILD AMERICA, BUY AMERICA</w:t>
      </w:r>
    </w:p>
    <w:p>
      <w:pPr>
        <w:pStyle w:val="Heading2"/>
        <w:spacing w:before="160" w:after="60"/>
      </w:pPr>
      <w:r>
        <w:rPr>
          <w:rFonts w:ascii="Calibri" w:hAnsi="Calibri"/>
          <w:b/>
          <w:color w:val="000000"/>
          <w:sz w:val="22"/>
        </w:rPr>
        <w:t>11.1  BABA Compliance</w:t>
      </w:r>
    </w:p>
    <w:p>
      <w:r>
        <w:rPr>
          <w:b w:val="0"/>
          <w:i w:val="0"/>
        </w:rPr>
        <w:t xml:space="preserve">All iron, steel, manufactured products, and construction materials comply with the Build America, Buy America Act, IIJA §§ 70911–70917 (Pub. L. 117-58); 2 CFR Part 184; and NTIA BABA award terms and domestic-preference requirements (2 CFR 200.322 (Domestic preferences for procurements)), unless a valid waiver applies. </w:t>
      </w:r>
      <w:r>
        <w:rPr>
          <w:b w:val="0"/>
          <w:i w:val="0"/>
          <w:color w:val="804000"/>
          <w:highlight w:val="yellow"/>
        </w:rPr>
        <w:t>[■ applicable BABA waivers, if any]</w:t>
      </w:r>
      <w:r>
        <w:rPr>
          <w:b w:val="0"/>
          <w:i w:val="0"/>
        </w:rPr>
        <w:t xml:space="preserve"> </w:t>
      </w:r>
      <w:r>
        <w:rPr>
          <w:b/>
          <w:i w:val="0"/>
          <w:color w:val="7F007F"/>
        </w:rPr>
        <w:t>[GRANT COMPLIANCE REVIEW REQUIRED]</w:t>
      </w:r>
    </w:p>
    <w:p>
      <w:pPr>
        <w:pStyle w:val="Heading1"/>
        <w:spacing w:before="240" w:after="120"/>
      </w:pPr>
      <w:r>
        <w:rPr>
          <w:rFonts w:ascii="Calibri" w:hAnsi="Calibri"/>
          <w:b/>
          <w:color w:val="1F3864"/>
          <w:sz w:val="26"/>
        </w:rPr>
        <w:t>ARTICLE 12.  PROHIBITED TELECOMMUNICATIONS AND VIDEO SURVEILLANCE EQUIPMENT</w:t>
      </w:r>
    </w:p>
    <w:p>
      <w:pPr>
        <w:pStyle w:val="Heading2"/>
        <w:spacing w:before="160" w:after="60"/>
      </w:pPr>
      <w:r>
        <w:rPr>
          <w:rFonts w:ascii="Calibri" w:hAnsi="Calibri"/>
          <w:b/>
          <w:color w:val="000000"/>
          <w:sz w:val="22"/>
        </w:rPr>
        <w:t>12.1  Section 889 Prohibition</w:t>
      </w:r>
    </w:p>
    <w:p>
      <w:r>
        <w:rPr>
          <w:b w:val="0"/>
          <w:i w:val="0"/>
        </w:rPr>
        <w:t xml:space="preserve">No covered telecommunications equipment or services (Section 889) may be procured, used, or extended, consistent with 2 CFR 200.216 (Prohibition on certain telecommunications and video surveillance — §889 covered equipment). RIVR Tech will represent and certify compliance and flow the prohibition down. </w:t>
      </w:r>
      <w:r>
        <w:rPr>
          <w:b/>
          <w:i w:val="0"/>
          <w:color w:val="7F007F"/>
        </w:rPr>
        <w:t>[GRANT COMPLIANCE REVIEW REQUIRED]</w:t>
      </w:r>
    </w:p>
    <w:p>
      <w:pPr>
        <w:pStyle w:val="Heading1"/>
        <w:spacing w:before="240" w:after="120"/>
      </w:pPr>
      <w:r>
        <w:rPr>
          <w:rFonts w:ascii="Calibri" w:hAnsi="Calibri"/>
          <w:b/>
          <w:color w:val="1F3864"/>
          <w:sz w:val="26"/>
        </w:rPr>
        <w:t>ARTICLE 13.  ENVIRONMENTAL AND HISTORIC-PRESERVATION CLEARANCES</w:t>
      </w:r>
    </w:p>
    <w:p>
      <w:pPr>
        <w:pStyle w:val="Heading2"/>
        <w:spacing w:before="160" w:after="60"/>
      </w:pPr>
      <w:r>
        <w:rPr>
          <w:rFonts w:ascii="Calibri" w:hAnsi="Calibri"/>
          <w:b/>
          <w:color w:val="000000"/>
          <w:sz w:val="22"/>
        </w:rPr>
        <w:t>13.1  Clearances Before Ground Disturbance</w:t>
      </w:r>
    </w:p>
    <w:p>
      <w:r>
        <w:rPr>
          <w:b w:val="0"/>
          <w:i w:val="0"/>
        </w:rPr>
        <w:t xml:space="preserve">No ground-disturbing activity may occur on a Segment until required environmental and historic-preservation reviews and clearances under National Environmental Policy Act (NEPA), 42 U.S.C. § 4321 et seq., and DOC/NTIA implementing procedures and National Historic Preservation Act § 106, 54 U.S.C. § 306108 (36 CFR Part 800) are completed for that Segment. </w:t>
      </w:r>
      <w:r>
        <w:rPr>
          <w:b/>
          <w:i w:val="0"/>
          <w:color w:val="7F007F"/>
        </w:rPr>
        <w:t>[GRANT COMPLIANCE REVIEW REQUIRED]</w:t>
      </w:r>
    </w:p>
    <w:p>
      <w:pPr>
        <w:pStyle w:val="Heading2"/>
        <w:spacing w:before="160" w:after="60"/>
      </w:pPr>
      <w:r>
        <w:rPr>
          <w:rFonts w:ascii="Calibri" w:hAnsi="Calibri"/>
          <w:b/>
          <w:color w:val="000000"/>
          <w:sz w:val="22"/>
        </w:rPr>
        <w:t>13.2  Unanticipated Discoveries</w:t>
      </w:r>
    </w:p>
    <w:p>
      <w:r>
        <w:rPr>
          <w:b w:val="0"/>
          <w:i w:val="0"/>
        </w:rPr>
        <w:t xml:space="preserve">RIVR Tech will implement stop-work and notification procedures for unanticipated archaeological or historic discoveries, consistent with National Historic Preservation Act § 106, 54 U.S.C. § 306108 (36 CFR Part 800) and any tribal-monitoring requirements. </w:t>
      </w:r>
      <w:r>
        <w:rPr>
          <w:b w:val="0"/>
          <w:i w:val="0"/>
          <w:color w:val="804000"/>
          <w:highlight w:val="yellow"/>
        </w:rPr>
        <w:t>[■ unanticipated-discovery and monitoring protocol]</w:t>
      </w:r>
      <w:r>
        <w:rPr>
          <w:b w:val="0"/>
          <w:i w:val="0"/>
        </w:rPr>
        <w:t xml:space="preserve"> </w:t>
      </w:r>
      <w:r>
        <w:rPr>
          <w:b/>
          <w:i w:val="0"/>
          <w:color w:val="0000C0"/>
        </w:rPr>
        <w:t>[ATTORNEY REVIEW REQUIRED]</w:t>
      </w:r>
    </w:p>
    <w:p>
      <w:pPr>
        <w:pStyle w:val="Heading1"/>
        <w:spacing w:before="240" w:after="120"/>
      </w:pPr>
      <w:r>
        <w:rPr>
          <w:rFonts w:ascii="Calibri" w:hAnsi="Calibri"/>
          <w:b/>
          <w:color w:val="1F3864"/>
          <w:sz w:val="26"/>
        </w:rPr>
        <w:t>ARTICLE 14.  PERMITS AND AUTHORIZATIONS</w:t>
      </w:r>
    </w:p>
    <w:p>
      <w:pPr>
        <w:pStyle w:val="Heading2"/>
        <w:spacing w:before="160" w:after="60"/>
      </w:pPr>
      <w:r>
        <w:rPr>
          <w:rFonts w:ascii="Calibri" w:hAnsi="Calibri"/>
          <w:b/>
          <w:color w:val="000000"/>
          <w:sz w:val="22"/>
        </w:rPr>
        <w:t>14.1  Permits</w:t>
      </w:r>
    </w:p>
    <w:p>
      <w:r>
        <w:rPr>
          <w:b w:val="0"/>
          <w:i w:val="0"/>
        </w:rPr>
        <w:t xml:space="preserve">RIVR Tech will obtain and maintain all required permits and authorizations for each Segment (Schedule S9; Schedule S14), including any pole-attachment (N.C. Gen. Stat. § 62-350 (broadband attachment to utility poles)), encroachment/ROW (N.C. Gen. Stat. § 136-18 and NCDOT utility accommodation policy (encroachment/ROW in NCDOT corridors)), and utility-locate (N.C. Gen. Stat. Ch. 87, Art. 8A (Underground Utility Safety and Damage Prevention Act / 811 locates)) requirements, and any approvals for trust/restricted land (25 CFR Part 169 (rights-of-way over Indian land) — where trust/restricted land is crossed, 25 U.S.C. §§ 415, 81 and 25 CFR Parts 162/169 (BIA approval of certain leases/ROW/contracts on Indian land)). </w:t>
      </w:r>
      <w:r>
        <w:rPr>
          <w:b/>
          <w:i w:val="0"/>
          <w:color w:val="0000C0"/>
        </w:rPr>
        <w:t>[ATTORNEY REVIEW REQUIRED]</w:t>
      </w:r>
    </w:p>
    <w:p>
      <w:pPr>
        <w:pStyle w:val="Heading1"/>
        <w:spacing w:before="240" w:after="120"/>
      </w:pPr>
      <w:r>
        <w:rPr>
          <w:rFonts w:ascii="Calibri" w:hAnsi="Calibri"/>
          <w:b/>
          <w:color w:val="1F3864"/>
          <w:sz w:val="26"/>
        </w:rPr>
        <w:t>ARTICLE 15.  SAFETY</w:t>
      </w:r>
    </w:p>
    <w:p>
      <w:pPr>
        <w:pStyle w:val="Heading2"/>
        <w:spacing w:before="160" w:after="60"/>
      </w:pPr>
      <w:r>
        <w:rPr>
          <w:rFonts w:ascii="Calibri" w:hAnsi="Calibri"/>
          <w:b/>
          <w:color w:val="000000"/>
          <w:sz w:val="22"/>
        </w:rPr>
        <w:t>15.1  Safety Program</w:t>
      </w:r>
    </w:p>
    <w:p>
      <w:r>
        <w:rPr>
          <w:b w:val="0"/>
          <w:i w:val="0"/>
        </w:rPr>
        <w:t xml:space="preserve">RIVR Tech will maintain a safety program compliant with applicable OSHA and utility-safety requirements, including underground-utility damage prevention (N.C. Gen. Stat. Ch. 87, Art. 8A (Underground Utility Safety and Damage Prevention Act / 811 locates)), and coordinate with LREMC for work in the vicinity of LREMC Facilities and energized facilities. </w:t>
      </w:r>
      <w:r>
        <w:rPr>
          <w:b/>
          <w:i w:val="0"/>
          <w:color w:val="007000"/>
        </w:rPr>
        <w:t>[TECHNICAL INFORMATION REQUIRED]</w:t>
      </w:r>
    </w:p>
    <w:p>
      <w:pPr>
        <w:pStyle w:val="Heading1"/>
        <w:spacing w:before="240" w:after="120"/>
      </w:pPr>
      <w:r>
        <w:rPr>
          <w:rFonts w:ascii="Calibri" w:hAnsi="Calibri"/>
          <w:b/>
          <w:color w:val="1F3864"/>
          <w:sz w:val="26"/>
        </w:rPr>
        <w:t>ARTICLE 16.  SCHEDULE AND MILESTONES</w:t>
      </w:r>
    </w:p>
    <w:p>
      <w:pPr>
        <w:pStyle w:val="Heading2"/>
        <w:spacing w:before="160" w:after="60"/>
      </w:pPr>
      <w:r>
        <w:rPr>
          <w:rFonts w:ascii="Calibri" w:hAnsi="Calibri"/>
          <w:b/>
          <w:color w:val="000000"/>
          <w:sz w:val="22"/>
        </w:rPr>
        <w:t>16.1  Project Schedule</w:t>
      </w:r>
    </w:p>
    <w:p>
      <w:r>
        <w:rPr>
          <w:b w:val="0"/>
          <w:i w:val="0"/>
        </w:rPr>
        <w:t xml:space="preserve">RIVR Tech will perform in accordance with the schedule and milestones in Schedule S2, including the Award's service-commitment and buildout deadlines. </w:t>
      </w:r>
      <w:r>
        <w:rPr>
          <w:b w:val="0"/>
          <w:i w:val="0"/>
          <w:color w:val="804000"/>
          <w:highlight w:val="yellow"/>
        </w:rPr>
        <w:t>[■ milestone dates and buildout deadlines — per the Award]</w:t>
      </w:r>
      <w:r>
        <w:rPr>
          <w:b w:val="0"/>
          <w:i w:val="0"/>
        </w:rPr>
        <w:t xml:space="preserve"> </w:t>
      </w:r>
      <w:r>
        <w:rPr>
          <w:b/>
          <w:i w:val="0"/>
          <w:color w:val="7F007F"/>
        </w:rPr>
        <w:t>[GRANT COMPLIANCE REVIEW REQUIRED]</w:t>
      </w:r>
    </w:p>
    <w:p>
      <w:pPr>
        <w:pStyle w:val="Heading1"/>
        <w:spacing w:before="240" w:after="120"/>
      </w:pPr>
      <w:r>
        <w:rPr>
          <w:rFonts w:ascii="Calibri" w:hAnsi="Calibri"/>
          <w:b/>
          <w:color w:val="1F3864"/>
          <w:sz w:val="26"/>
        </w:rPr>
        <w:t>ARTICLE 17.  DELAY</w:t>
      </w:r>
    </w:p>
    <w:p>
      <w:pPr>
        <w:pStyle w:val="Heading2"/>
        <w:spacing w:before="160" w:after="60"/>
      </w:pPr>
      <w:r>
        <w:rPr>
          <w:rFonts w:ascii="Calibri" w:hAnsi="Calibri"/>
          <w:b/>
          <w:color w:val="000000"/>
          <w:sz w:val="22"/>
        </w:rPr>
        <w:t>17.1  Excusable and Non-Excusable Delay</w:t>
      </w:r>
    </w:p>
    <w:p>
      <w:r>
        <w:rPr>
          <w:b w:val="0"/>
          <w:i w:val="0"/>
        </w:rPr>
        <w:t xml:space="preserve">Excusable delay (including force majeure per Master Article 19 and Owner-caused delay) entitles RIVR Tech to an equitable time extension; non-excusable delay may entitle the Lumbee Tribe to remedies under Schedule S5. </w:t>
      </w:r>
      <w:r>
        <w:rPr>
          <w:b w:val="0"/>
          <w:i w:val="0"/>
          <w:color w:val="804000"/>
          <w:highlight w:val="yellow"/>
        </w:rPr>
        <w:t>[■ liquidated damages or delay remedies, if any]</w:t>
      </w:r>
      <w:r>
        <w:rPr>
          <w:b w:val="0"/>
          <w:i w:val="0"/>
        </w:rPr>
        <w:t xml:space="preserve"> </w:t>
      </w:r>
      <w:r>
        <w:rPr>
          <w:b/>
          <w:i w:val="0"/>
          <w:color w:val="C00000"/>
        </w:rPr>
        <w:t>[BUSINESS DECISION REQUIRED]</w:t>
      </w:r>
    </w:p>
    <w:p>
      <w:pPr>
        <w:pStyle w:val="Heading1"/>
        <w:spacing w:before="240" w:after="120"/>
      </w:pPr>
      <w:r>
        <w:rPr>
          <w:rFonts w:ascii="Calibri" w:hAnsi="Calibri"/>
          <w:b/>
          <w:color w:val="1F3864"/>
          <w:sz w:val="26"/>
        </w:rPr>
        <w:t>ARTICLE 18.  CHANGE ORDERS</w:t>
      </w:r>
    </w:p>
    <w:p>
      <w:pPr>
        <w:pStyle w:val="Heading2"/>
        <w:spacing w:before="160" w:after="60"/>
      </w:pPr>
      <w:r>
        <w:rPr>
          <w:rFonts w:ascii="Calibri" w:hAnsi="Calibri"/>
          <w:b/>
          <w:color w:val="000000"/>
          <w:sz w:val="22"/>
        </w:rPr>
        <w:t>18.1  Change Order Process</w:t>
      </w:r>
    </w:p>
    <w:p>
      <w:r>
        <w:rPr>
          <w:b w:val="0"/>
          <w:i w:val="0"/>
        </w:rPr>
        <w:t xml:space="preserve">Changes to scope, price, or schedule are made only by written change order using the Construction Forms in Document 04, consistent with the change-control provisions of the Master TBCP Partnership and Implementation Agreement (Master Article 13). Changes affecting the Award, routes, or Approved Project Area require the Lumbee Tribe's reserved-decision approval and any NTIA/DOC approval. </w:t>
      </w:r>
      <w:r>
        <w:rPr>
          <w:b/>
          <w:i w:val="0"/>
          <w:color w:val="7F007F"/>
        </w:rPr>
        <w:t>[GRANT COMPLIANCE REVIEW REQUIRED]</w:t>
      </w:r>
    </w:p>
    <w:p>
      <w:pPr>
        <w:pStyle w:val="Heading2"/>
        <w:spacing w:before="160" w:after="60"/>
      </w:pPr>
      <w:r>
        <w:rPr>
          <w:rFonts w:ascii="Calibri" w:hAnsi="Calibri"/>
          <w:b/>
          <w:color w:val="000000"/>
          <w:sz w:val="22"/>
        </w:rPr>
        <w:t>18.2  No Payment for Unauthorized Changes</w:t>
      </w:r>
    </w:p>
    <w:p>
      <w:r>
        <w:rPr>
          <w:b w:val="0"/>
          <w:i w:val="0"/>
        </w:rPr>
        <w:t>No cost arising from an unauthorized change is payable or allowable.</w:t>
      </w:r>
    </w:p>
    <w:p>
      <w:pPr>
        <w:pStyle w:val="Heading1"/>
        <w:spacing w:before="240" w:after="120"/>
      </w:pPr>
      <w:r>
        <w:rPr>
          <w:rFonts w:ascii="Calibri" w:hAnsi="Calibri"/>
          <w:b/>
          <w:color w:val="1F3864"/>
          <w:sz w:val="26"/>
        </w:rPr>
        <w:t>ARTICLE 19.  MATERIAL CONTROLS AND STORED MATERIALS</w:t>
      </w:r>
    </w:p>
    <w:p>
      <w:pPr>
        <w:pStyle w:val="Heading2"/>
        <w:spacing w:before="160" w:after="60"/>
      </w:pPr>
      <w:r>
        <w:rPr>
          <w:rFonts w:ascii="Calibri" w:hAnsi="Calibri"/>
          <w:b/>
          <w:color w:val="000000"/>
          <w:sz w:val="22"/>
        </w:rPr>
        <w:t>19.1  Custody and Title</w:t>
      </w:r>
    </w:p>
    <w:p>
      <w:r>
        <w:rPr>
          <w:b w:val="0"/>
          <w:i w:val="0"/>
        </w:rPr>
        <w:t xml:space="preserve">RIVR Tech will maintain inventory and custody controls for materials, including stored materials. Title to Award-funded materials vests in the Lumbee Tribe upon the earlier of payment or incorporation into the Grant-Funded Assets, free of liens (Master Article 9). </w:t>
      </w:r>
      <w:r>
        <w:rPr>
          <w:b w:val="0"/>
          <w:i w:val="0"/>
          <w:color w:val="804000"/>
          <w:highlight w:val="yellow"/>
        </w:rPr>
        <w:t>[■ stored-materials payment and insurance conditions]</w:t>
      </w:r>
      <w:r>
        <w:rPr>
          <w:b w:val="0"/>
          <w:i w:val="0"/>
        </w:rPr>
        <w:t xml:space="preserve"> </w:t>
      </w:r>
      <w:r>
        <w:rPr>
          <w:b/>
          <w:i w:val="0"/>
          <w:color w:val="0000C0"/>
        </w:rPr>
        <w:t>[ATTORNEY REVIEW REQUIRED]</w:t>
      </w:r>
    </w:p>
    <w:p>
      <w:pPr>
        <w:pStyle w:val="Heading1"/>
        <w:spacing w:before="240" w:after="120"/>
      </w:pPr>
      <w:r>
        <w:rPr>
          <w:rFonts w:ascii="Calibri" w:hAnsi="Calibri"/>
          <w:b/>
          <w:color w:val="1F3864"/>
          <w:sz w:val="26"/>
        </w:rPr>
        <w:t>ARTICLE 20.  INSPECTION</w:t>
      </w:r>
    </w:p>
    <w:p>
      <w:pPr>
        <w:pStyle w:val="Heading2"/>
        <w:spacing w:before="160" w:after="60"/>
      </w:pPr>
      <w:r>
        <w:rPr>
          <w:rFonts w:ascii="Calibri" w:hAnsi="Calibri"/>
          <w:b/>
          <w:color w:val="000000"/>
          <w:sz w:val="22"/>
        </w:rPr>
        <w:t>20.1  Right to Inspect</w:t>
      </w:r>
    </w:p>
    <w:p>
      <w:r>
        <w:rPr>
          <w:b w:val="0"/>
          <w:i w:val="0"/>
        </w:rPr>
        <w:t>The Lumbee Tribe, NTIA/DOC, and their representatives may inspect the work and records at reasonable times (2 CFR 200.334–200.337 (Record retention and access; three-year retention)); inspection does not relieve RIVR Tech of responsibility for compliant work.</w:t>
      </w:r>
    </w:p>
    <w:p>
      <w:pPr>
        <w:pStyle w:val="Heading1"/>
        <w:spacing w:before="240" w:after="120"/>
      </w:pPr>
      <w:r>
        <w:rPr>
          <w:rFonts w:ascii="Calibri" w:hAnsi="Calibri"/>
          <w:b/>
          <w:color w:val="1F3864"/>
          <w:sz w:val="26"/>
        </w:rPr>
        <w:t>ARTICLE 21.  TESTING AND OPTICAL ACCEPTANCE</w:t>
      </w:r>
    </w:p>
    <w:p>
      <w:pPr>
        <w:pStyle w:val="Heading2"/>
        <w:spacing w:before="160" w:after="60"/>
      </w:pPr>
      <w:r>
        <w:rPr>
          <w:rFonts w:ascii="Calibri" w:hAnsi="Calibri"/>
          <w:b/>
          <w:color w:val="000000"/>
          <w:sz w:val="22"/>
        </w:rPr>
        <w:t>21.1  Optical Testing</w:t>
      </w:r>
    </w:p>
    <w:p>
      <w:r>
        <w:rPr>
          <w:b w:val="0"/>
          <w:i w:val="0"/>
        </w:rPr>
        <w:t>Each Segment is tested using bi-directional OTDR at 1310 nm and 1550 nm, with results meeting the following loss and reflectance limits:</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F3864"/>
            <w:vAlign w:val="center"/>
          </w:tcPr>
          <w:p>
            <w:pPr>
              <w:jc w:val="center"/>
            </w:pPr>
            <w:r>
              <w:rPr>
                <w:b/>
                <w:color w:val="FFFFFF"/>
                <w:sz w:val="18"/>
              </w:rPr>
              <w:t>Parameter</w:t>
            </w:r>
          </w:p>
        </w:tc>
        <w:tc>
          <w:tcPr>
            <w:tcW w:type="dxa" w:w="6048"/>
            <w:shd w:val="clear" w:color="auto" w:fill="1F3864"/>
            <w:vAlign w:val="center"/>
          </w:tcPr>
          <w:p>
            <w:pPr>
              <w:jc w:val="center"/>
            </w:pPr>
            <w:r>
              <w:rPr>
                <w:b/>
                <w:color w:val="FFFFFF"/>
                <w:sz w:val="18"/>
              </w:rPr>
              <w:t>Acceptance Limit</w:t>
            </w:r>
          </w:p>
        </w:tc>
      </w:tr>
      <w:tr>
        <w:tc>
          <w:tcPr>
            <w:tcW w:type="dxa" w:w="3312"/>
            <w:vAlign w:val="center"/>
          </w:tcPr>
          <w:p>
            <w:r>
              <w:rPr>
                <w:b w:val="0"/>
                <w:i w:val="0"/>
                <w:sz w:val="18"/>
              </w:rPr>
              <w:t>Test method</w:t>
            </w:r>
          </w:p>
        </w:tc>
        <w:tc>
          <w:tcPr>
            <w:tcW w:type="dxa" w:w="6048"/>
            <w:vAlign w:val="center"/>
          </w:tcPr>
          <w:p>
            <w:r>
              <w:rPr>
                <w:b w:val="0"/>
                <w:i w:val="0"/>
                <w:sz w:val="18"/>
              </w:rPr>
              <w:t>bi-directional OTDR at 1310 nm and 1550 nm</w:t>
            </w:r>
          </w:p>
        </w:tc>
      </w:tr>
      <w:tr>
        <w:tc>
          <w:tcPr>
            <w:tcW w:type="dxa" w:w="3312"/>
            <w:shd w:val="clear" w:color="auto" w:fill="F2F2F2"/>
            <w:vAlign w:val="center"/>
          </w:tcPr>
          <w:p>
            <w:r>
              <w:rPr>
                <w:b w:val="0"/>
                <w:i w:val="0"/>
                <w:sz w:val="18"/>
              </w:rPr>
              <w:t>Fusion splice loss</w:t>
            </w:r>
          </w:p>
        </w:tc>
        <w:tc>
          <w:tcPr>
            <w:tcW w:type="dxa" w:w="6048"/>
            <w:shd w:val="clear" w:color="auto" w:fill="F2F2F2"/>
            <w:vAlign w:val="center"/>
          </w:tcPr>
          <w:p>
            <w:r>
              <w:rPr>
                <w:b w:val="0"/>
                <w:i w:val="0"/>
                <w:sz w:val="18"/>
              </w:rPr>
              <w:t>0.10 dB (average) / 0.30 dB (maximum) per fusion splice</w:t>
            </w:r>
          </w:p>
        </w:tc>
      </w:tr>
      <w:tr>
        <w:tc>
          <w:tcPr>
            <w:tcW w:type="dxa" w:w="3312"/>
            <w:vAlign w:val="center"/>
          </w:tcPr>
          <w:p>
            <w:r>
              <w:rPr>
                <w:b w:val="0"/>
                <w:i w:val="0"/>
                <w:sz w:val="18"/>
              </w:rPr>
              <w:t>Mated connector loss</w:t>
            </w:r>
          </w:p>
        </w:tc>
        <w:tc>
          <w:tcPr>
            <w:tcW w:type="dxa" w:w="6048"/>
            <w:vAlign w:val="center"/>
          </w:tcPr>
          <w:p>
            <w:r>
              <w:rPr>
                <w:b w:val="0"/>
                <w:i w:val="0"/>
                <w:sz w:val="18"/>
              </w:rPr>
              <w:t>0.50 dB per mated connector pair</w:t>
            </w:r>
          </w:p>
        </w:tc>
      </w:tr>
      <w:tr>
        <w:tc>
          <w:tcPr>
            <w:tcW w:type="dxa" w:w="3312"/>
            <w:shd w:val="clear" w:color="auto" w:fill="F2F2F2"/>
            <w:vAlign w:val="center"/>
          </w:tcPr>
          <w:p>
            <w:r>
              <w:rPr>
                <w:b w:val="0"/>
                <w:i w:val="0"/>
                <w:sz w:val="18"/>
              </w:rPr>
              <w:t>Span loss budget</w:t>
            </w:r>
          </w:p>
        </w:tc>
        <w:tc>
          <w:tcPr>
            <w:tcW w:type="dxa" w:w="6048"/>
            <w:shd w:val="clear" w:color="auto" w:fill="F2F2F2"/>
            <w:vAlign w:val="center"/>
          </w:tcPr>
          <w:p>
            <w:r>
              <w:rPr>
                <w:b w:val="0"/>
                <w:i w:val="0"/>
                <w:sz w:val="18"/>
              </w:rPr>
              <w:t>consistent with the span-loss budget calculated at 0.35 dB/km at 1310 nm and 0.25 dB/km at 1550 nm, plus splice and connector losses</w:t>
            </w:r>
          </w:p>
        </w:tc>
      </w:tr>
      <w:tr>
        <w:tc>
          <w:tcPr>
            <w:tcW w:type="dxa" w:w="3312"/>
            <w:vAlign w:val="center"/>
          </w:tcPr>
          <w:p>
            <w:r>
              <w:rPr>
                <w:b w:val="0"/>
                <w:i w:val="0"/>
                <w:sz w:val="18"/>
              </w:rPr>
              <w:t>Reflectance (max)</w:t>
            </w:r>
          </w:p>
        </w:tc>
        <w:tc>
          <w:tcPr>
            <w:tcW w:type="dxa" w:w="6048"/>
            <w:vAlign w:val="center"/>
          </w:tcPr>
          <w:p>
            <w:r>
              <w:rPr>
                <w:b w:val="0"/>
                <w:i w:val="0"/>
                <w:sz w:val="18"/>
              </w:rPr>
              <w:t>-40 dB (UPC) / -55 dB (APC)</w:t>
            </w:r>
          </w:p>
        </w:tc>
      </w:tr>
    </w:tbl>
    <w:p>
      <w:pPr>
        <w:pStyle w:val="Heading2"/>
        <w:spacing w:before="160" w:after="60"/>
      </w:pPr>
      <w:r>
        <w:rPr>
          <w:rFonts w:ascii="Calibri" w:hAnsi="Calibri"/>
          <w:b/>
          <w:color w:val="000000"/>
          <w:sz w:val="22"/>
        </w:rPr>
        <w:t>21.2  Test Records</w:t>
      </w:r>
    </w:p>
    <w:p>
      <w:r>
        <w:rPr>
          <w:b w:val="0"/>
          <w:i w:val="0"/>
        </w:rPr>
        <w:t xml:space="preserve">Bi-directional OTDR traces, power-meter readings, and test records are delivered as part of the acceptance package and as-builts (Article 25). </w:t>
      </w:r>
      <w:r>
        <w:rPr>
          <w:b/>
          <w:i w:val="0"/>
          <w:color w:val="007000"/>
        </w:rPr>
        <w:t>[TECHNICAL INFORMATION REQUIRED]</w:t>
      </w:r>
    </w:p>
    <w:p>
      <w:pPr>
        <w:pStyle w:val="Heading1"/>
        <w:spacing w:before="240" w:after="120"/>
      </w:pPr>
      <w:r>
        <w:rPr>
          <w:rFonts w:ascii="Calibri" w:hAnsi="Calibri"/>
          <w:b/>
          <w:color w:val="1F3864"/>
          <w:sz w:val="26"/>
        </w:rPr>
        <w:t>ARTICLE 22.  PUNCH LISTS</w:t>
      </w:r>
    </w:p>
    <w:p>
      <w:pPr>
        <w:pStyle w:val="Heading2"/>
        <w:spacing w:before="160" w:after="60"/>
      </w:pPr>
      <w:r>
        <w:rPr>
          <w:rFonts w:ascii="Calibri" w:hAnsi="Calibri"/>
          <w:b/>
          <w:color w:val="000000"/>
          <w:sz w:val="22"/>
        </w:rPr>
        <w:t>22.1  Punch-List Procedure</w:t>
      </w:r>
    </w:p>
    <w:p>
      <w:r>
        <w:rPr>
          <w:b w:val="0"/>
          <w:i w:val="0"/>
        </w:rPr>
        <w:t>At Substantial Completion, the Parties develop a punch list; punch-list items are completed before Final Completion and Segment Acceptance.</w:t>
      </w:r>
    </w:p>
    <w:p>
      <w:pPr>
        <w:pStyle w:val="Heading1"/>
        <w:spacing w:before="240" w:after="120"/>
      </w:pPr>
      <w:r>
        <w:rPr>
          <w:rFonts w:ascii="Calibri" w:hAnsi="Calibri"/>
          <w:b/>
          <w:color w:val="1F3864"/>
          <w:sz w:val="26"/>
        </w:rPr>
        <w:t>ARTICLE 23.  SUBSTANTIAL AND FINAL COMPLETION</w:t>
      </w:r>
    </w:p>
    <w:p>
      <w:pPr>
        <w:pStyle w:val="Heading2"/>
        <w:spacing w:before="160" w:after="60"/>
      </w:pPr>
      <w:r>
        <w:rPr>
          <w:rFonts w:ascii="Calibri" w:hAnsi="Calibri"/>
          <w:b/>
          <w:color w:val="000000"/>
          <w:sz w:val="22"/>
        </w:rPr>
        <w:t>23.1  Substantial Completion</w:t>
      </w:r>
    </w:p>
    <w:p>
      <w:r>
        <w:rPr>
          <w:b w:val="0"/>
          <w:i w:val="0"/>
        </w:rPr>
        <w:t>Substantial Completion is certified when a Segment is usable for its intended purpose, subject only to punch-list items.</w:t>
      </w:r>
    </w:p>
    <w:p>
      <w:pPr>
        <w:pStyle w:val="Heading2"/>
        <w:spacing w:before="160" w:after="60"/>
      </w:pPr>
      <w:r>
        <w:rPr>
          <w:rFonts w:ascii="Calibri" w:hAnsi="Calibri"/>
          <w:b/>
          <w:color w:val="000000"/>
          <w:sz w:val="22"/>
        </w:rPr>
        <w:t>23.2  Final Completion</w:t>
      </w:r>
    </w:p>
    <w:p>
      <w:r>
        <w:rPr>
          <w:b w:val="0"/>
          <w:i w:val="0"/>
        </w:rPr>
        <w:t>Final Completion is certified when all work, punch-list items, as-builts, test records, and required documentation are complete and accepted.</w:t>
      </w:r>
    </w:p>
    <w:p>
      <w:pPr>
        <w:pStyle w:val="Heading1"/>
        <w:spacing w:before="240" w:after="120"/>
      </w:pPr>
      <w:r>
        <w:rPr>
          <w:rFonts w:ascii="Calibri" w:hAnsi="Calibri"/>
          <w:b/>
          <w:color w:val="1F3864"/>
          <w:sz w:val="26"/>
        </w:rPr>
        <w:t>ARTICLE 24.  SEGMENT ACCEPTANCE</w:t>
      </w:r>
    </w:p>
    <w:p>
      <w:pPr>
        <w:pStyle w:val="Heading2"/>
        <w:spacing w:before="160" w:after="60"/>
      </w:pPr>
      <w:r>
        <w:rPr>
          <w:rFonts w:ascii="Calibri" w:hAnsi="Calibri"/>
          <w:b/>
          <w:color w:val="000000"/>
          <w:sz w:val="22"/>
        </w:rPr>
        <w:t>24.1  Acceptance and Its Effects</w:t>
      </w:r>
    </w:p>
    <w:p>
      <w:r>
        <w:rPr>
          <w:b w:val="0"/>
          <w:i w:val="0"/>
        </w:rPr>
        <w:t xml:space="preserve">Upon Final Completion and satisfaction of acceptance criteria, the Lumbee Tribe issues Segment Acceptance for the Segment. Segment Acceptance (a) commences the 20-year Term for that Segment (Master Article 23); and (b) activates the IRU for that Segment under the Indefeasible Right of Use and Network Access Agreement, using the Segment Activation Certificate in Document 04. </w:t>
      </w:r>
      <w:r>
        <w:rPr>
          <w:b/>
          <w:i w:val="0"/>
          <w:color w:val="7F007F"/>
        </w:rPr>
        <w:t>[GRANT COMPLIANCE REVIEW REQUIRED]</w:t>
      </w:r>
    </w:p>
    <w:p>
      <w:pPr>
        <w:pStyle w:val="Heading2"/>
        <w:spacing w:before="160" w:after="60"/>
      </w:pPr>
      <w:r>
        <w:rPr>
          <w:rFonts w:ascii="Calibri" w:hAnsi="Calibri"/>
          <w:b/>
          <w:color w:val="000000"/>
          <w:sz w:val="22"/>
        </w:rPr>
        <w:t>24.2  No Activation Before Acceptance</w:t>
      </w:r>
    </w:p>
    <w:p>
      <w:r>
        <w:rPr>
          <w:b w:val="0"/>
          <w:i w:val="0"/>
        </w:rPr>
        <w:t>No IRU activation or service activation for a Segment may occur before Segment Acceptance and satisfaction of all applicable conditions precedent (Master Article 10).</w:t>
      </w:r>
    </w:p>
    <w:p>
      <w:pPr>
        <w:pStyle w:val="Heading1"/>
        <w:spacing w:before="240" w:after="120"/>
      </w:pPr>
      <w:r>
        <w:rPr>
          <w:rFonts w:ascii="Calibri" w:hAnsi="Calibri"/>
          <w:b/>
          <w:color w:val="1F3864"/>
          <w:sz w:val="26"/>
        </w:rPr>
        <w:t>ARTICLE 25.  AS-BUILTS AND GIS RECORDS</w:t>
      </w:r>
    </w:p>
    <w:p>
      <w:pPr>
        <w:pStyle w:val="Heading2"/>
        <w:spacing w:before="160" w:after="60"/>
      </w:pPr>
      <w:r>
        <w:rPr>
          <w:rFonts w:ascii="Calibri" w:hAnsi="Calibri"/>
          <w:b/>
          <w:color w:val="000000"/>
          <w:sz w:val="22"/>
        </w:rPr>
        <w:t>25.1  As-Built Deliverables</w:t>
      </w:r>
    </w:p>
    <w:p>
      <w:r>
        <w:rPr>
          <w:b w:val="0"/>
          <w:i w:val="0"/>
        </w:rPr>
        <w:t xml:space="preserve">RIVR Tech will deliver as-built drawings, GIS records, and asset data for each Segment in the format required by Schedule S4, for the Lumbee Tribe's records and Award reporting. </w:t>
      </w:r>
      <w:r>
        <w:rPr>
          <w:b w:val="0"/>
          <w:i w:val="0"/>
          <w:color w:val="804000"/>
          <w:highlight w:val="yellow"/>
        </w:rPr>
        <w:t>[■ GIS/as-built format and data standard]</w:t>
      </w:r>
      <w:r>
        <w:rPr>
          <w:b w:val="0"/>
          <w:i w:val="0"/>
        </w:rPr>
        <w:t xml:space="preserve"> </w:t>
      </w:r>
      <w:r>
        <w:rPr>
          <w:b/>
          <w:i w:val="0"/>
          <w:color w:val="007000"/>
        </w:rPr>
        <w:t>[TECHNICAL INFORMATION REQUIRED]</w:t>
      </w:r>
    </w:p>
    <w:p>
      <w:pPr>
        <w:pStyle w:val="Heading1"/>
        <w:spacing w:before="240" w:after="120"/>
      </w:pPr>
      <w:r>
        <w:rPr>
          <w:rFonts w:ascii="Calibri" w:hAnsi="Calibri"/>
          <w:b/>
          <w:color w:val="1F3864"/>
          <w:sz w:val="26"/>
        </w:rPr>
        <w:t>ARTICLE 26.  WARRANTIES AND RETAINAGE</w:t>
      </w:r>
    </w:p>
    <w:p>
      <w:pPr>
        <w:pStyle w:val="Heading2"/>
        <w:spacing w:before="160" w:after="60"/>
      </w:pPr>
      <w:r>
        <w:rPr>
          <w:rFonts w:ascii="Calibri" w:hAnsi="Calibri"/>
          <w:b/>
          <w:color w:val="000000"/>
          <w:sz w:val="22"/>
        </w:rPr>
        <w:t>26.1  Warranties</w:t>
      </w:r>
    </w:p>
    <w:p>
      <w:r>
        <w:rPr>
          <w:b w:val="0"/>
          <w:i w:val="0"/>
        </w:rPr>
        <w:t xml:space="preserve">RIVR Tech warrants that the work is free from defects in materials and workmanship for the warranty period in Schedule S5, and assigns manufacturer warranties to the Lumbee Tribe. </w:t>
      </w:r>
      <w:r>
        <w:rPr>
          <w:b w:val="0"/>
          <w:i w:val="0"/>
          <w:color w:val="804000"/>
          <w:highlight w:val="yellow"/>
        </w:rPr>
        <w:t>[■ warranty period and terms]</w:t>
      </w:r>
      <w:r>
        <w:rPr>
          <w:b w:val="0"/>
          <w:i w:val="0"/>
        </w:rPr>
        <w:t xml:space="preserve"> </w:t>
      </w:r>
      <w:r>
        <w:rPr>
          <w:b/>
          <w:i w:val="0"/>
          <w:color w:val="C00000"/>
        </w:rPr>
        <w:t>[BUSINESS DECISION REQUIRED]</w:t>
      </w:r>
    </w:p>
    <w:p>
      <w:pPr>
        <w:pStyle w:val="Heading2"/>
        <w:spacing w:before="160" w:after="60"/>
      </w:pPr>
      <w:r>
        <w:rPr>
          <w:rFonts w:ascii="Calibri" w:hAnsi="Calibri"/>
          <w:b/>
          <w:color w:val="000000"/>
          <w:sz w:val="22"/>
        </w:rPr>
        <w:t>26.2  Retainage</w:t>
      </w:r>
    </w:p>
    <w:p>
      <w:r>
        <w:rPr>
          <w:b w:val="0"/>
          <w:i w:val="0"/>
        </w:rPr>
        <w:t xml:space="preserve">Retainage is withheld and released as set forth in Schedule S5. </w:t>
      </w:r>
      <w:r>
        <w:rPr>
          <w:b w:val="0"/>
          <w:i w:val="0"/>
          <w:color w:val="804000"/>
          <w:highlight w:val="yellow"/>
        </w:rPr>
        <w:t>[■ retainage percentage and release conditions]</w:t>
      </w:r>
      <w:r>
        <w:rPr>
          <w:b w:val="0"/>
          <w:i w:val="0"/>
        </w:rPr>
        <w:t xml:space="preserve"> </w:t>
      </w:r>
      <w:r>
        <w:rPr>
          <w:b/>
          <w:i w:val="0"/>
          <w:color w:val="C00000"/>
        </w:rPr>
        <w:t>[BUSINESS DECISION REQUIRED]</w:t>
      </w:r>
    </w:p>
    <w:p>
      <w:pPr>
        <w:pStyle w:val="Heading1"/>
        <w:spacing w:before="240" w:after="120"/>
      </w:pPr>
      <w:r>
        <w:rPr>
          <w:rFonts w:ascii="Calibri" w:hAnsi="Calibri"/>
          <w:b/>
          <w:color w:val="1F3864"/>
          <w:sz w:val="26"/>
        </w:rPr>
        <w:t>ARTICLE 27.  PAYMENT AND PAYMENT EVIDENCE</w:t>
      </w:r>
    </w:p>
    <w:p>
      <w:pPr>
        <w:pStyle w:val="Heading2"/>
        <w:spacing w:before="160" w:after="60"/>
      </w:pPr>
      <w:r>
        <w:rPr>
          <w:rFonts w:ascii="Calibri" w:hAnsi="Calibri"/>
          <w:b/>
          <w:color w:val="000000"/>
          <w:sz w:val="22"/>
        </w:rPr>
        <w:t>27.1  Payment Applications</w:t>
      </w:r>
    </w:p>
    <w:p>
      <w:r>
        <w:rPr>
          <w:b w:val="0"/>
          <w:i w:val="0"/>
        </w:rPr>
        <w:t xml:space="preserve">Payment applications are supported by evidence sufficient for reimbursement under the Grant Finance, Reimbursement, Program Income, and Audit Agreement and Schedule S8, including lien waivers, test records, and cost documentation (2 CFR 200.334–200.337 (Record retention and access; three-year retention)). </w:t>
      </w:r>
      <w:r>
        <w:rPr>
          <w:b/>
          <w:i w:val="0"/>
          <w:color w:val="7F007F"/>
        </w:rPr>
        <w:t>[GRANT COMPLIANCE REVIEW REQUIRED]</w:t>
      </w:r>
    </w:p>
    <w:p>
      <w:pPr>
        <w:pStyle w:val="Heading2"/>
        <w:spacing w:before="160" w:after="60"/>
      </w:pPr>
      <w:r>
        <w:rPr>
          <w:rFonts w:ascii="Calibri" w:hAnsi="Calibri"/>
          <w:b/>
          <w:color w:val="000000"/>
          <w:sz w:val="22"/>
        </w:rPr>
        <w:t>27.2  Conditions to Payment</w:t>
      </w:r>
    </w:p>
    <w:p>
      <w:r>
        <w:rPr>
          <w:b w:val="0"/>
          <w:i w:val="0"/>
        </w:rPr>
        <w:t>Payment is conditioned on compliant work, satisfactory documentation, and, for milestone payments, achievement of the milestone in Schedule S5.</w:t>
      </w:r>
    </w:p>
    <w:p>
      <w:pPr>
        <w:pStyle w:val="Heading1"/>
        <w:spacing w:before="240" w:after="120"/>
      </w:pPr>
      <w:r>
        <w:rPr>
          <w:rFonts w:ascii="Calibri" w:hAnsi="Calibri"/>
          <w:b/>
          <w:color w:val="1F3864"/>
          <w:sz w:val="26"/>
        </w:rPr>
        <w:t>ARTICLE 28.  RECOVERY FOR DEFECTIVE OR DISALLOWED WORK</w:t>
      </w:r>
    </w:p>
    <w:p>
      <w:pPr>
        <w:pStyle w:val="Heading2"/>
        <w:spacing w:before="160" w:after="60"/>
      </w:pPr>
      <w:r>
        <w:rPr>
          <w:rFonts w:ascii="Calibri" w:hAnsi="Calibri"/>
          <w:b/>
          <w:color w:val="000000"/>
          <w:sz w:val="22"/>
        </w:rPr>
        <w:t>28.1  RIVR Tech Responsibility</w:t>
      </w:r>
    </w:p>
    <w:p>
      <w:r>
        <w:rPr>
          <w:b w:val="0"/>
          <w:i w:val="0"/>
        </w:rPr>
        <w:t xml:space="preserve">RIVR Tech is responsible, subject to notice and cure (Master Article 20), for the cost of correcting defective work and for any Disallowed Cost caused by its breach, negligence, or noncompliance, and will reimburse the Lumbee Tribe for such Disallowed Costs. </w:t>
      </w:r>
      <w:r>
        <w:rPr>
          <w:b/>
          <w:i w:val="0"/>
          <w:color w:val="7F007F"/>
        </w:rPr>
        <w:t>[GRANT COMPLIANCE REVIEW REQUIRED]</w:t>
      </w:r>
      <w:r>
        <w:rPr>
          <w:b w:val="0"/>
          <w:i w:val="0"/>
        </w:rPr>
        <w:t xml:space="preserve"> </w:t>
      </w:r>
      <w:r>
        <w:rPr>
          <w:b/>
          <w:i w:val="0"/>
          <w:color w:val="0000C0"/>
        </w:rPr>
        <w:t>[ATTORNEY REVIEW REQUIRED]</w:t>
      </w:r>
    </w:p>
    <w:p>
      <w:pPr>
        <w:pStyle w:val="Heading1"/>
        <w:spacing w:before="240" w:after="120"/>
      </w:pPr>
      <w:r>
        <w:rPr>
          <w:rFonts w:ascii="Calibri" w:hAnsi="Calibri"/>
          <w:b/>
          <w:color w:val="1F3864"/>
          <w:sz w:val="26"/>
        </w:rPr>
        <w:t>ARTICLE 29.  NOTICE TO PROCEED</w:t>
      </w:r>
    </w:p>
    <w:p>
      <w:pPr>
        <w:pStyle w:val="Heading2"/>
        <w:spacing w:before="160" w:after="60"/>
      </w:pPr>
      <w:r>
        <w:rPr>
          <w:rFonts w:ascii="Calibri" w:hAnsi="Calibri"/>
          <w:b/>
          <w:color w:val="000000"/>
          <w:sz w:val="22"/>
        </w:rPr>
        <w:t>29.1  Issuance</w:t>
      </w:r>
    </w:p>
    <w:p>
      <w:r>
        <w:rPr>
          <w:b w:val="0"/>
          <w:i w:val="0"/>
        </w:rPr>
        <w:t xml:space="preserve">A Notice to Proceed is issued for a Segment only after all segment-level conditions precedent (Master Article 10) are satisfied for that Segment, including funding, procurement, environmental/historic clearances, land/permit rights, insurance, and required approvals. Construction on a Segment may not begin before its Notice to Proceed. </w:t>
      </w:r>
      <w:r>
        <w:rPr>
          <w:b/>
          <w:i w:val="0"/>
          <w:color w:val="7F007F"/>
        </w:rPr>
        <w:t>[GRANT COMPLIANCE REVIEW REQUIRED]</w:t>
      </w:r>
    </w:p>
    <w:p>
      <w:pPr>
        <w:pStyle w:val="Heading1"/>
        <w:spacing w:before="240" w:after="120"/>
      </w:pPr>
      <w:r>
        <w:rPr>
          <w:rFonts w:ascii="Calibri" w:hAnsi="Calibri"/>
          <w:b/>
          <w:color w:val="1F3864"/>
          <w:sz w:val="26"/>
        </w:rPr>
        <w:t>ARTICLE 30.  GENERAL PROVISIONS</w:t>
      </w:r>
    </w:p>
    <w:p>
      <w:pPr>
        <w:pStyle w:val="Heading2"/>
        <w:spacing w:before="160" w:after="60"/>
      </w:pPr>
      <w:r>
        <w:rPr>
          <w:rFonts w:ascii="Calibri" w:hAnsi="Calibri"/>
          <w:b/>
          <w:color w:val="000000"/>
          <w:sz w:val="22"/>
        </w:rPr>
        <w:t>30.1  Severability and Reformation</w:t>
      </w:r>
    </w:p>
    <w:p>
      <w:r>
        <w:rPr>
          <w:b w:val="0"/>
          <w:i w:val="0"/>
        </w:rPr>
        <w:t>If any provision is held invalid, it is reformed to the minimum extent necessary and the remainder continues; a lawful construction and service provision is not invalidated by a rejected commercial term.</w:t>
      </w:r>
    </w:p>
    <w:p>
      <w:pPr>
        <w:pStyle w:val="Heading2"/>
        <w:spacing w:before="160" w:after="60"/>
      </w:pPr>
      <w:r>
        <w:rPr>
          <w:rFonts w:ascii="Calibri" w:hAnsi="Calibri"/>
          <w:b/>
          <w:color w:val="000000"/>
          <w:sz w:val="22"/>
        </w:rPr>
        <w:t>30.2  Dispute Resolution and Sovereignty</w:t>
      </w:r>
    </w:p>
    <w:p>
      <w:r>
        <w:rPr>
          <w:b w:val="0"/>
          <w:i w:val="0"/>
        </w:rPr>
        <w:t xml:space="preserve">Dispute resolution, Tribal sovereignty, any limited waiver of sovereign immunity, and governing law/forum are governed by Master Article 24 (bracketed ALTERNATIVES only). </w:t>
      </w:r>
      <w:r>
        <w:rPr>
          <w:b/>
          <w:i w:val="0"/>
          <w:color w:val="0000C0"/>
        </w:rPr>
        <w:t>[ATTORNEY REVIEW REQUIRED]</w:t>
      </w:r>
      <w:r>
        <w:rPr>
          <w:b w:val="0"/>
          <w:i w:val="0"/>
        </w:rPr>
        <w:t xml:space="preserve"> See Santa Clara Pueblo v. Martinez, 436 U.S. 49 (1978); C&amp;L Enterprises v. Citizen Band Potawatomi, 532 U.S. 411 (2001); Michigan v. Bay Mills, 572 U.S. 782 (2014) (tribal sovereign immunity; clear express waiver required).</w:t>
      </w:r>
    </w:p>
    <w:p>
      <w:pPr>
        <w:pStyle w:val="Heading2"/>
        <w:spacing w:before="160" w:after="60"/>
      </w:pPr>
      <w:r>
        <w:rPr>
          <w:rFonts w:ascii="Calibri" w:hAnsi="Calibri"/>
          <w:b/>
          <w:color w:val="000000"/>
          <w:sz w:val="22"/>
        </w:rPr>
        <w:t>30.3  Amendments and Counterparts</w:t>
      </w:r>
    </w:p>
    <w:p>
      <w:r>
        <w:rPr>
          <w:b w:val="0"/>
          <w:i w:val="0"/>
        </w:rPr>
        <w:t>Amendments require a signed writing and, where required, NTIA/DOC and Tribal approval; this Agreement may be executed in counterparts and by electronic signature.</w:t>
      </w:r>
    </w:p>
    <w:p/>
    <w:p>
      <w:r>
        <w:rPr>
          <w:b/>
          <w:color w:val="C00000"/>
          <w:sz w:val="22"/>
        </w:rPr>
        <w:t>NOTICE AND DISCLAIMER</w:t>
      </w:r>
    </w:p>
    <w:p>
      <w:pPr>
        <w:ind w:left="504"/>
      </w:pPr>
      <w:r>
        <w:rPr>
          <w:b/>
          <w:color w:val="0000C0"/>
        </w:rPr>
        <w:t xml:space="preserve">[ATTORNEY REVIEW REQUIRED]  </w:t>
      </w:r>
      <w:r>
        <w:rPr>
          <w:i/>
          <w:color w:val="595959"/>
        </w:rPr>
        <w:t>These drafts are provided for business planning and attorney review. They are preliminary, non-binding working documents prepared without the controlling TBCP award or any source documents, do not constitute legal, financial, tax, engineering, or grant-compliance advice, and by themselves create no obligation, agreement, license, or right in favor of any Party. No Party should act or refrain from acting in reliance on these drafts. Nothing in these drafts authorizes any design finalization, construction, ground disturbance, procurement commitment, expenditure, encumbrance, interconnection, or service activation absent the executed federal Award and its Specific Award Conditions, confirmation of the controlling round and award terms, qualified attorney review, and all required governmental consent.</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Construction pricing, milestones, warranties, and retainage (Schedule S5), and all approvals (Schedule S14), must be completed and confirmed against the Award before execution.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DEPC Agreement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