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SCHEDULE S12 — Insurance, Indemnity, Liability Allocation, and Claims Procedures</w:t>
      </w:r>
    </w:p>
    <w:p>
      <w:pPr>
        <w:jc w:val="center"/>
      </w:pPr>
      <w:r>
        <w:rPr>
          <w:b/>
          <w:color w:val="1F3864"/>
          <w:sz w:val="48"/>
        </w:rPr>
        <w:t>Insurance, Indemnity, Liability Allocation, and Claims Procedures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rPr>
        <w:t>This is Schedule S12 (Insurance, Indemnity, Liability Allocation, and Claims Procedures) to the Master TBCP Partnership and Implementation Agreement. Capitalized terms used and not otherwise defined in a document have the meanings given in Article 2 (Definitions) of the Master TBCP Partnership and Implementation Agreement, which is the single shared definitions source for the package.</w:t>
      </w:r>
    </w:p>
    <w:p>
      <w:r>
        <w:rPr>
          <w:b w:val="0"/>
          <w:i/>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
      <w:pPr>
        <w:pStyle w:val="Heading1"/>
        <w:spacing w:before="240" w:after="120"/>
      </w:pPr>
      <w:r>
        <w:rPr>
          <w:rFonts w:ascii="Calibri" w:hAnsi="Calibri"/>
          <w:b/>
          <w:color w:val="1F3864"/>
          <w:sz w:val="26"/>
        </w:rPr>
        <w:t>ARTICLE 1.  INSURANCE REQUIREMENTS</w:t>
      </w:r>
    </w:p>
    <w:p>
      <w:r>
        <w:rPr>
          <w:b w:val="0"/>
          <w:i w:val="0"/>
        </w:rPr>
        <w:t>Each Party shall maintain, at minimum, the following coverages (limits are placeholder defaults for negotiation and confirmation against the controlling award; see 2 CFR 200.310 (Insurance coverage)):</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1F3864"/>
            <w:vAlign w:val="center"/>
          </w:tcPr>
          <w:p>
            <w:pPr>
              <w:jc w:val="center"/>
            </w:pPr>
            <w:r>
              <w:rPr>
                <w:b/>
                <w:color w:val="FFFFFF"/>
                <w:sz w:val="18"/>
              </w:rPr>
              <w:t>Coverage</w:t>
            </w:r>
          </w:p>
        </w:tc>
        <w:tc>
          <w:tcPr>
            <w:tcW w:type="dxa" w:w="4176"/>
            <w:shd w:val="clear" w:color="auto" w:fill="1F3864"/>
            <w:vAlign w:val="center"/>
          </w:tcPr>
          <w:p>
            <w:pPr>
              <w:jc w:val="center"/>
            </w:pPr>
            <w:r>
              <w:rPr>
                <w:b/>
                <w:color w:val="FFFFFF"/>
                <w:sz w:val="18"/>
              </w:rPr>
              <w:t>Minimum Limit</w:t>
            </w:r>
          </w:p>
        </w:tc>
      </w:tr>
      <w:tr>
        <w:tc>
          <w:tcPr>
            <w:tcW w:type="dxa" w:w="5184"/>
            <w:vAlign w:val="center"/>
          </w:tcPr>
          <w:p>
            <w:r>
              <w:rPr>
                <w:b w:val="0"/>
                <w:i w:val="0"/>
                <w:sz w:val="18"/>
              </w:rPr>
              <w:t>Commercial General Liability (per occurrence)</w:t>
            </w:r>
          </w:p>
        </w:tc>
        <w:tc>
          <w:tcPr>
            <w:tcW w:type="dxa" w:w="4176"/>
            <w:vAlign w:val="center"/>
          </w:tcPr>
          <w:p>
            <w:r>
              <w:rPr>
                <w:b w:val="0"/>
                <w:i w:val="0"/>
                <w:sz w:val="18"/>
              </w:rPr>
              <w:t>$2,000,000</w:t>
            </w:r>
          </w:p>
        </w:tc>
      </w:tr>
      <w:tr>
        <w:tc>
          <w:tcPr>
            <w:tcW w:type="dxa" w:w="5184"/>
            <w:shd w:val="clear" w:color="auto" w:fill="F2F2F2"/>
            <w:vAlign w:val="center"/>
          </w:tcPr>
          <w:p>
            <w:r>
              <w:rPr>
                <w:b w:val="0"/>
                <w:i w:val="0"/>
                <w:sz w:val="18"/>
              </w:rPr>
              <w:t>Commercial General Liability (aggregate)</w:t>
            </w:r>
          </w:p>
        </w:tc>
        <w:tc>
          <w:tcPr>
            <w:tcW w:type="dxa" w:w="4176"/>
            <w:shd w:val="clear" w:color="auto" w:fill="F2F2F2"/>
            <w:vAlign w:val="center"/>
          </w:tcPr>
          <w:p>
            <w:r>
              <w:rPr>
                <w:b w:val="0"/>
                <w:i w:val="0"/>
                <w:sz w:val="18"/>
              </w:rPr>
              <w:t>$4,000,000</w:t>
            </w:r>
          </w:p>
        </w:tc>
      </w:tr>
      <w:tr>
        <w:tc>
          <w:tcPr>
            <w:tcW w:type="dxa" w:w="5184"/>
            <w:vAlign w:val="center"/>
          </w:tcPr>
          <w:p>
            <w:r>
              <w:rPr>
                <w:b w:val="0"/>
                <w:i w:val="0"/>
                <w:sz w:val="18"/>
              </w:rPr>
              <w:t>Automobile Liability</w:t>
            </w:r>
          </w:p>
        </w:tc>
        <w:tc>
          <w:tcPr>
            <w:tcW w:type="dxa" w:w="4176"/>
            <w:vAlign w:val="center"/>
          </w:tcPr>
          <w:p>
            <w:r>
              <w:rPr>
                <w:b w:val="0"/>
                <w:i w:val="0"/>
                <w:sz w:val="18"/>
              </w:rPr>
              <w:t>$1,000,000</w:t>
            </w:r>
          </w:p>
        </w:tc>
      </w:tr>
      <w:tr>
        <w:tc>
          <w:tcPr>
            <w:tcW w:type="dxa" w:w="5184"/>
            <w:shd w:val="clear" w:color="auto" w:fill="F2F2F2"/>
            <w:vAlign w:val="center"/>
          </w:tcPr>
          <w:p>
            <w:r>
              <w:rPr>
                <w:b w:val="0"/>
                <w:i w:val="0"/>
                <w:sz w:val="18"/>
              </w:rPr>
              <w:t>Umbrella / Excess Liability</w:t>
            </w:r>
          </w:p>
        </w:tc>
        <w:tc>
          <w:tcPr>
            <w:tcW w:type="dxa" w:w="4176"/>
            <w:shd w:val="clear" w:color="auto" w:fill="F2F2F2"/>
            <w:vAlign w:val="center"/>
          </w:tcPr>
          <w:p>
            <w:r>
              <w:rPr>
                <w:b w:val="0"/>
                <w:i w:val="0"/>
                <w:sz w:val="18"/>
              </w:rPr>
              <w:t>$10,000,000</w:t>
            </w:r>
          </w:p>
        </w:tc>
      </w:tr>
      <w:tr>
        <w:tc>
          <w:tcPr>
            <w:tcW w:type="dxa" w:w="5184"/>
            <w:vAlign w:val="center"/>
          </w:tcPr>
          <w:p>
            <w:r>
              <w:rPr>
                <w:b w:val="0"/>
                <w:i w:val="0"/>
                <w:sz w:val="18"/>
              </w:rPr>
              <w:t>Workers' Compensation</w:t>
            </w:r>
          </w:p>
        </w:tc>
        <w:tc>
          <w:tcPr>
            <w:tcW w:type="dxa" w:w="4176"/>
            <w:vAlign w:val="center"/>
          </w:tcPr>
          <w:p>
            <w:r>
              <w:rPr>
                <w:b w:val="0"/>
                <w:i w:val="0"/>
                <w:sz w:val="18"/>
              </w:rPr>
              <w:t>statutory limits</w:t>
            </w:r>
          </w:p>
        </w:tc>
      </w:tr>
      <w:tr>
        <w:tc>
          <w:tcPr>
            <w:tcW w:type="dxa" w:w="5184"/>
            <w:shd w:val="clear" w:color="auto" w:fill="F2F2F2"/>
            <w:vAlign w:val="center"/>
          </w:tcPr>
          <w:p>
            <w:r>
              <w:rPr>
                <w:b w:val="0"/>
                <w:i w:val="0"/>
                <w:sz w:val="18"/>
              </w:rPr>
              <w:t>Employer's Liability</w:t>
            </w:r>
          </w:p>
        </w:tc>
        <w:tc>
          <w:tcPr>
            <w:tcW w:type="dxa" w:w="4176"/>
            <w:shd w:val="clear" w:color="auto" w:fill="F2F2F2"/>
            <w:vAlign w:val="center"/>
          </w:tcPr>
          <w:p>
            <w:r>
              <w:rPr>
                <w:b w:val="0"/>
                <w:i w:val="0"/>
                <w:sz w:val="18"/>
              </w:rPr>
              <w:t>$1,000,000</w:t>
            </w:r>
          </w:p>
        </w:tc>
      </w:tr>
      <w:tr>
        <w:tc>
          <w:tcPr>
            <w:tcW w:type="dxa" w:w="5184"/>
            <w:vAlign w:val="center"/>
          </w:tcPr>
          <w:p>
            <w:r>
              <w:rPr>
                <w:b w:val="0"/>
                <w:i w:val="0"/>
                <w:sz w:val="18"/>
              </w:rPr>
              <w:t>Professional / Technology E&amp;O</w:t>
            </w:r>
          </w:p>
        </w:tc>
        <w:tc>
          <w:tcPr>
            <w:tcW w:type="dxa" w:w="4176"/>
            <w:vAlign w:val="center"/>
          </w:tcPr>
          <w:p>
            <w:r>
              <w:rPr>
                <w:b w:val="0"/>
                <w:i w:val="0"/>
                <w:sz w:val="18"/>
              </w:rPr>
              <w:t>$5,000,000</w:t>
            </w:r>
          </w:p>
        </w:tc>
      </w:tr>
      <w:tr>
        <w:tc>
          <w:tcPr>
            <w:tcW w:type="dxa" w:w="5184"/>
            <w:shd w:val="clear" w:color="auto" w:fill="F2F2F2"/>
            <w:vAlign w:val="center"/>
          </w:tcPr>
          <w:p>
            <w:r>
              <w:rPr>
                <w:b w:val="0"/>
                <w:i w:val="0"/>
                <w:sz w:val="18"/>
              </w:rPr>
              <w:t>Cyber Liability</w:t>
            </w:r>
          </w:p>
        </w:tc>
        <w:tc>
          <w:tcPr>
            <w:tcW w:type="dxa" w:w="4176"/>
            <w:shd w:val="clear" w:color="auto" w:fill="F2F2F2"/>
            <w:vAlign w:val="center"/>
          </w:tcPr>
          <w:p>
            <w:r>
              <w:rPr>
                <w:b w:val="0"/>
                <w:i w:val="0"/>
                <w:sz w:val="18"/>
              </w:rPr>
              <w:t>$5,000,000</w:t>
            </w:r>
          </w:p>
        </w:tc>
      </w:tr>
      <w:tr>
        <w:tc>
          <w:tcPr>
            <w:tcW w:type="dxa" w:w="5184"/>
            <w:vAlign w:val="center"/>
          </w:tcPr>
          <w:p>
            <w:r>
              <w:rPr>
                <w:b w:val="0"/>
                <w:i w:val="0"/>
                <w:sz w:val="18"/>
              </w:rPr>
              <w:t>Property / Builder's Risk</w:t>
            </w:r>
          </w:p>
        </w:tc>
        <w:tc>
          <w:tcPr>
            <w:tcW w:type="dxa" w:w="4176"/>
            <w:vAlign w:val="center"/>
          </w:tcPr>
          <w:p>
            <w:r>
              <w:rPr>
                <w:b w:val="0"/>
                <w:i w:val="0"/>
                <w:sz w:val="18"/>
              </w:rPr>
              <w:t>full replacement cost of the Tribal Assets</w:t>
            </w:r>
          </w:p>
        </w:tc>
      </w:tr>
      <w:tr>
        <w:tc>
          <w:tcPr>
            <w:tcW w:type="dxa" w:w="5184"/>
            <w:shd w:val="clear" w:color="auto" w:fill="F2F2F2"/>
            <w:vAlign w:val="center"/>
          </w:tcPr>
          <w:p>
            <w:r>
              <w:rPr>
                <w:b w:val="0"/>
                <w:i w:val="0"/>
                <w:sz w:val="18"/>
              </w:rPr>
              <w:t>Pollution / Environmental</w:t>
            </w:r>
          </w:p>
        </w:tc>
        <w:tc>
          <w:tcPr>
            <w:tcW w:type="dxa" w:w="4176"/>
            <w:shd w:val="clear" w:color="auto" w:fill="F2F2F2"/>
            <w:vAlign w:val="center"/>
          </w:tcPr>
          <w:p>
            <w:r>
              <w:rPr>
                <w:b w:val="0"/>
                <w:i w:val="0"/>
                <w:sz w:val="18"/>
              </w:rPr>
              <w:t>$1,000,000</w:t>
            </w:r>
          </w:p>
        </w:tc>
      </w:tr>
    </w:tbl>
    <w:p>
      <w:pPr>
        <w:ind w:left="504"/>
      </w:pPr>
      <w:r>
        <w:rPr>
          <w:b/>
          <w:color w:val="C00000"/>
        </w:rPr>
        <w:t xml:space="preserve">[BUSINESS DECISION REQUIRED]  </w:t>
      </w:r>
      <w:r>
        <w:rPr>
          <w:i/>
          <w:color w:val="595959"/>
        </w:rPr>
        <w:t>Confirm limits, additional-insured and waiver-of-subrogation requirements, and who insures the Grant-Funded Assets (builder's risk / property).</w:t>
      </w:r>
    </w:p>
    <w:p>
      <w:pPr>
        <w:pStyle w:val="Heading1"/>
        <w:spacing w:before="240" w:after="120"/>
      </w:pPr>
      <w:r>
        <w:rPr>
          <w:rFonts w:ascii="Calibri" w:hAnsi="Calibri"/>
          <w:b/>
          <w:color w:val="1F3864"/>
          <w:sz w:val="26"/>
        </w:rPr>
        <w:t>ARTICLE 2.  INDEMNIFICATION</w:t>
      </w:r>
    </w:p>
    <w:p>
      <w:r>
        <w:rPr>
          <w:b w:val="0"/>
          <w:i w:val="0"/>
        </w:rPr>
        <w:t>Each Party (the “Indemnifying Party”) shall indemnify, defend, and hold harmless the other Party from third-party claims to the extent arising from the Indemnifying Party's negligence, willful misconduct, or breach, subject to the liability allocation below and to any bracketed limitations selected by counsel.</w:t>
      </w:r>
    </w:p>
    <w:p>
      <w:pPr>
        <w:ind w:left="504"/>
      </w:pPr>
      <w:r>
        <w:rPr>
          <w:b/>
          <w:color w:val="0000C0"/>
        </w:rPr>
        <w:t xml:space="preserve">[ATTORNEY REVIEW REQUIRED]  </w:t>
      </w:r>
      <w:r>
        <w:rPr>
          <w:i/>
          <w:color w:val="595959"/>
        </w:rPr>
        <w:t>Uncapped vs. capped indemnity, IP indemnity, and the interaction with tribal sovereign immunity and any limited waiver are bracketed ALTERNATIVES for counsel. See Santa Clara Pueblo v. Martinez, 436 U.S. 49 (1978); C&amp;L Enterprises v. Citizen Band Potawatomi, 532 U.S. 411 (2001); Michigan v. Bay Mills, 572 U.S. 782 (2014) (tribal sovereign immunity; clear express waiver required).</w:t>
      </w:r>
    </w:p>
    <w:p>
      <w:pPr>
        <w:pStyle w:val="Heading1"/>
        <w:spacing w:before="240" w:after="120"/>
      </w:pPr>
      <w:r>
        <w:rPr>
          <w:rFonts w:ascii="Calibri" w:hAnsi="Calibri"/>
          <w:b/>
          <w:color w:val="1F3864"/>
          <w:sz w:val="26"/>
        </w:rPr>
        <w:t>ARTICLE 3.  LIABILITY ALLOCATION</w:t>
      </w:r>
    </w:p>
    <w:p>
      <w:r>
        <w:rPr>
          <w:b w:val="0"/>
          <w:i w:val="0"/>
        </w:rPr>
        <w:t>Liability is allocated in proportion to each Party's control over, and responsibility for, the facility, activity, or breach giving rise to the loss:</w:t>
      </w:r>
    </w:p>
    <w:p>
      <w:pPr>
        <w:pStyle w:val="ListBullet"/>
      </w:pPr>
      <w:r>
        <w:rPr>
          <w:b w:val="0"/>
          <w:i w:val="0"/>
        </w:rPr>
        <w:t>RIVR Tech bears liability for operations, retail service, and its RIVR Tech Existing Network it controls</w:t>
      </w:r>
    </w:p>
    <w:p>
      <w:pPr>
        <w:pStyle w:val="ListBullet"/>
      </w:pPr>
      <w:r>
        <w:rPr>
          <w:b w:val="0"/>
          <w:i w:val="0"/>
        </w:rPr>
        <w:t>the Lumbee Tribe bears liability tied to its ownership/stewardship role to the extent within its control</w:t>
      </w:r>
    </w:p>
    <w:p>
      <w:pPr>
        <w:pStyle w:val="ListBullet"/>
      </w:pPr>
      <w:r>
        <w:rPr>
          <w:b w:val="0"/>
          <w:i w:val="0"/>
        </w:rPr>
        <w:t>LREMC bears liability for the LREMC Facilities it owns and controls (via its separate agreement/joinder)</w:t>
      </w:r>
    </w:p>
    <w:p>
      <w:pPr>
        <w:pStyle w:val="ListBullet"/>
      </w:pPr>
      <w:r>
        <w:rPr>
          <w:b w:val="0"/>
          <w:i w:val="0"/>
        </w:rPr>
        <w:t xml:space="preserve">consequential-damages waiver and any liability cap are </w:t>
      </w:r>
      <w:r>
        <w:rPr>
          <w:b w:val="0"/>
          <w:i w:val="0"/>
          <w:color w:val="804000"/>
          <w:highlight w:val="yellow"/>
        </w:rPr>
        <w:t>[■ cap / carve-outs]</w:t>
      </w:r>
      <w:r>
        <w:rPr>
          <w:b w:val="0"/>
          <w:i w:val="0"/>
        </w:rPr>
        <w:t xml:space="preserve"> </w:t>
      </w:r>
      <w:r>
        <w:rPr>
          <w:b/>
          <w:i w:val="0"/>
          <w:color w:val="0000C0"/>
        </w:rPr>
        <w:t>[ATTORNEY REVIEW REQUIRED]</w:t>
      </w:r>
    </w:p>
    <w:p>
      <w:pPr>
        <w:pStyle w:val="Heading1"/>
        <w:spacing w:before="240" w:after="120"/>
      </w:pPr>
      <w:r>
        <w:rPr>
          <w:rFonts w:ascii="Calibri" w:hAnsi="Calibri"/>
          <w:b/>
          <w:color w:val="1F3864"/>
          <w:sz w:val="26"/>
        </w:rPr>
        <w:t>ARTICLE 4.  CLAIMS PROCEDURE</w:t>
      </w:r>
    </w:p>
    <w:p>
      <w:pPr>
        <w:pStyle w:val="ListNumber"/>
      </w:pPr>
      <w:r>
        <w:rPr>
          <w:b w:val="0"/>
          <w:i w:val="0"/>
        </w:rPr>
        <w:t xml:space="preserve">Prompt written notice of claim with reasonable detail </w:t>
      </w:r>
      <w:r>
        <w:rPr>
          <w:b w:val="0"/>
          <w:i w:val="0"/>
          <w:color w:val="804000"/>
          <w:highlight w:val="yellow"/>
        </w:rPr>
        <w:t>[■ notice period]</w:t>
      </w:r>
    </w:p>
    <w:p>
      <w:pPr>
        <w:pStyle w:val="ListNumber"/>
      </w:pPr>
      <w:r>
        <w:rPr>
          <w:b w:val="0"/>
          <w:i w:val="0"/>
        </w:rPr>
        <w:t>Control of defense and settlement, with cooperation and consent-not-unreasonably-withheld standards</w:t>
      </w:r>
    </w:p>
    <w:p>
      <w:pPr>
        <w:pStyle w:val="ListNumber"/>
      </w:pPr>
      <w:r>
        <w:rPr>
          <w:b w:val="0"/>
          <w:i w:val="0"/>
        </w:rPr>
        <w:t>Coordination with insurers and preservation of coverage</w:t>
      </w:r>
    </w:p>
    <w:p>
      <w:pPr>
        <w:pStyle w:val="ListNumber"/>
      </w:pPr>
      <w:r>
        <w:rPr>
          <w:b w:val="0"/>
          <w:i w:val="0"/>
        </w:rPr>
        <w:t>Reservation of rights and no admission by mere notice</w:t>
      </w:r>
    </w:p>
    <w:p/>
    <w:p>
      <w:pPr>
        <w:pStyle w:val="Heading2"/>
        <w:spacing w:before="160" w:after="60"/>
      </w:pPr>
      <w:r>
        <w:rPr>
          <w:rFonts w:ascii="Calibri" w:hAnsi="Calibri"/>
          <w:b/>
          <w:color w:val="000000"/>
          <w:sz w:val="22"/>
        </w:rPr>
        <w:t xml:space="preserve">  Draft Disclaimer</w:t>
      </w:r>
    </w:p>
    <w:p>
      <w:r>
        <w:rPr>
          <w:b w:val="0"/>
          <w:i/>
        </w:rPr>
        <w:t>This Schedule is a working draft prepared for discussion only. It is not executed, is not final legal advice, and does not create binding obligations.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Every bracketed placeholder, flag, and alternative must be resolved by the responsible legal, grant, financial, and technical reviewers before finalization.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Schedule S12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