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SCHEDULE S13 — Default, Cure, Step-In, Continuity, Transition, and Termination Assistance</w:t>
      </w:r>
    </w:p>
    <w:p>
      <w:pPr>
        <w:jc w:val="center"/>
      </w:pPr>
      <w:r>
        <w:rPr>
          <w:b/>
          <w:color w:val="1F3864"/>
          <w:sz w:val="48"/>
        </w:rPr>
        <w:t>Default, Cure, Step-In, Continuity, Transition, and Termination Assistance</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r>
        <w:rPr>
          <w:b w:val="0"/>
          <w:i/>
        </w:rPr>
        <w:t>This is Schedule S13 (Default, Cure, Step-In, Continuity, Transition, and Termination Assistance) to the Master TBCP Partnership and Implementation Agreement. Capitalized terms used and not otherwise defined in a document have the meanings given in Article 2 (Definitions) of the Master TBCP Partnership and Implementation Agreement, which is the single shared definitions source for the package.</w:t>
      </w:r>
    </w:p>
    <w:p>
      <w:r>
        <w:rPr>
          <w:b w:val="0"/>
          <w:i/>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
      <w:r>
        <w:rPr>
          <w:b w:val="0"/>
          <w:i/>
        </w:rPr>
        <w:t>This Schedule cross-refers to the Continuity, Step-In, Termination Assistance, and Transition Agreement.</w:t>
      </w:r>
    </w:p>
    <w:p>
      <w:pPr>
        <w:pStyle w:val="Heading1"/>
        <w:spacing w:before="240" w:after="120"/>
      </w:pPr>
      <w:r>
        <w:rPr>
          <w:rFonts w:ascii="Calibri" w:hAnsi="Calibri"/>
          <w:b/>
          <w:color w:val="1F3864"/>
          <w:sz w:val="26"/>
        </w:rPr>
        <w:t>ARTICLE 1.  EVENTS OF DEFAULT AND CURE</w:t>
      </w:r>
    </w:p>
    <w:p>
      <w:r>
        <w:rPr>
          <w:b w:val="0"/>
          <w:i w:val="0"/>
        </w:rPr>
        <w:t>An Event of Default occurs upon a material breach not cured within the applicable cure period after written notice:</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1F3864"/>
            <w:vAlign w:val="center"/>
          </w:tcPr>
          <w:p>
            <w:pPr>
              <w:jc w:val="center"/>
            </w:pPr>
            <w:r>
              <w:rPr>
                <w:b/>
                <w:color w:val="FFFFFF"/>
                <w:sz w:val="18"/>
              </w:rPr>
              <w:t>Default Type</w:t>
            </w:r>
          </w:p>
        </w:tc>
        <w:tc>
          <w:tcPr>
            <w:tcW w:type="dxa" w:w="3312"/>
            <w:shd w:val="clear" w:color="auto" w:fill="1F3864"/>
            <w:vAlign w:val="center"/>
          </w:tcPr>
          <w:p>
            <w:pPr>
              <w:jc w:val="center"/>
            </w:pPr>
            <w:r>
              <w:rPr>
                <w:b/>
                <w:color w:val="FFFFFF"/>
                <w:sz w:val="18"/>
              </w:rPr>
              <w:t>Cure Period</w:t>
            </w:r>
          </w:p>
        </w:tc>
        <w:tc>
          <w:tcPr>
            <w:tcW w:type="dxa" w:w="4176"/>
            <w:shd w:val="clear" w:color="auto" w:fill="1F3864"/>
            <w:vAlign w:val="center"/>
          </w:tcPr>
          <w:p>
            <w:pPr>
              <w:jc w:val="center"/>
            </w:pPr>
            <w:r>
              <w:rPr>
                <w:b/>
                <w:color w:val="FFFFFF"/>
                <w:sz w:val="18"/>
              </w:rPr>
              <w:t>Extension</w:t>
            </w:r>
          </w:p>
        </w:tc>
      </w:tr>
      <w:tr>
        <w:tc>
          <w:tcPr>
            <w:tcW w:type="dxa" w:w="3168"/>
            <w:vAlign w:val="center"/>
          </w:tcPr>
          <w:p>
            <w:r>
              <w:rPr>
                <w:b w:val="0"/>
                <w:i w:val="0"/>
                <w:sz w:val="18"/>
              </w:rPr>
              <w:t>Monetary default</w:t>
            </w:r>
          </w:p>
        </w:tc>
        <w:tc>
          <w:tcPr>
            <w:tcW w:type="dxa" w:w="3312"/>
            <w:vAlign w:val="center"/>
          </w:tcPr>
          <w:p>
            <w:r>
              <w:rPr>
                <w:b w:val="0"/>
                <w:i w:val="0"/>
                <w:sz w:val="18"/>
              </w:rPr>
              <w:t>30 days</w:t>
            </w:r>
          </w:p>
        </w:tc>
        <w:tc>
          <w:tcPr>
            <w:tcW w:type="dxa" w:w="4176"/>
            <w:vAlign w:val="center"/>
          </w:tcPr>
          <w:p>
            <w:r>
              <w:rPr>
                <w:b w:val="0"/>
                <w:i w:val="0"/>
                <w:sz w:val="18"/>
              </w:rPr>
              <w:t>None (unless agreed)</w:t>
            </w:r>
          </w:p>
        </w:tc>
      </w:tr>
      <w:tr>
        <w:tc>
          <w:tcPr>
            <w:tcW w:type="dxa" w:w="3168"/>
            <w:shd w:val="clear" w:color="auto" w:fill="F2F2F2"/>
            <w:vAlign w:val="center"/>
          </w:tcPr>
          <w:p>
            <w:r>
              <w:rPr>
                <w:b w:val="0"/>
                <w:i w:val="0"/>
                <w:sz w:val="18"/>
              </w:rPr>
              <w:t>Non-monetary default</w:t>
            </w:r>
          </w:p>
        </w:tc>
        <w:tc>
          <w:tcPr>
            <w:tcW w:type="dxa" w:w="3312"/>
            <w:shd w:val="clear" w:color="auto" w:fill="F2F2F2"/>
            <w:vAlign w:val="center"/>
          </w:tcPr>
          <w:p>
            <w:r>
              <w:rPr>
                <w:b w:val="0"/>
                <w:i w:val="0"/>
                <w:sz w:val="18"/>
              </w:rPr>
              <w:t>60 days</w:t>
            </w:r>
          </w:p>
        </w:tc>
        <w:tc>
          <w:tcPr>
            <w:tcW w:type="dxa" w:w="4176"/>
            <w:shd w:val="clear" w:color="auto" w:fill="F2F2F2"/>
            <w:vAlign w:val="center"/>
          </w:tcPr>
          <w:p>
            <w:r>
              <w:rPr>
                <w:b w:val="0"/>
                <w:i w:val="0"/>
                <w:sz w:val="18"/>
              </w:rPr>
              <w:t>an additional sixty (60) days if the breach is not reasonably curable within the initial period and the defaulting Party is diligently pursuing cure</w:t>
            </w:r>
          </w:p>
        </w:tc>
      </w:tr>
      <w:tr>
        <w:tc>
          <w:tcPr>
            <w:tcW w:type="dxa" w:w="3168"/>
            <w:vAlign w:val="center"/>
          </w:tcPr>
          <w:p>
            <w:r>
              <w:rPr>
                <w:b w:val="0"/>
                <w:i w:val="0"/>
                <w:sz w:val="18"/>
              </w:rPr>
              <w:t>Notice of default</w:t>
            </w:r>
          </w:p>
        </w:tc>
        <w:tc>
          <w:tcPr>
            <w:tcW w:type="dxa" w:w="3312"/>
            <w:vAlign w:val="center"/>
          </w:tcPr>
          <w:p>
            <w:r>
              <w:rPr>
                <w:b w:val="0"/>
                <w:i w:val="0"/>
                <w:sz w:val="18"/>
              </w:rPr>
              <w:t>30 days' written notice</w:t>
            </w:r>
          </w:p>
        </w:tc>
        <w:tc>
          <w:tcPr>
            <w:tcW w:type="dxa" w:w="4176"/>
            <w:vAlign w:val="center"/>
          </w:tcPr>
          <w:p>
            <w:r>
              <w:rPr>
                <w:b w:val="0"/>
                <w:i w:val="0"/>
                <w:sz w:val="18"/>
              </w:rPr>
              <w:t>—</w:t>
            </w:r>
          </w:p>
        </w:tc>
      </w:tr>
    </w:tbl>
    <w:p>
      <w:pPr>
        <w:pStyle w:val="Heading1"/>
        <w:spacing w:before="240" w:after="120"/>
      </w:pPr>
      <w:r>
        <w:rPr>
          <w:rFonts w:ascii="Calibri" w:hAnsi="Calibri"/>
          <w:b/>
          <w:color w:val="1F3864"/>
          <w:sz w:val="26"/>
        </w:rPr>
        <w:t>ARTICLE 2.  STEP-IN RIGHTS</w:t>
      </w:r>
    </w:p>
    <w:p>
      <w:pPr>
        <w:pStyle w:val="Heading2"/>
        <w:spacing w:before="160" w:after="60"/>
      </w:pPr>
      <w:r>
        <w:rPr>
          <w:rFonts w:ascii="Calibri" w:hAnsi="Calibri"/>
          <w:b/>
          <w:color w:val="000000"/>
          <w:sz w:val="22"/>
        </w:rPr>
        <w:t>2.1  Triggers</w:t>
      </w:r>
    </w:p>
    <w:p>
      <w:r>
        <w:rPr>
          <w:b w:val="0"/>
          <w:i w:val="0"/>
        </w:rPr>
        <w:t>Step-in may be exercised upon an uncured Event of Default that threatens continuity of Essential Services, public safety, or compliance with the Award, and immediate, upon notice, where continuity of Essential Services, public safety, or compliance with the Award is imminently threatened.</w:t>
      </w:r>
    </w:p>
    <w:p>
      <w:pPr>
        <w:pStyle w:val="Heading2"/>
        <w:spacing w:before="160" w:after="60"/>
      </w:pPr>
      <w:r>
        <w:rPr>
          <w:rFonts w:ascii="Calibri" w:hAnsi="Calibri"/>
          <w:b/>
          <w:color w:val="000000"/>
          <w:sz w:val="22"/>
        </w:rPr>
        <w:t>2.2  Limits</w:t>
      </w:r>
    </w:p>
    <w:p>
      <w:r>
        <w:rPr>
          <w:b w:val="0"/>
          <w:i w:val="0"/>
        </w:rPr>
        <w:t xml:space="preserve">Step-in is limited to the scope and duration reasonably necessary to restore continuity and compliance; it does not transfer ownership of the Grant-Funded Assets and is subject to the order of precedence and the award. </w:t>
      </w:r>
      <w:r>
        <w:rPr>
          <w:b w:val="0"/>
          <w:i w:val="0"/>
          <w:color w:val="804000"/>
          <w:highlight w:val="yellow"/>
        </w:rPr>
        <w:t>[■ step-in scope, duration, and cost-recovery terms]</w:t>
      </w:r>
      <w:r>
        <w:rPr>
          <w:b w:val="0"/>
          <w:i w:val="0"/>
        </w:rPr>
        <w:t>.</w:t>
      </w:r>
    </w:p>
    <w:p>
      <w:pPr>
        <w:ind w:left="504"/>
      </w:pPr>
      <w:r>
        <w:rPr>
          <w:b/>
          <w:color w:val="0000C0"/>
        </w:rPr>
        <w:t xml:space="preserve">[ATTORNEY REVIEW REQUIRED]  </w:t>
      </w:r>
      <w:r>
        <w:rPr>
          <w:i/>
          <w:color w:val="595959"/>
        </w:rPr>
        <w:t>Step-in scope, cost recovery, and interaction with lender/agency rights and tribal sovereign immunity are bracketed ALTERNATIVES for counsel.</w:t>
      </w:r>
    </w:p>
    <w:p>
      <w:pPr>
        <w:pStyle w:val="Heading1"/>
        <w:spacing w:before="240" w:after="120"/>
      </w:pPr>
      <w:r>
        <w:rPr>
          <w:rFonts w:ascii="Calibri" w:hAnsi="Calibri"/>
          <w:b/>
          <w:color w:val="1F3864"/>
          <w:sz w:val="26"/>
        </w:rPr>
        <w:t>ARTICLE 3.  CONTINUITY OF SERVICE</w:t>
      </w:r>
    </w:p>
    <w:p>
      <w:pPr>
        <w:pStyle w:val="ListBullet"/>
      </w:pPr>
      <w:r>
        <w:rPr>
          <w:b w:val="0"/>
          <w:i w:val="0"/>
        </w:rPr>
        <w:t>Essential Services must continue during any dispute, cure, step-in, or transition</w:t>
      </w:r>
    </w:p>
    <w:p>
      <w:pPr>
        <w:pStyle w:val="ListBullet"/>
      </w:pPr>
      <w:r>
        <w:rPr>
          <w:b w:val="0"/>
          <w:i w:val="0"/>
        </w:rPr>
        <w:t>No self-help that disconnects subscribers except as permitted by law and the award</w:t>
      </w:r>
    </w:p>
    <w:p>
      <w:pPr>
        <w:pStyle w:val="ListBullet"/>
      </w:pPr>
      <w:r>
        <w:rPr>
          <w:b w:val="0"/>
          <w:i w:val="0"/>
        </w:rPr>
        <w:t>Coordination with the Network Operations Center and Schedule S6 SLAs</w:t>
      </w:r>
    </w:p>
    <w:p>
      <w:pPr>
        <w:pStyle w:val="Heading1"/>
        <w:spacing w:before="240" w:after="120"/>
      </w:pPr>
      <w:r>
        <w:rPr>
          <w:rFonts w:ascii="Calibri" w:hAnsi="Calibri"/>
          <w:b/>
          <w:color w:val="1F3864"/>
          <w:sz w:val="26"/>
        </w:rPr>
        <w:t>ARTICLE 4.  TRANSITION ASSISTANCE</w:t>
      </w:r>
    </w:p>
    <w:p>
      <w:r>
        <w:rPr>
          <w:b w:val="0"/>
          <w:i w:val="0"/>
        </w:rPr>
        <w:t>Upon expiration or termination, the outgoing operator shall provide transition assistance for a period of 12 months, including:</w:t>
      </w:r>
    </w:p>
    <w:p>
      <w:pPr>
        <w:pStyle w:val="ListBullet"/>
      </w:pPr>
      <w:r>
        <w:rPr>
          <w:b w:val="0"/>
          <w:i w:val="0"/>
        </w:rPr>
        <w:t>orderly hand-off of operations, records, and subscriber relationships</w:t>
      </w:r>
    </w:p>
    <w:p>
      <w:pPr>
        <w:pStyle w:val="ListBullet"/>
      </w:pPr>
      <w:r>
        <w:rPr>
          <w:b w:val="0"/>
          <w:i w:val="0"/>
        </w:rPr>
        <w:t>knowledge transfer, credentials, configurations, and documentation</w:t>
      </w:r>
    </w:p>
    <w:p>
      <w:pPr>
        <w:pStyle w:val="ListBullet"/>
      </w:pPr>
      <w:r>
        <w:rPr>
          <w:b w:val="0"/>
          <w:i w:val="0"/>
        </w:rPr>
        <w:t xml:space="preserve">continued operation during transition at agreed rates </w:t>
      </w:r>
      <w:r>
        <w:rPr>
          <w:b w:val="0"/>
          <w:i w:val="0"/>
          <w:color w:val="804000"/>
          <w:highlight w:val="yellow"/>
        </w:rPr>
        <w:t>[■ transition rates]</w:t>
      </w:r>
    </w:p>
    <w:p>
      <w:pPr>
        <w:pStyle w:val="ListBullet"/>
      </w:pPr>
      <w:r>
        <w:rPr>
          <w:b w:val="0"/>
          <w:i w:val="0"/>
        </w:rPr>
        <w:t>return/transfer of Grant-Funded Assets and Federal-Interest compliance</w:t>
      </w:r>
    </w:p>
    <w:p>
      <w:pPr>
        <w:ind w:left="504"/>
      </w:pPr>
      <w:r>
        <w:rPr>
          <w:b/>
          <w:color w:val="7F007F"/>
        </w:rPr>
        <w:t xml:space="preserve">[GRANT COMPLIANCE REVIEW REQUIRED]  </w:t>
      </w:r>
      <w:r>
        <w:rPr>
          <w:i/>
          <w:color w:val="595959"/>
        </w:rPr>
        <w:t>Any transfer or disposition of Grant-Funded Assets at transition must comply with 2 CFR 200.311 (Real property — use, encumbrance, and disposition), 2 CFR 200.313 (Equipment — use, management, and disposition), and the award (Federal Interest survives operator changes).</w:t>
      </w:r>
    </w:p>
    <w:p/>
    <w:p>
      <w:pPr>
        <w:pStyle w:val="Heading2"/>
        <w:spacing w:before="160" w:after="60"/>
      </w:pPr>
      <w:r>
        <w:rPr>
          <w:rFonts w:ascii="Calibri" w:hAnsi="Calibri"/>
          <w:b/>
          <w:color w:val="000000"/>
          <w:sz w:val="22"/>
        </w:rPr>
        <w:t xml:space="preserve">  Draft Disclaimer</w:t>
      </w:r>
    </w:p>
    <w:p>
      <w:r>
        <w:rPr>
          <w:b w:val="0"/>
          <w:i/>
        </w:rPr>
        <w:t>This Schedule is a working draft prepared for discussion only. It is not executed, is not final legal advice, and does not create binding obligations. No controlling TBCP award or source documents were supplied; the provisional baseline is the TBCP Round 2 Notice of Funding Opportunity, as amended March 2024 (PROVISIONAL BASELINE). Round 3 is the live TBCP round as of the version date; the controlling round and executed award must be confirmed before any definitive clause is finalized. Every bracketed placeholder, flag, and alternative must be resolved by the responsible legal, grant, financial, and technical reviewers before finalization.</w:t>
      </w:r>
    </w:p>
    <w:p>
      <w:pPr>
        <w:jc w:val="center"/>
      </w:pPr>
      <w:r>
        <w:rPr>
          <w:b/>
          <w:color w:val="C00000"/>
          <w:highlight w:val="yellow"/>
        </w:rPr>
        <w:t>PRELIMINARY DRAFT – NO CONTROLLING TBCP AWARD OR SOURCE DOCUMENTS SUPPLIED – PROVISIONAL BASELINE: MARCH 2024 AMENDED ROUND 2 NOFO – SUBJECT TO LEGAL, GRANT AND FINANCIAL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Schedule S13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