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S4 — Engineering Standards, Bill of Materials, Equipment, Interconnection, and Demarcation</w:t>
      </w:r>
    </w:p>
    <w:p>
      <w:pPr>
        <w:jc w:val="center"/>
      </w:pPr>
      <w:r>
        <w:rPr>
          <w:b/>
          <w:color w:val="1F3864"/>
          <w:sz w:val="48"/>
        </w:rPr>
        <w:t>Engineering Standards, Bill of Materials, Equipment, Interconnection, and Demarcation</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S4 (Engineering Standards, Bill of Materials, Equipment, Interconnection, and Demarcation)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pPr>
        <w:pStyle w:val="Heading1"/>
        <w:spacing w:before="240" w:after="120"/>
      </w:pPr>
      <w:r>
        <w:rPr>
          <w:rFonts w:ascii="Calibri" w:hAnsi="Calibri"/>
          <w:b/>
          <w:color w:val="1F3864"/>
          <w:sz w:val="26"/>
        </w:rPr>
        <w:t>ARTICLE 1.  ENGINEERING AND TECHNOLOGY STANDARDS</w:t>
      </w:r>
    </w:p>
    <w:p>
      <w:r>
        <w:rPr>
          <w:b w:val="0"/>
          <w:i w:val="0"/>
        </w:rPr>
        <w:t>The Grant-Funded Assets shall be designed, engineered, and constructed as a fiber-to-the-home (FTTH) passive optical network meeting the following standards, subject to technical confirmation:</w:t>
      </w:r>
    </w:p>
    <w:p>
      <w:pPr>
        <w:pStyle w:val="ListBullet"/>
      </w:pPr>
      <w:r>
        <w:rPr>
          <w:b w:val="0"/>
          <w:i w:val="0"/>
        </w:rPr>
        <w:t xml:space="preserve">FTTH architecture using XGS-PON (10 Gbps symmetrical) as the target PON generation, backward-compatible with GPON where required </w:t>
      </w:r>
      <w:r>
        <w:rPr>
          <w:b/>
          <w:i w:val="0"/>
          <w:color w:val="007000"/>
        </w:rPr>
        <w:t>[TECHNICAL INFORMATION REQUIRED]</w:t>
      </w:r>
    </w:p>
    <w:p>
      <w:pPr>
        <w:pStyle w:val="ListBullet"/>
      </w:pPr>
      <w:r>
        <w:rPr>
          <w:b w:val="0"/>
          <w:i w:val="0"/>
        </w:rPr>
        <w:t xml:space="preserve">Calix-class (or functionally equivalent, §889-compliant) OLT/ONT platform </w:t>
      </w:r>
      <w:r>
        <w:rPr>
          <w:b/>
          <w:i w:val="0"/>
          <w:color w:val="007000"/>
        </w:rPr>
        <w:t>[TECHNICAL INFORMATION REQUIRED]</w:t>
      </w:r>
    </w:p>
    <w:p>
      <w:pPr>
        <w:pStyle w:val="ListBullet"/>
      </w:pPr>
      <w:r>
        <w:rPr>
          <w:b w:val="0"/>
          <w:i w:val="0"/>
        </w:rPr>
        <w:t xml:space="preserve">ITU-T G.9807.1 (XGS-PON) and ITU-T G.984 (GPON) conformance </w:t>
      </w:r>
      <w:r>
        <w:rPr>
          <w:b/>
          <w:i w:val="0"/>
          <w:color w:val="007000"/>
        </w:rPr>
        <w:t>[TECHNICAL INFORMATION REQUIRED]</w:t>
      </w:r>
    </w:p>
    <w:p>
      <w:pPr>
        <w:pStyle w:val="ListBullet"/>
      </w:pPr>
      <w:r>
        <w:rPr>
          <w:b w:val="0"/>
          <w:i w:val="0"/>
        </w:rPr>
        <w:t xml:space="preserve">Split ratios, wavelength plan, and power budget </w:t>
      </w:r>
      <w:r>
        <w:rPr>
          <w:b w:val="0"/>
          <w:i w:val="0"/>
          <w:color w:val="804000"/>
          <w:highlight w:val="yellow"/>
        </w:rPr>
        <w:t>[■ split ratio / wavelength / budget]</w:t>
      </w:r>
    </w:p>
    <w:p>
      <w:pPr>
        <w:pStyle w:val="ListBullet"/>
      </w:pPr>
      <w:r>
        <w:rPr>
          <w:b w:val="0"/>
          <w:i w:val="0"/>
        </w:rPr>
        <w:t>BABA / domestic-preference and §889 supply-chain compliance for all equipment (see Build America, Buy America Act, IIJA §§ 70911–70917 (Pub. L. 117-58); 2 CFR Part 184; and NTIA BABA award terms; 2 CFR 200.216 (Prohibition on certain telecommunications and video surveillance — §889 covered equipment))</w:t>
      </w:r>
    </w:p>
    <w:p>
      <w:pPr>
        <w:ind w:left="504"/>
      </w:pPr>
      <w:r>
        <w:rPr>
          <w:b/>
          <w:color w:val="007000"/>
        </w:rPr>
        <w:t xml:space="preserve">[TECHNICAL INFORMATION REQUIRED]  </w:t>
      </w:r>
      <w:r>
        <w:rPr>
          <w:i/>
          <w:color w:val="595959"/>
        </w:rPr>
        <w:t>Confirm PON generation, vendor/platform, split ratios, and power budget with the design engineer of record.</w:t>
      </w:r>
    </w:p>
    <w:p>
      <w:pPr>
        <w:pStyle w:val="Heading1"/>
        <w:spacing w:before="240" w:after="120"/>
      </w:pPr>
      <w:r>
        <w:rPr>
          <w:rFonts w:ascii="Calibri" w:hAnsi="Calibri"/>
          <w:b/>
          <w:color w:val="1F3864"/>
          <w:sz w:val="26"/>
        </w:rPr>
        <w:t>ARTICLE 2.  BILL OF MATERIALS (CATEGORIES)</w:t>
      </w:r>
    </w:p>
    <w:p>
      <w:r>
        <w:rPr>
          <w:b w:val="0"/>
          <w:i w:val="0"/>
        </w:rPr>
        <w:t>BOM categories (line-item quantities and part numbers are placeholders pending final design):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3864"/>
            <w:vAlign w:val="center"/>
          </w:tcPr>
          <w:p>
            <w:pPr>
              <w:jc w:val="center"/>
            </w:pPr>
            <w:r>
              <w:rPr>
                <w:b/>
                <w:color w:val="FFFFFF"/>
                <w:sz w:val="18"/>
              </w:rPr>
              <w:t>Category</w:t>
            </w:r>
          </w:p>
        </w:tc>
        <w:tc>
          <w:tcPr>
            <w:tcW w:type="dxa" w:w="4896"/>
            <w:shd w:val="clear" w:color="auto" w:fill="1F3864"/>
            <w:vAlign w:val="center"/>
          </w:tcPr>
          <w:p>
            <w:pPr>
              <w:jc w:val="center"/>
            </w:pPr>
            <w:r>
              <w:rPr>
                <w:b/>
                <w:color w:val="FFFFFF"/>
                <w:sz w:val="18"/>
              </w:rPr>
              <w:t>Representative Items</w:t>
            </w:r>
          </w:p>
        </w:tc>
        <w:tc>
          <w:tcPr>
            <w:tcW w:type="dxa" w:w="1872"/>
            <w:shd w:val="clear" w:color="auto" w:fill="1F3864"/>
            <w:vAlign w:val="center"/>
          </w:tcPr>
          <w:p>
            <w:pPr>
              <w:jc w:val="center"/>
            </w:pPr>
            <w:r>
              <w:rPr>
                <w:b/>
                <w:color w:val="FFFFFF"/>
                <w:sz w:val="18"/>
              </w:rPr>
              <w:t>Quantity</w:t>
            </w:r>
          </w:p>
        </w:tc>
      </w:tr>
      <w:tr>
        <w:tc>
          <w:tcPr>
            <w:tcW w:type="dxa" w:w="2592"/>
            <w:vAlign w:val="center"/>
          </w:tcPr>
          <w:p>
            <w:r>
              <w:rPr>
                <w:b w:val="0"/>
                <w:i w:val="0"/>
                <w:sz w:val="18"/>
              </w:rPr>
              <w:t>Outside plant fiber</w:t>
            </w:r>
          </w:p>
        </w:tc>
        <w:tc>
          <w:tcPr>
            <w:tcW w:type="dxa" w:w="4896"/>
            <w:vAlign w:val="center"/>
          </w:tcPr>
          <w:p>
            <w:r>
              <w:rPr>
                <w:b w:val="0"/>
                <w:i w:val="0"/>
                <w:sz w:val="18"/>
              </w:rPr>
              <w:t>Feeder/distribution/drop cable, strand, hardware</w:t>
            </w:r>
          </w:p>
        </w:tc>
        <w:tc>
          <w:tcPr>
            <w:tcW w:type="dxa" w:w="1872"/>
            <w:vAlign w:val="center"/>
          </w:tcPr>
          <w:p>
            <w:r>
              <w:rPr>
                <w:b w:val="0"/>
                <w:i w:val="0"/>
                <w:color w:val="804000"/>
                <w:sz w:val="18"/>
                <w:highlight w:val="yellow"/>
              </w:rPr>
              <w:t>[■ qty]</w:t>
            </w:r>
          </w:p>
        </w:tc>
      </w:tr>
      <w:tr>
        <w:tc>
          <w:tcPr>
            <w:tcW w:type="dxa" w:w="2592"/>
            <w:shd w:val="clear" w:color="auto" w:fill="F2F2F2"/>
            <w:vAlign w:val="center"/>
          </w:tcPr>
          <w:p>
            <w:r>
              <w:rPr>
                <w:b w:val="0"/>
                <w:i w:val="0"/>
                <w:sz w:val="18"/>
              </w:rPr>
              <w:t>Passive optics</w:t>
            </w:r>
          </w:p>
        </w:tc>
        <w:tc>
          <w:tcPr>
            <w:tcW w:type="dxa" w:w="4896"/>
            <w:shd w:val="clear" w:color="auto" w:fill="F2F2F2"/>
            <w:vAlign w:val="center"/>
          </w:tcPr>
          <w:p>
            <w:r>
              <w:rPr>
                <w:b w:val="0"/>
                <w:i w:val="0"/>
                <w:sz w:val="18"/>
              </w:rPr>
              <w:t>Splitters, splice enclosures, terminals, pedestals</w:t>
            </w:r>
          </w:p>
        </w:tc>
        <w:tc>
          <w:tcPr>
            <w:tcW w:type="dxa" w:w="1872"/>
            <w:shd w:val="clear" w:color="auto" w:fill="F2F2F2"/>
            <w:vAlign w:val="center"/>
          </w:tcPr>
          <w:p>
            <w:r>
              <w:rPr>
                <w:b w:val="0"/>
                <w:i w:val="0"/>
                <w:color w:val="804000"/>
                <w:sz w:val="18"/>
                <w:highlight w:val="yellow"/>
              </w:rPr>
              <w:t>[■ qty]</w:t>
            </w:r>
          </w:p>
        </w:tc>
      </w:tr>
      <w:tr>
        <w:tc>
          <w:tcPr>
            <w:tcW w:type="dxa" w:w="2592"/>
            <w:vAlign w:val="center"/>
          </w:tcPr>
          <w:p>
            <w:r>
              <w:rPr>
                <w:b w:val="0"/>
                <w:i w:val="0"/>
                <w:sz w:val="18"/>
              </w:rPr>
              <w:t>Active electronics</w:t>
            </w:r>
          </w:p>
        </w:tc>
        <w:tc>
          <w:tcPr>
            <w:tcW w:type="dxa" w:w="4896"/>
            <w:vAlign w:val="center"/>
          </w:tcPr>
          <w:p>
            <w:r>
              <w:rPr>
                <w:b w:val="0"/>
                <w:i w:val="0"/>
                <w:sz w:val="18"/>
              </w:rPr>
              <w:t>OLT chassis/cards, ONTs/ONUs, optics</w:t>
            </w:r>
          </w:p>
        </w:tc>
        <w:tc>
          <w:tcPr>
            <w:tcW w:type="dxa" w:w="1872"/>
            <w:vAlign w:val="center"/>
          </w:tcPr>
          <w:p>
            <w:r>
              <w:rPr>
                <w:b w:val="0"/>
                <w:i w:val="0"/>
                <w:color w:val="804000"/>
                <w:sz w:val="18"/>
                <w:highlight w:val="yellow"/>
              </w:rPr>
              <w:t>[■ qty]</w:t>
            </w:r>
          </w:p>
        </w:tc>
      </w:tr>
      <w:tr>
        <w:tc>
          <w:tcPr>
            <w:tcW w:type="dxa" w:w="2592"/>
            <w:shd w:val="clear" w:color="auto" w:fill="F2F2F2"/>
            <w:vAlign w:val="center"/>
          </w:tcPr>
          <w:p>
            <w:r>
              <w:rPr>
                <w:b w:val="0"/>
                <w:i w:val="0"/>
                <w:sz w:val="18"/>
              </w:rPr>
              <w:t>Cabinets/huts/power</w:t>
            </w:r>
          </w:p>
        </w:tc>
        <w:tc>
          <w:tcPr>
            <w:tcW w:type="dxa" w:w="4896"/>
            <w:shd w:val="clear" w:color="auto" w:fill="F2F2F2"/>
            <w:vAlign w:val="center"/>
          </w:tcPr>
          <w:p>
            <w:r>
              <w:rPr>
                <w:b w:val="0"/>
                <w:i w:val="0"/>
                <w:sz w:val="18"/>
              </w:rPr>
              <w:t>Cabinets, shelters, rectifiers, batteries, generators</w:t>
            </w:r>
          </w:p>
        </w:tc>
        <w:tc>
          <w:tcPr>
            <w:tcW w:type="dxa" w:w="1872"/>
            <w:shd w:val="clear" w:color="auto" w:fill="F2F2F2"/>
            <w:vAlign w:val="center"/>
          </w:tcPr>
          <w:p>
            <w:r>
              <w:rPr>
                <w:b w:val="0"/>
                <w:i w:val="0"/>
                <w:color w:val="804000"/>
                <w:sz w:val="18"/>
                <w:highlight w:val="yellow"/>
              </w:rPr>
              <w:t>[■ qty]</w:t>
            </w:r>
          </w:p>
        </w:tc>
      </w:tr>
      <w:tr>
        <w:tc>
          <w:tcPr>
            <w:tcW w:type="dxa" w:w="2592"/>
            <w:vAlign w:val="center"/>
          </w:tcPr>
          <w:p>
            <w:r>
              <w:rPr>
                <w:b w:val="0"/>
                <w:i w:val="0"/>
                <w:sz w:val="18"/>
              </w:rPr>
              <w:t>Interconnection</w:t>
            </w:r>
          </w:p>
        </w:tc>
        <w:tc>
          <w:tcPr>
            <w:tcW w:type="dxa" w:w="4896"/>
            <w:vAlign w:val="center"/>
          </w:tcPr>
          <w:p>
            <w:r>
              <w:rPr>
                <w:b w:val="0"/>
                <w:i w:val="0"/>
                <w:sz w:val="18"/>
              </w:rPr>
              <w:t>Cross-connects, patch panels, transport optics</w:t>
            </w:r>
          </w:p>
        </w:tc>
        <w:tc>
          <w:tcPr>
            <w:tcW w:type="dxa" w:w="1872"/>
            <w:vAlign w:val="center"/>
          </w:tcPr>
          <w:p>
            <w:r>
              <w:rPr>
                <w:b w:val="0"/>
                <w:i w:val="0"/>
                <w:color w:val="804000"/>
                <w:sz w:val="18"/>
                <w:highlight w:val="yellow"/>
              </w:rPr>
              <w:t>[■ qty]</w:t>
            </w:r>
          </w:p>
        </w:tc>
      </w:tr>
      <w:tr>
        <w:tc>
          <w:tcPr>
            <w:tcW w:type="dxa" w:w="2592"/>
            <w:shd w:val="clear" w:color="auto" w:fill="F2F2F2"/>
            <w:vAlign w:val="center"/>
          </w:tcPr>
          <w:p>
            <w:r>
              <w:rPr>
                <w:b w:val="0"/>
                <w:i w:val="0"/>
                <w:sz w:val="18"/>
              </w:rPr>
              <w:t>Test/acceptance</w:t>
            </w:r>
          </w:p>
        </w:tc>
        <w:tc>
          <w:tcPr>
            <w:tcW w:type="dxa" w:w="4896"/>
            <w:shd w:val="clear" w:color="auto" w:fill="F2F2F2"/>
            <w:vAlign w:val="center"/>
          </w:tcPr>
          <w:p>
            <w:r>
              <w:rPr>
                <w:b w:val="0"/>
                <w:i w:val="0"/>
                <w:sz w:val="18"/>
              </w:rPr>
              <w:t>OTDR, power meters, launch fiber</w:t>
            </w:r>
          </w:p>
        </w:tc>
        <w:tc>
          <w:tcPr>
            <w:tcW w:type="dxa" w:w="1872"/>
            <w:shd w:val="clear" w:color="auto" w:fill="F2F2F2"/>
            <w:vAlign w:val="center"/>
          </w:tcPr>
          <w:p>
            <w:r>
              <w:rPr>
                <w:b w:val="0"/>
                <w:i w:val="0"/>
                <w:color w:val="804000"/>
                <w:sz w:val="18"/>
                <w:highlight w:val="yellow"/>
              </w:rPr>
              <w:t>[■ qty]</w:t>
            </w:r>
          </w:p>
        </w:tc>
      </w:tr>
    </w:tbl>
    <w:p>
      <w:pPr>
        <w:pStyle w:val="Heading1"/>
        <w:spacing w:before="240" w:after="120"/>
      </w:pPr>
      <w:r>
        <w:rPr>
          <w:rFonts w:ascii="Calibri" w:hAnsi="Calibri"/>
          <w:b/>
          <w:color w:val="1F3864"/>
          <w:sz w:val="26"/>
        </w:rPr>
        <w:t>ARTICLE 3.  INTERCONNECTION POINTS AND DEMARCATION</w:t>
      </w:r>
    </w:p>
    <w:p>
      <w:pPr>
        <w:pStyle w:val="Heading2"/>
        <w:spacing w:before="160" w:after="60"/>
      </w:pPr>
      <w:r>
        <w:rPr>
          <w:rFonts w:ascii="Calibri" w:hAnsi="Calibri"/>
          <w:b/>
          <w:color w:val="000000"/>
          <w:sz w:val="22"/>
        </w:rPr>
        <w:t>3.1  Points of Interconnection</w:t>
      </w:r>
    </w:p>
    <w:p>
      <w:r>
        <w:rPr>
          <w:b w:val="0"/>
          <w:i w:val="0"/>
        </w:rPr>
        <w:t xml:space="preserve">The Tribal Network interconnects with the RIVR Tech Existing Network and any third-party transport at defined Point of Interconnection locations. Each Point of Interconnection and its hand-off specification is a placeholder pending design: </w:t>
      </w:r>
      <w:r>
        <w:rPr>
          <w:b w:val="0"/>
          <w:i w:val="0"/>
          <w:color w:val="804000"/>
          <w:highlight w:val="yellow"/>
        </w:rPr>
        <w:t>[■ POI locations and hand-off specs]</w:t>
      </w:r>
      <w:r>
        <w:rPr>
          <w:b w:val="0"/>
          <w:i w:val="0"/>
        </w:rPr>
        <w:t>.</w:t>
      </w:r>
    </w:p>
    <w:p>
      <w:pPr>
        <w:pStyle w:val="Heading2"/>
        <w:spacing w:before="160" w:after="60"/>
      </w:pPr>
      <w:r>
        <w:rPr>
          <w:rFonts w:ascii="Calibri" w:hAnsi="Calibri"/>
          <w:b/>
          <w:color w:val="000000"/>
          <w:sz w:val="22"/>
        </w:rPr>
        <w:t>3.2  Demarcation</w:t>
      </w:r>
    </w:p>
    <w:p>
      <w:r>
        <w:rPr>
          <w:b w:val="0"/>
          <w:i w:val="0"/>
        </w:rPr>
        <w:t xml:space="preserve">The Demarcation Point between Grant-Funded Assets and the RIVR Tech Existing Network (and between the Tribal Network and LREMC Facilities) shall be defined at each interface so that ownership, Federal Interest, maintenance, and risk are unambiguous. </w:t>
      </w:r>
      <w:r>
        <w:rPr>
          <w:b w:val="0"/>
          <w:i w:val="0"/>
          <w:color w:val="804000"/>
          <w:highlight w:val="yellow"/>
        </w:rPr>
        <w:t>[■ demarcation schematic / interface list]</w:t>
      </w:r>
      <w:r>
        <w:rPr>
          <w:b w:val="0"/>
          <w:i w:val="0"/>
        </w:rPr>
        <w:t>.</w:t>
      </w:r>
    </w:p>
    <w:p>
      <w:pPr>
        <w:ind w:left="504"/>
      </w:pPr>
      <w:r>
        <w:rPr>
          <w:b/>
          <w:color w:val="007000"/>
        </w:rPr>
        <w:t xml:space="preserve">[TECHNICAL INFORMATION REQUIRED]  </w:t>
      </w:r>
      <w:r>
        <w:rPr>
          <w:i/>
          <w:color w:val="595959"/>
        </w:rPr>
        <w:t>Attach the demarcation schematic and interface matrix; confirm every ownership boundary against Schedule S3.</w:t>
      </w:r>
    </w:p>
    <w:p>
      <w:pPr>
        <w:pStyle w:val="Heading1"/>
        <w:spacing w:before="240" w:after="120"/>
      </w:pPr>
      <w:r>
        <w:rPr>
          <w:rFonts w:ascii="Calibri" w:hAnsi="Calibri"/>
          <w:b/>
          <w:color w:val="1F3864"/>
          <w:sz w:val="26"/>
        </w:rPr>
        <w:t>ARTICLE 4.  OPTICAL ACCEPTANCE TESTING</w:t>
      </w:r>
    </w:p>
    <w:p>
      <w:r>
        <w:rPr>
          <w:b w:val="0"/>
          <w:i w:val="0"/>
        </w:rPr>
        <w:t>Acceptance testing of the fiber plant shall meet the following optical criteria before segment acceptance (which triggers the term per acceptance of each Network segment):</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3864"/>
            <w:vAlign w:val="center"/>
          </w:tcPr>
          <w:p>
            <w:pPr>
              <w:jc w:val="center"/>
            </w:pPr>
            <w:r>
              <w:rPr>
                <w:b/>
                <w:color w:val="FFFFFF"/>
                <w:sz w:val="18"/>
              </w:rPr>
              <w:t>Parameter</w:t>
            </w:r>
          </w:p>
        </w:tc>
        <w:tc>
          <w:tcPr>
            <w:tcW w:type="dxa" w:w="6480"/>
            <w:shd w:val="clear" w:color="auto" w:fill="1F3864"/>
            <w:vAlign w:val="center"/>
          </w:tcPr>
          <w:p>
            <w:pPr>
              <w:jc w:val="center"/>
            </w:pPr>
            <w:r>
              <w:rPr>
                <w:b/>
                <w:color w:val="FFFFFF"/>
                <w:sz w:val="18"/>
              </w:rPr>
              <w:t>Acceptance Criterion</w:t>
            </w:r>
          </w:p>
        </w:tc>
      </w:tr>
      <w:tr>
        <w:tc>
          <w:tcPr>
            <w:tcW w:type="dxa" w:w="2880"/>
            <w:vAlign w:val="center"/>
          </w:tcPr>
          <w:p>
            <w:r>
              <w:rPr>
                <w:b w:val="0"/>
                <w:i w:val="0"/>
                <w:sz w:val="18"/>
              </w:rPr>
              <w:t>Test wavelengths</w:t>
            </w:r>
          </w:p>
        </w:tc>
        <w:tc>
          <w:tcPr>
            <w:tcW w:type="dxa" w:w="6480"/>
            <w:vAlign w:val="center"/>
          </w:tcPr>
          <w:p>
            <w:r>
              <w:rPr>
                <w:b w:val="0"/>
                <w:i w:val="0"/>
                <w:sz w:val="18"/>
              </w:rPr>
              <w:t>1310 nm and 1550 nm</w:t>
            </w:r>
          </w:p>
        </w:tc>
      </w:tr>
      <w:tr>
        <w:tc>
          <w:tcPr>
            <w:tcW w:type="dxa" w:w="2880"/>
            <w:shd w:val="clear" w:color="auto" w:fill="F2F2F2"/>
            <w:vAlign w:val="center"/>
          </w:tcPr>
          <w:p>
            <w:r>
              <w:rPr>
                <w:b w:val="0"/>
                <w:i w:val="0"/>
                <w:sz w:val="18"/>
              </w:rPr>
              <w:t>Test method</w:t>
            </w:r>
          </w:p>
        </w:tc>
        <w:tc>
          <w:tcPr>
            <w:tcW w:type="dxa" w:w="6480"/>
            <w:shd w:val="clear" w:color="auto" w:fill="F2F2F2"/>
            <w:vAlign w:val="center"/>
          </w:tcPr>
          <w:p>
            <w:r>
              <w:rPr>
                <w:b w:val="0"/>
                <w:i w:val="0"/>
                <w:sz w:val="18"/>
              </w:rPr>
              <w:t>bi-directional OTDR</w:t>
            </w:r>
          </w:p>
        </w:tc>
      </w:tr>
      <w:tr>
        <w:tc>
          <w:tcPr>
            <w:tcW w:type="dxa" w:w="2880"/>
            <w:vAlign w:val="center"/>
          </w:tcPr>
          <w:p>
            <w:r>
              <w:rPr>
                <w:b w:val="0"/>
                <w:i w:val="0"/>
                <w:sz w:val="18"/>
              </w:rPr>
              <w:t>Splice loss (max)</w:t>
            </w:r>
          </w:p>
        </w:tc>
        <w:tc>
          <w:tcPr>
            <w:tcW w:type="dxa" w:w="6480"/>
            <w:vAlign w:val="center"/>
          </w:tcPr>
          <w:p>
            <w:r>
              <w:rPr>
                <w:b w:val="0"/>
                <w:i w:val="0"/>
                <w:sz w:val="18"/>
              </w:rPr>
              <w:t>0.10 dB (average) / 0.30 dB (maximum) per fusion splice</w:t>
            </w:r>
          </w:p>
        </w:tc>
      </w:tr>
      <w:tr>
        <w:tc>
          <w:tcPr>
            <w:tcW w:type="dxa" w:w="2880"/>
            <w:shd w:val="clear" w:color="auto" w:fill="F2F2F2"/>
            <w:vAlign w:val="center"/>
          </w:tcPr>
          <w:p>
            <w:r>
              <w:rPr>
                <w:b w:val="0"/>
                <w:i w:val="0"/>
                <w:sz w:val="18"/>
              </w:rPr>
              <w:t>Connector loss (max)</w:t>
            </w:r>
          </w:p>
        </w:tc>
        <w:tc>
          <w:tcPr>
            <w:tcW w:type="dxa" w:w="6480"/>
            <w:shd w:val="clear" w:color="auto" w:fill="F2F2F2"/>
            <w:vAlign w:val="center"/>
          </w:tcPr>
          <w:p>
            <w:r>
              <w:rPr>
                <w:b w:val="0"/>
                <w:i w:val="0"/>
                <w:sz w:val="18"/>
              </w:rPr>
              <w:t>0.50 dB per mated connector pair</w:t>
            </w:r>
          </w:p>
        </w:tc>
      </w:tr>
      <w:tr>
        <w:tc>
          <w:tcPr>
            <w:tcW w:type="dxa" w:w="2880"/>
            <w:vAlign w:val="center"/>
          </w:tcPr>
          <w:p>
            <w:r>
              <w:rPr>
                <w:b w:val="0"/>
                <w:i w:val="0"/>
                <w:sz w:val="18"/>
              </w:rPr>
              <w:t>Span-loss budget</w:t>
            </w:r>
          </w:p>
        </w:tc>
        <w:tc>
          <w:tcPr>
            <w:tcW w:type="dxa" w:w="6480"/>
            <w:vAlign w:val="center"/>
          </w:tcPr>
          <w:p>
            <w:r>
              <w:rPr>
                <w:b w:val="0"/>
                <w:i w:val="0"/>
                <w:sz w:val="18"/>
              </w:rPr>
              <w:t>consistent with the span-loss budget calculated at 0.35 dB/km at 1310 nm and 0.25 dB/km at 1550 nm, plus splice and connector losses</w:t>
            </w:r>
          </w:p>
        </w:tc>
      </w:tr>
      <w:tr>
        <w:tc>
          <w:tcPr>
            <w:tcW w:type="dxa" w:w="2880"/>
            <w:shd w:val="clear" w:color="auto" w:fill="F2F2F2"/>
            <w:vAlign w:val="center"/>
          </w:tcPr>
          <w:p>
            <w:r>
              <w:rPr>
                <w:b w:val="0"/>
                <w:i w:val="0"/>
                <w:sz w:val="18"/>
              </w:rPr>
              <w:t>Reflectance (max)</w:t>
            </w:r>
          </w:p>
        </w:tc>
        <w:tc>
          <w:tcPr>
            <w:tcW w:type="dxa" w:w="6480"/>
            <w:shd w:val="clear" w:color="auto" w:fill="F2F2F2"/>
            <w:vAlign w:val="center"/>
          </w:tcPr>
          <w:p>
            <w:r>
              <w:rPr>
                <w:b w:val="0"/>
                <w:i w:val="0"/>
                <w:sz w:val="18"/>
              </w:rPr>
              <w:t>-40 dB (UPC) / -55 dB (APC)</w:t>
            </w:r>
          </w:p>
        </w:tc>
      </w:tr>
    </w:tbl>
    <w:p>
      <w:pPr>
        <w:ind w:left="504"/>
      </w:pPr>
      <w:r>
        <w:rPr>
          <w:b/>
          <w:color w:val="007000"/>
        </w:rPr>
        <w:t xml:space="preserve">[TECHNICAL INFORMATION REQUIRED]  </w:t>
      </w:r>
      <w:r>
        <w:rPr>
          <w:i/>
          <w:color w:val="595959"/>
        </w:rPr>
        <w:t>Optical acceptance results are prerequisites to segment acceptance and to any construction milestone payment under Schedule S5.</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S4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