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SCHEDULE S6 — Operations, Service Levels, Lifecycle, Spares, Refresh, and Reserves</w:t>
      </w:r>
    </w:p>
    <w:p>
      <w:pPr>
        <w:jc w:val="center"/>
      </w:pPr>
      <w:r>
        <w:rPr>
          <w:b/>
          <w:color w:val="1F3864"/>
          <w:sz w:val="48"/>
        </w:rPr>
        <w:t>Operations, Service Levels, Lifecycle, Spares, Refresh, and Reserves</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r>
        <w:rPr>
          <w:b w:val="0"/>
          <w:i/>
        </w:rPr>
        <w:t>This is Schedule S6 (Operations, Service Levels, Lifecycle, Spares, Refresh, and Reserves) to the Master TBCP Partnership and Implementation Agreement. Capitalized terms used and not otherwise defined in a document have the meanings given in Article 2 (Definitions) of the Master TBCP Partnership and Implementation Agreement, which is the single shared definitions source for the package.</w:t>
      </w:r>
    </w:p>
    <w:p>
      <w:r>
        <w:rPr>
          <w:b w:val="0"/>
          <w:i/>
        </w:rPr>
        <w:t>No commercial agreement, schedule, or form authorizes any act prohibited by, or inconsistent with, the Award or applicable federal law; in any conflict the higher-ranked instrument controls, and a lawful construction and service provision is not invalidated by a rejected IRU, exclusivity, payment, or commercial-use term (severability and reformation apply).</w:t>
      </w:r>
    </w:p>
    <w:p/>
    <w:p>
      <w:pPr>
        <w:pStyle w:val="Heading1"/>
        <w:spacing w:before="240" w:after="120"/>
      </w:pPr>
      <w:r>
        <w:rPr>
          <w:rFonts w:ascii="Calibri" w:hAnsi="Calibri"/>
          <w:b/>
          <w:color w:val="1F3864"/>
          <w:sz w:val="26"/>
        </w:rPr>
        <w:t>ARTICLE 1.  SERVICE LEVEL AGREEMENT (SEVERITY MATRIX)</w:t>
      </w:r>
    </w:p>
    <w:p>
      <w:r>
        <w:rPr>
          <w:b w:val="0"/>
          <w:i w:val="0"/>
        </w:rPr>
        <w:t>RIVR Tech shall operate and maintain the Tribal Network to the following service levels. The Network Operations Center operates 24 hours per day, 7 days per week, 365 days per year.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3864"/>
            <w:vAlign w:val="center"/>
          </w:tcPr>
          <w:p>
            <w:pPr>
              <w:jc w:val="center"/>
            </w:pPr>
            <w:r>
              <w:rPr>
                <w:b/>
                <w:color w:val="FFFFFF"/>
                <w:sz w:val="18"/>
              </w:rPr>
              <w:t>Severity</w:t>
            </w:r>
          </w:p>
        </w:tc>
        <w:tc>
          <w:tcPr>
            <w:tcW w:type="dxa" w:w="3744"/>
            <w:shd w:val="clear" w:color="auto" w:fill="1F3864"/>
            <w:vAlign w:val="center"/>
          </w:tcPr>
          <w:p>
            <w:pPr>
              <w:jc w:val="center"/>
            </w:pPr>
            <w:r>
              <w:rPr>
                <w:b/>
                <w:color w:val="FFFFFF"/>
                <w:sz w:val="18"/>
              </w:rPr>
              <w:t>Definition</w:t>
            </w:r>
          </w:p>
        </w:tc>
        <w:tc>
          <w:tcPr>
            <w:tcW w:type="dxa" w:w="1440"/>
            <w:shd w:val="clear" w:color="auto" w:fill="1F3864"/>
            <w:vAlign w:val="center"/>
          </w:tcPr>
          <w:p>
            <w:pPr>
              <w:jc w:val="center"/>
            </w:pPr>
            <w:r>
              <w:rPr>
                <w:b/>
                <w:color w:val="FFFFFF"/>
                <w:sz w:val="18"/>
              </w:rPr>
              <w:t>Response</w:t>
            </w:r>
          </w:p>
        </w:tc>
        <w:tc>
          <w:tcPr>
            <w:tcW w:type="dxa" w:w="1296"/>
            <w:shd w:val="clear" w:color="auto" w:fill="1F3864"/>
            <w:vAlign w:val="center"/>
          </w:tcPr>
          <w:p>
            <w:pPr>
              <w:jc w:val="center"/>
            </w:pPr>
            <w:r>
              <w:rPr>
                <w:b/>
                <w:color w:val="FFFFFF"/>
                <w:sz w:val="18"/>
              </w:rPr>
              <w:t>Dispatch</w:t>
            </w:r>
          </w:p>
        </w:tc>
        <w:tc>
          <w:tcPr>
            <w:tcW w:type="dxa" w:w="1296"/>
            <w:shd w:val="clear" w:color="auto" w:fill="1F3864"/>
            <w:vAlign w:val="center"/>
          </w:tcPr>
          <w:p>
            <w:pPr>
              <w:jc w:val="center"/>
            </w:pPr>
            <w:r>
              <w:rPr>
                <w:b/>
                <w:color w:val="FFFFFF"/>
                <w:sz w:val="18"/>
              </w:rPr>
              <w:t>Restore</w:t>
            </w:r>
          </w:p>
        </w:tc>
      </w:tr>
      <w:tr>
        <w:tc>
          <w:tcPr>
            <w:tcW w:type="dxa" w:w="1872"/>
            <w:vAlign w:val="center"/>
          </w:tcPr>
          <w:p>
            <w:r>
              <w:rPr>
                <w:b w:val="0"/>
                <w:i w:val="0"/>
                <w:sz w:val="18"/>
              </w:rPr>
              <w:t>P1 — Critical</w:t>
            </w:r>
          </w:p>
        </w:tc>
        <w:tc>
          <w:tcPr>
            <w:tcW w:type="dxa" w:w="3744"/>
            <w:vAlign w:val="center"/>
          </w:tcPr>
          <w:p>
            <w:r>
              <w:rPr>
                <w:b w:val="0"/>
                <w:i w:val="0"/>
                <w:sz w:val="18"/>
              </w:rPr>
              <w:t>Total/major outage; Essential Services down</w:t>
            </w:r>
          </w:p>
        </w:tc>
        <w:tc>
          <w:tcPr>
            <w:tcW w:type="dxa" w:w="1440"/>
            <w:vAlign w:val="center"/>
          </w:tcPr>
          <w:p>
            <w:r>
              <w:rPr>
                <w:b w:val="0"/>
                <w:i w:val="0"/>
                <w:sz w:val="18"/>
              </w:rPr>
              <w:t>15 min</w:t>
            </w:r>
          </w:p>
        </w:tc>
        <w:tc>
          <w:tcPr>
            <w:tcW w:type="dxa" w:w="1296"/>
            <w:vAlign w:val="center"/>
          </w:tcPr>
          <w:p>
            <w:r>
              <w:rPr>
                <w:b w:val="0"/>
                <w:i w:val="0"/>
                <w:sz w:val="18"/>
              </w:rPr>
              <w:t>2 hr</w:t>
            </w:r>
          </w:p>
        </w:tc>
        <w:tc>
          <w:tcPr>
            <w:tcW w:type="dxa" w:w="1296"/>
            <w:vAlign w:val="center"/>
          </w:tcPr>
          <w:p>
            <w:r>
              <w:rPr>
                <w:b w:val="0"/>
                <w:i w:val="0"/>
                <w:sz w:val="18"/>
              </w:rPr>
              <w:t>8 hr</w:t>
            </w:r>
          </w:p>
        </w:tc>
      </w:tr>
      <w:tr>
        <w:tc>
          <w:tcPr>
            <w:tcW w:type="dxa" w:w="1872"/>
            <w:shd w:val="clear" w:color="auto" w:fill="F2F2F2"/>
            <w:vAlign w:val="center"/>
          </w:tcPr>
          <w:p>
            <w:r>
              <w:rPr>
                <w:b w:val="0"/>
                <w:i w:val="0"/>
                <w:sz w:val="18"/>
              </w:rPr>
              <w:t>P2 — High</w:t>
            </w:r>
          </w:p>
        </w:tc>
        <w:tc>
          <w:tcPr>
            <w:tcW w:type="dxa" w:w="3744"/>
            <w:shd w:val="clear" w:color="auto" w:fill="F2F2F2"/>
            <w:vAlign w:val="center"/>
          </w:tcPr>
          <w:p>
            <w:r>
              <w:rPr>
                <w:b w:val="0"/>
                <w:i w:val="0"/>
                <w:sz w:val="18"/>
              </w:rPr>
              <w:t>Partial outage / significant degradation</w:t>
            </w:r>
          </w:p>
        </w:tc>
        <w:tc>
          <w:tcPr>
            <w:tcW w:type="dxa" w:w="1440"/>
            <w:shd w:val="clear" w:color="auto" w:fill="F2F2F2"/>
            <w:vAlign w:val="center"/>
          </w:tcPr>
          <w:p>
            <w:r>
              <w:rPr>
                <w:b w:val="0"/>
                <w:i w:val="0"/>
                <w:sz w:val="18"/>
              </w:rPr>
              <w:t>30 min</w:t>
            </w:r>
          </w:p>
        </w:tc>
        <w:tc>
          <w:tcPr>
            <w:tcW w:type="dxa" w:w="1296"/>
            <w:shd w:val="clear" w:color="auto" w:fill="F2F2F2"/>
            <w:vAlign w:val="center"/>
          </w:tcPr>
          <w:p>
            <w:r>
              <w:rPr>
                <w:b w:val="0"/>
                <w:i w:val="0"/>
                <w:sz w:val="18"/>
              </w:rPr>
              <w:t>4 hr</w:t>
            </w:r>
          </w:p>
        </w:tc>
        <w:tc>
          <w:tcPr>
            <w:tcW w:type="dxa" w:w="1296"/>
            <w:shd w:val="clear" w:color="auto" w:fill="F2F2F2"/>
            <w:vAlign w:val="center"/>
          </w:tcPr>
          <w:p>
            <w:r>
              <w:rPr>
                <w:b w:val="0"/>
                <w:i w:val="0"/>
                <w:sz w:val="18"/>
              </w:rPr>
              <w:t>24 hr</w:t>
            </w:r>
          </w:p>
        </w:tc>
      </w:tr>
      <w:tr>
        <w:tc>
          <w:tcPr>
            <w:tcW w:type="dxa" w:w="1872"/>
            <w:vAlign w:val="center"/>
          </w:tcPr>
          <w:p>
            <w:r>
              <w:rPr>
                <w:b w:val="0"/>
                <w:i w:val="0"/>
                <w:sz w:val="18"/>
              </w:rPr>
              <w:t>P3 — Medium</w:t>
            </w:r>
          </w:p>
        </w:tc>
        <w:tc>
          <w:tcPr>
            <w:tcW w:type="dxa" w:w="3744"/>
            <w:vAlign w:val="center"/>
          </w:tcPr>
          <w:p>
            <w:r>
              <w:rPr>
                <w:b w:val="0"/>
                <w:i w:val="0"/>
                <w:sz w:val="18"/>
              </w:rPr>
              <w:t>Limited impact; workaround available</w:t>
            </w:r>
          </w:p>
        </w:tc>
        <w:tc>
          <w:tcPr>
            <w:tcW w:type="dxa" w:w="1440"/>
            <w:vAlign w:val="center"/>
          </w:tcPr>
          <w:p>
            <w:r>
              <w:rPr>
                <w:b w:val="0"/>
                <w:i w:val="0"/>
                <w:sz w:val="18"/>
              </w:rPr>
              <w:t>4 hr</w:t>
            </w:r>
          </w:p>
        </w:tc>
        <w:tc>
          <w:tcPr>
            <w:tcW w:type="dxa" w:w="1296"/>
            <w:vAlign w:val="center"/>
          </w:tcPr>
          <w:p>
            <w:r>
              <w:rPr>
                <w:b w:val="0"/>
                <w:i w:val="0"/>
                <w:sz w:val="18"/>
              </w:rPr>
              <w:t>24 hr</w:t>
            </w:r>
          </w:p>
        </w:tc>
        <w:tc>
          <w:tcPr>
            <w:tcW w:type="dxa" w:w="1296"/>
            <w:vAlign w:val="center"/>
          </w:tcPr>
          <w:p>
            <w:r>
              <w:rPr>
                <w:b w:val="0"/>
                <w:i w:val="0"/>
                <w:sz w:val="18"/>
              </w:rPr>
              <w:t>5 days</w:t>
            </w:r>
          </w:p>
        </w:tc>
      </w:tr>
      <w:tr>
        <w:tc>
          <w:tcPr>
            <w:tcW w:type="dxa" w:w="1872"/>
            <w:shd w:val="clear" w:color="auto" w:fill="F2F2F2"/>
            <w:vAlign w:val="center"/>
          </w:tcPr>
          <w:p>
            <w:r>
              <w:rPr>
                <w:b w:val="0"/>
                <w:i w:val="0"/>
                <w:sz w:val="18"/>
              </w:rPr>
              <w:t>P4 — Low</w:t>
            </w:r>
          </w:p>
        </w:tc>
        <w:tc>
          <w:tcPr>
            <w:tcW w:type="dxa" w:w="3744"/>
            <w:shd w:val="clear" w:color="auto" w:fill="F2F2F2"/>
            <w:vAlign w:val="center"/>
          </w:tcPr>
          <w:p>
            <w:r>
              <w:rPr>
                <w:b w:val="0"/>
                <w:i w:val="0"/>
                <w:sz w:val="18"/>
              </w:rPr>
              <w:t>Minor / single-subscriber / cosmetic</w:t>
            </w:r>
          </w:p>
        </w:tc>
        <w:tc>
          <w:tcPr>
            <w:tcW w:type="dxa" w:w="1440"/>
            <w:shd w:val="clear" w:color="auto" w:fill="F2F2F2"/>
            <w:vAlign w:val="center"/>
          </w:tcPr>
          <w:p>
            <w:r>
              <w:rPr>
                <w:b w:val="0"/>
                <w:i w:val="0"/>
                <w:sz w:val="18"/>
              </w:rPr>
              <w:t>8 hr</w:t>
            </w:r>
          </w:p>
        </w:tc>
        <w:tc>
          <w:tcPr>
            <w:tcW w:type="dxa" w:w="1296"/>
            <w:shd w:val="clear" w:color="auto" w:fill="F2F2F2"/>
            <w:vAlign w:val="center"/>
          </w:tcPr>
          <w:p>
            <w:r>
              <w:rPr>
                <w:b w:val="0"/>
                <w:i w:val="0"/>
                <w:sz w:val="18"/>
              </w:rPr>
              <w:t>scheduled</w:t>
            </w:r>
          </w:p>
        </w:tc>
        <w:tc>
          <w:tcPr>
            <w:tcW w:type="dxa" w:w="1296"/>
            <w:shd w:val="clear" w:color="auto" w:fill="F2F2F2"/>
            <w:vAlign w:val="center"/>
          </w:tcPr>
          <w:p>
            <w:r>
              <w:rPr>
                <w:b w:val="0"/>
                <w:i w:val="0"/>
                <w:sz w:val="18"/>
              </w:rPr>
              <w:t>30 days</w:t>
            </w:r>
          </w:p>
        </w:tc>
      </w:tr>
    </w:tbl>
    <w:p>
      <w:pPr>
        <w:pStyle w:val="Heading2"/>
        <w:spacing w:before="160" w:after="60"/>
      </w:pPr>
      <w:r>
        <w:rPr>
          <w:rFonts w:ascii="Calibri" w:hAnsi="Calibri"/>
          <w:b/>
          <w:color w:val="000000"/>
          <w:sz w:val="22"/>
        </w:rPr>
        <w:t>1.1  Performance Targets</w:t>
      </w:r>
    </w:p>
    <w:p>
      <w:r>
        <w:rPr>
          <w:b w:val="0"/>
          <w:i w:val="0"/>
        </w:rPr>
        <w:t xml:space="preserve">Availability target 99.9%; latency ≤ 100 ms; packet loss ≤ 0.1%; jitter ≤ 30 ms. Measurement methodology and service credits are </w:t>
      </w:r>
      <w:r>
        <w:rPr>
          <w:b w:val="0"/>
          <w:i w:val="0"/>
          <w:color w:val="804000"/>
          <w:highlight w:val="yellow"/>
        </w:rPr>
        <w:t>[■ SLA measurement window &amp; service-credit schedule]</w:t>
      </w:r>
      <w:r>
        <w:rPr>
          <w:b w:val="0"/>
          <w:i w:val="0"/>
        </w:rPr>
        <w:t>.</w:t>
      </w:r>
    </w:p>
    <w:p>
      <w:pPr>
        <w:pStyle w:val="Heading1"/>
        <w:spacing w:before="240" w:after="120"/>
      </w:pPr>
      <w:r>
        <w:rPr>
          <w:rFonts w:ascii="Calibri" w:hAnsi="Calibri"/>
          <w:b/>
          <w:color w:val="1F3864"/>
          <w:sz w:val="26"/>
        </w:rPr>
        <w:t>ARTICLE 2.  LIFECYCLE MANAGEMENT</w:t>
      </w:r>
    </w:p>
    <w:p>
      <w:pPr>
        <w:pStyle w:val="ListBullet"/>
      </w:pPr>
      <w:r>
        <w:rPr>
          <w:b w:val="0"/>
          <w:i w:val="0"/>
        </w:rPr>
        <w:t xml:space="preserve">Preventive maintenance program with documented intervals and records </w:t>
      </w:r>
      <w:r>
        <w:rPr>
          <w:b w:val="0"/>
          <w:i w:val="0"/>
          <w:color w:val="804000"/>
          <w:highlight w:val="yellow"/>
        </w:rPr>
        <w:t>[■ PM intervals]</w:t>
      </w:r>
    </w:p>
    <w:p>
      <w:pPr>
        <w:pStyle w:val="ListBullet"/>
      </w:pPr>
      <w:r>
        <w:rPr>
          <w:b w:val="0"/>
          <w:i w:val="0"/>
        </w:rPr>
        <w:t xml:space="preserve">Fiber and electronics lifecycle tracking against manufacturer useful life </w:t>
      </w:r>
      <w:r>
        <w:rPr>
          <w:b w:val="0"/>
          <w:i w:val="0"/>
          <w:color w:val="804000"/>
          <w:highlight w:val="yellow"/>
        </w:rPr>
        <w:t>[■ useful life by asset class]</w:t>
      </w:r>
    </w:p>
    <w:p>
      <w:pPr>
        <w:pStyle w:val="ListBullet"/>
      </w:pPr>
      <w:r>
        <w:rPr>
          <w:b w:val="0"/>
          <w:i w:val="0"/>
        </w:rPr>
        <w:t>Configuration, firmware, and patch management aligned with Schedule S11</w:t>
      </w:r>
    </w:p>
    <w:p>
      <w:pPr>
        <w:pStyle w:val="ListBullet"/>
      </w:pPr>
      <w:r>
        <w:rPr>
          <w:b w:val="0"/>
          <w:i w:val="0"/>
        </w:rPr>
        <w:t>Asset records reconciled to the Schedule S3 register and Federal Interest tracking</w:t>
      </w:r>
    </w:p>
    <w:p>
      <w:pPr>
        <w:pStyle w:val="Heading1"/>
        <w:spacing w:before="240" w:after="120"/>
      </w:pPr>
      <w:r>
        <w:rPr>
          <w:rFonts w:ascii="Calibri" w:hAnsi="Calibri"/>
          <w:b/>
          <w:color w:val="1F3864"/>
          <w:sz w:val="26"/>
        </w:rPr>
        <w:t>ARTICLE 3.  SPARES AND REFRESH</w:t>
      </w:r>
    </w:p>
    <w:p>
      <w:pPr>
        <w:pStyle w:val="Heading2"/>
        <w:spacing w:before="160" w:after="60"/>
      </w:pPr>
      <w:r>
        <w:rPr>
          <w:rFonts w:ascii="Calibri" w:hAnsi="Calibri"/>
          <w:b/>
          <w:color w:val="000000"/>
          <w:sz w:val="22"/>
        </w:rPr>
        <w:t>3.1  Spares</w:t>
      </w:r>
    </w:p>
    <w:p>
      <w:r>
        <w:rPr>
          <w:b w:val="0"/>
          <w:i w:val="0"/>
        </w:rPr>
        <w:t xml:space="preserve">A critical-spares inventory (OLT cards, ONTs, optics, splice materials, power components) shall be maintained at levels sufficient to meet the P1/P2 restore targets. Minimum spare quantities: </w:t>
      </w:r>
      <w:r>
        <w:rPr>
          <w:b w:val="0"/>
          <w:i w:val="0"/>
          <w:color w:val="804000"/>
          <w:highlight w:val="yellow"/>
        </w:rPr>
        <w:t>[■ spares levels by part]</w:t>
      </w:r>
      <w:r>
        <w:rPr>
          <w:b w:val="0"/>
          <w:i w:val="0"/>
        </w:rPr>
        <w:t>.</w:t>
      </w:r>
    </w:p>
    <w:p>
      <w:pPr>
        <w:pStyle w:val="Heading2"/>
        <w:spacing w:before="160" w:after="60"/>
      </w:pPr>
      <w:r>
        <w:rPr>
          <w:rFonts w:ascii="Calibri" w:hAnsi="Calibri"/>
          <w:b/>
          <w:color w:val="000000"/>
          <w:sz w:val="22"/>
        </w:rPr>
        <w:t>3.2  Technology Refresh</w:t>
      </w:r>
    </w:p>
    <w:p>
      <w:r>
        <w:rPr>
          <w:b w:val="0"/>
          <w:i w:val="0"/>
        </w:rPr>
        <w:t xml:space="preserve">Active electronics shall follow a refresh cycle of </w:t>
      </w:r>
      <w:r>
        <w:rPr>
          <w:b w:val="0"/>
          <w:i w:val="0"/>
          <w:color w:val="804000"/>
          <w:highlight w:val="yellow"/>
        </w:rPr>
        <w:t>[■ refresh cycle, e.g., 7–10 years]</w:t>
      </w:r>
      <w:r>
        <w:rPr>
          <w:b w:val="0"/>
          <w:i w:val="0"/>
        </w:rPr>
        <w:t>, coordinated with the useful life of the Grant-Funded Assets and any Federal Interest constraints on disposition of replaced equipment.</w:t>
      </w:r>
    </w:p>
    <w:p>
      <w:pPr>
        <w:pStyle w:val="Heading1"/>
        <w:spacing w:before="240" w:after="120"/>
      </w:pPr>
      <w:r>
        <w:rPr>
          <w:rFonts w:ascii="Calibri" w:hAnsi="Calibri"/>
          <w:b/>
          <w:color w:val="1F3864"/>
          <w:sz w:val="26"/>
        </w:rPr>
        <w:t>ARTICLE 4.  REPLACEMENT RESERVE</w:t>
      </w:r>
    </w:p>
    <w:p>
      <w:r>
        <w:rPr>
          <w:b w:val="0"/>
          <w:i w:val="0"/>
        </w:rPr>
        <w:t>A replacement reserve shall be funded to ensure long-term sustainability of the Grant-Funded Assets across the term (20 years from acceptance of each Network segment, plus two (2) optional renewal terms of five (5) years each).</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color="auto" w:fill="1F3864"/>
            <w:vAlign w:val="center"/>
          </w:tcPr>
          <w:p>
            <w:pPr>
              <w:jc w:val="center"/>
            </w:pPr>
            <w:r>
              <w:rPr>
                <w:b/>
                <w:color w:val="FFFFFF"/>
                <w:sz w:val="18"/>
              </w:rPr>
              <w:t>Reserve Element</w:t>
            </w:r>
          </w:p>
        </w:tc>
        <w:tc>
          <w:tcPr>
            <w:tcW w:type="dxa" w:w="3744"/>
            <w:shd w:val="clear" w:color="auto" w:fill="1F3864"/>
            <w:vAlign w:val="center"/>
          </w:tcPr>
          <w:p>
            <w:pPr>
              <w:jc w:val="center"/>
            </w:pPr>
            <w:r>
              <w:rPr>
                <w:b/>
                <w:color w:val="FFFFFF"/>
                <w:sz w:val="18"/>
              </w:rPr>
              <w:t>Basis</w:t>
            </w:r>
          </w:p>
        </w:tc>
        <w:tc>
          <w:tcPr>
            <w:tcW w:type="dxa" w:w="2448"/>
            <w:shd w:val="clear" w:color="auto" w:fill="1F3864"/>
            <w:vAlign w:val="center"/>
          </w:tcPr>
          <w:p>
            <w:pPr>
              <w:jc w:val="center"/>
            </w:pPr>
            <w:r>
              <w:rPr>
                <w:b/>
                <w:color w:val="FFFFFF"/>
                <w:sz w:val="18"/>
              </w:rPr>
              <w:t>Amount / Rate</w:t>
            </w:r>
          </w:p>
        </w:tc>
      </w:tr>
      <w:tr>
        <w:tc>
          <w:tcPr>
            <w:tcW w:type="dxa" w:w="3168"/>
            <w:vAlign w:val="center"/>
          </w:tcPr>
          <w:p>
            <w:r>
              <w:rPr>
                <w:b w:val="0"/>
                <w:i w:val="0"/>
                <w:sz w:val="18"/>
              </w:rPr>
              <w:t>Annual reserve contribution</w:t>
            </w:r>
          </w:p>
        </w:tc>
        <w:tc>
          <w:tcPr>
            <w:tcW w:type="dxa" w:w="3744"/>
            <w:vAlign w:val="center"/>
          </w:tcPr>
          <w:p>
            <w:r>
              <w:rPr>
                <w:b w:val="0"/>
                <w:i w:val="0"/>
                <w:color w:val="804000"/>
                <w:sz w:val="18"/>
                <w:highlight w:val="yellow"/>
              </w:rPr>
              <w:t>[■ basis]</w:t>
            </w:r>
          </w:p>
        </w:tc>
        <w:tc>
          <w:tcPr>
            <w:tcW w:type="dxa" w:w="2448"/>
            <w:vAlign w:val="center"/>
          </w:tcPr>
          <w:p>
            <w:r>
              <w:rPr>
                <w:b w:val="0"/>
                <w:i w:val="0"/>
                <w:color w:val="804000"/>
                <w:sz w:val="18"/>
                <w:highlight w:val="yellow"/>
              </w:rPr>
              <w:t>[■ $ or % of revenue]</w:t>
            </w:r>
          </w:p>
        </w:tc>
      </w:tr>
      <w:tr>
        <w:tc>
          <w:tcPr>
            <w:tcW w:type="dxa" w:w="3168"/>
            <w:shd w:val="clear" w:color="auto" w:fill="F2F2F2"/>
            <w:vAlign w:val="center"/>
          </w:tcPr>
          <w:p>
            <w:r>
              <w:rPr>
                <w:b w:val="0"/>
                <w:i w:val="0"/>
                <w:sz w:val="18"/>
              </w:rPr>
              <w:t>Reserve funding source</w:t>
            </w:r>
          </w:p>
        </w:tc>
        <w:tc>
          <w:tcPr>
            <w:tcW w:type="dxa" w:w="3744"/>
            <w:shd w:val="clear" w:color="auto" w:fill="F2F2F2"/>
            <w:vAlign w:val="center"/>
          </w:tcPr>
          <w:p>
            <w:r>
              <w:rPr>
                <w:b w:val="0"/>
                <w:i w:val="0"/>
                <w:sz w:val="18"/>
              </w:rPr>
              <w:t>Operating revenue / per-subscriber payment</w:t>
            </w:r>
          </w:p>
        </w:tc>
        <w:tc>
          <w:tcPr>
            <w:tcW w:type="dxa" w:w="2448"/>
            <w:shd w:val="clear" w:color="auto" w:fill="F2F2F2"/>
            <w:vAlign w:val="center"/>
          </w:tcPr>
          <w:p>
            <w:r>
              <w:rPr>
                <w:b w:val="0"/>
                <w:i w:val="0"/>
                <w:color w:val="804000"/>
                <w:sz w:val="18"/>
                <w:highlight w:val="yellow"/>
              </w:rPr>
              <w:t>[■ allocation]</w:t>
            </w:r>
          </w:p>
        </w:tc>
      </w:tr>
      <w:tr>
        <w:tc>
          <w:tcPr>
            <w:tcW w:type="dxa" w:w="3168"/>
            <w:vAlign w:val="center"/>
          </w:tcPr>
          <w:p>
            <w:r>
              <w:rPr>
                <w:b w:val="0"/>
                <w:i w:val="0"/>
                <w:sz w:val="18"/>
              </w:rPr>
              <w:t>Reserve floor / target balance</w:t>
            </w:r>
          </w:p>
        </w:tc>
        <w:tc>
          <w:tcPr>
            <w:tcW w:type="dxa" w:w="3744"/>
            <w:vAlign w:val="center"/>
          </w:tcPr>
          <w:p>
            <w:r>
              <w:rPr>
                <w:b w:val="0"/>
                <w:i w:val="0"/>
                <w:color w:val="804000"/>
                <w:sz w:val="18"/>
                <w:highlight w:val="yellow"/>
              </w:rPr>
              <w:t>[■ basis]</w:t>
            </w:r>
          </w:p>
        </w:tc>
        <w:tc>
          <w:tcPr>
            <w:tcW w:type="dxa" w:w="2448"/>
            <w:vAlign w:val="center"/>
          </w:tcPr>
          <w:p>
            <w:r>
              <w:rPr>
                <w:b w:val="0"/>
                <w:i w:val="0"/>
                <w:color w:val="804000"/>
                <w:sz w:val="18"/>
                <w:highlight w:val="yellow"/>
              </w:rPr>
              <w:t>[■ target balance]</w:t>
            </w:r>
          </w:p>
        </w:tc>
      </w:tr>
      <w:tr>
        <w:tc>
          <w:tcPr>
            <w:tcW w:type="dxa" w:w="3168"/>
            <w:shd w:val="clear" w:color="auto" w:fill="F2F2F2"/>
            <w:vAlign w:val="center"/>
          </w:tcPr>
          <w:p>
            <w:r>
              <w:rPr>
                <w:b w:val="0"/>
                <w:i w:val="0"/>
                <w:sz w:val="18"/>
              </w:rPr>
              <w:t>Governance of reserve draws</w:t>
            </w:r>
          </w:p>
        </w:tc>
        <w:tc>
          <w:tcPr>
            <w:tcW w:type="dxa" w:w="3744"/>
            <w:shd w:val="clear" w:color="auto" w:fill="F2F2F2"/>
            <w:vAlign w:val="center"/>
          </w:tcPr>
          <w:p>
            <w:r>
              <w:rPr>
                <w:b w:val="0"/>
                <w:i w:val="0"/>
                <w:sz w:val="18"/>
              </w:rPr>
              <w:t>Joint approval per Master Agreement</w:t>
            </w:r>
          </w:p>
        </w:tc>
        <w:tc>
          <w:tcPr>
            <w:tcW w:type="dxa" w:w="2448"/>
            <w:shd w:val="clear" w:color="auto" w:fill="F2F2F2"/>
            <w:vAlign w:val="center"/>
          </w:tcPr>
          <w:p>
            <w:r>
              <w:rPr>
                <w:b w:val="0"/>
                <w:i w:val="0"/>
                <w:color w:val="804000"/>
                <w:sz w:val="18"/>
                <w:highlight w:val="yellow"/>
              </w:rPr>
              <w:t>[■ approval threshold]</w:t>
            </w:r>
          </w:p>
        </w:tc>
      </w:tr>
    </w:tbl>
    <w:p>
      <w:pPr>
        <w:ind w:left="504"/>
      </w:pPr>
      <w:r>
        <w:rPr>
          <w:b/>
          <w:color w:val="7F007F"/>
        </w:rPr>
        <w:t xml:space="preserve">[GRANT COMPLIANCE REVIEW REQUIRED]  </w:t>
      </w:r>
      <w:r>
        <w:rPr>
          <w:i/>
          <w:color w:val="595959"/>
        </w:rPr>
        <w:t>Reserve funding and any use of Program Income for reserves must comply with 2 CFR 200.307 (Program income) and the controlling award.</w:t>
      </w:r>
    </w:p>
    <w:p>
      <w:pPr>
        <w:ind w:left="504"/>
      </w:pPr>
      <w:r>
        <w:rPr>
          <w:b/>
          <w:color w:val="C00000"/>
        </w:rPr>
        <w:t xml:space="preserve">[BUSINESS DECISION REQUIRED]  </w:t>
      </w:r>
      <w:r>
        <w:rPr>
          <w:i/>
          <w:color w:val="595959"/>
        </w:rPr>
        <w:t>Reserve rate, refresh cycle, and spares levels are business decisions requiring RIVR Tech and Tribe agreement.</w:t>
      </w:r>
    </w:p>
    <w:p/>
    <w:p>
      <w:pPr>
        <w:pStyle w:val="Heading2"/>
        <w:spacing w:before="160" w:after="60"/>
      </w:pPr>
      <w:r>
        <w:rPr>
          <w:rFonts w:ascii="Calibri" w:hAnsi="Calibri"/>
          <w:b/>
          <w:color w:val="000000"/>
          <w:sz w:val="22"/>
        </w:rPr>
        <w:t xml:space="preserve">  Draft Disclaimer</w:t>
      </w:r>
    </w:p>
    <w:p>
      <w:r>
        <w:rPr>
          <w:b w:val="0"/>
          <w:i/>
        </w:rPr>
        <w:t>This Schedule is a working draft prepared for discussion only. It is not executed, is not final legal advice, and does not create binding obligations. No controlling TBCP award or source documents were supplied; the provisional baseline is the TBCP Round 2 Notice of Funding Opportunity, as amended March 2024 (PROVISIONAL BASELINE). Round 3 is the live TBCP round as of the version date; the controlling round and executed award must be confirmed before any definitive clause is finalized. Every bracketed placeholder, flag, and alternative must be resolved by the responsible legal, grant, financial, and technical reviewers before finalization.</w:t>
      </w:r>
    </w:p>
    <w:p>
      <w:pPr>
        <w:jc w:val="center"/>
      </w:pPr>
      <w:r>
        <w:rPr>
          <w:b/>
          <w:color w:val="C00000"/>
          <w:highlight w:val="yellow"/>
        </w:rPr>
        <w:t>PRELIMINARY DRAFT – NO CONTROLLING TBCP AWARD OR SOURCE DOCUMENTS SUPPLIED – PROVISIONAL BASELINE: MARCH 2024 AMENDED ROUND 2 NOFO – SUBJECT TO LEGAL, GRANT AND FINANCIAL REVIEW</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Schedule S6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