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SCHEDULE S7 — Provider-of-Record, Customer Products, Affordability, Support, Billing, and Complaints</w:t>
      </w:r>
    </w:p>
    <w:p>
      <w:pPr>
        <w:jc w:val="center"/>
      </w:pPr>
      <w:r>
        <w:rPr>
          <w:b/>
          <w:color w:val="1F3864"/>
          <w:sz w:val="48"/>
        </w:rPr>
        <w:t>Provider-of-Record, Customer Products, Affordability, Support, Billing, and Complaints</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rPr>
        <w:t>This is Schedule S7 (Provider-of-Record, Customer Products, Affordability, Support, Billing, and Complaints) to the Master TBCP Partnership and Implementation Agreement. Capitalized terms used and not otherwise defined in a document have the meanings given in Article 2 (Definitions) of the Master TBCP Partnership and Implementation Agreement, which is the single shared definitions source for the package.</w:t>
      </w:r>
    </w:p>
    <w:p>
      <w:r>
        <w:rPr>
          <w:b w:val="0"/>
          <w:i/>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
      <w:pPr>
        <w:pStyle w:val="Heading1"/>
        <w:spacing w:before="240" w:after="120"/>
      </w:pPr>
      <w:r>
        <w:rPr>
          <w:rFonts w:ascii="Calibri" w:hAnsi="Calibri"/>
          <w:b/>
          <w:color w:val="1F3864"/>
          <w:sz w:val="26"/>
        </w:rPr>
        <w:t>ARTICLE 1.  PROVIDER OF RECORD</w:t>
      </w:r>
    </w:p>
    <w:p>
      <w:r>
        <w:rPr>
          <w:b w:val="0"/>
          <w:i w:val="0"/>
        </w:rPr>
        <w:t>LREMC Technologies, LLC d/b/a RIVR Tech (“RIVR Tech”) is the retail provider of record for broadband service delivered over the Tribal Network within the Approved Project Area. RIVR Tech holds the retail customer relationship, billing, and regulatory responsibility, subject to the Retail Customer Service, Billing, Collections, and Subscriber Revenue Agreement and the order of precedence.</w:t>
      </w:r>
    </w:p>
    <w:p>
      <w:pPr>
        <w:pStyle w:val="Heading1"/>
        <w:spacing w:before="240" w:after="120"/>
      </w:pPr>
      <w:r>
        <w:rPr>
          <w:rFonts w:ascii="Calibri" w:hAnsi="Calibri"/>
          <w:b/>
          <w:color w:val="1F3864"/>
          <w:sz w:val="26"/>
        </w:rPr>
        <w:t>ARTICLE 2.  CUSTOMER PRODUCTS AND AFFORDABILITY</w:t>
      </w:r>
    </w:p>
    <w:p>
      <w:r>
        <w:rPr>
          <w:b w:val="0"/>
          <w:i w:val="0"/>
        </w:rPr>
        <w:t>Retail product tiers (pricing is placeholder pending business decision and any award affordability commitments):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1F3864"/>
            <w:vAlign w:val="center"/>
          </w:tcPr>
          <w:p>
            <w:pPr>
              <w:jc w:val="center"/>
            </w:pPr>
            <w:r>
              <w:rPr>
                <w:b/>
                <w:color w:val="FFFFFF"/>
                <w:sz w:val="18"/>
              </w:rPr>
              <w:t>Tier</w:t>
            </w:r>
          </w:p>
        </w:tc>
        <w:tc>
          <w:tcPr>
            <w:tcW w:type="dxa" w:w="3024"/>
            <w:shd w:val="clear" w:color="auto" w:fill="1F3864"/>
            <w:vAlign w:val="center"/>
          </w:tcPr>
          <w:p>
            <w:pPr>
              <w:jc w:val="center"/>
            </w:pPr>
            <w:r>
              <w:rPr>
                <w:b/>
                <w:color w:val="FFFFFF"/>
                <w:sz w:val="18"/>
              </w:rPr>
              <w:t>Speed</w:t>
            </w:r>
          </w:p>
        </w:tc>
        <w:tc>
          <w:tcPr>
            <w:tcW w:type="dxa" w:w="2736"/>
            <w:shd w:val="clear" w:color="auto" w:fill="1F3864"/>
            <w:vAlign w:val="center"/>
          </w:tcPr>
          <w:p>
            <w:pPr>
              <w:jc w:val="center"/>
            </w:pPr>
            <w:r>
              <w:rPr>
                <w:b/>
                <w:color w:val="FFFFFF"/>
                <w:sz w:val="18"/>
              </w:rPr>
              <w:t>Target Segment</w:t>
            </w:r>
          </w:p>
        </w:tc>
        <w:tc>
          <w:tcPr>
            <w:tcW w:type="dxa" w:w="1872"/>
            <w:shd w:val="clear" w:color="auto" w:fill="1F3864"/>
            <w:vAlign w:val="center"/>
          </w:tcPr>
          <w:p>
            <w:pPr>
              <w:jc w:val="center"/>
            </w:pPr>
            <w:r>
              <w:rPr>
                <w:b/>
                <w:color w:val="FFFFFF"/>
                <w:sz w:val="18"/>
              </w:rPr>
              <w:t>Monthly Price</w:t>
            </w:r>
          </w:p>
        </w:tc>
      </w:tr>
      <w:tr>
        <w:tc>
          <w:tcPr>
            <w:tcW w:type="dxa" w:w="2448"/>
            <w:vAlign w:val="center"/>
          </w:tcPr>
          <w:p>
            <w:r>
              <w:rPr>
                <w:b w:val="0"/>
                <w:i w:val="0"/>
                <w:sz w:val="18"/>
              </w:rPr>
              <w:t>Affordable / essential</w:t>
            </w:r>
          </w:p>
        </w:tc>
        <w:tc>
          <w:tcPr>
            <w:tcW w:type="dxa" w:w="3024"/>
            <w:vAlign w:val="center"/>
          </w:tcPr>
          <w:p>
            <w:r>
              <w:rPr>
                <w:b w:val="0"/>
                <w:i w:val="0"/>
                <w:sz w:val="18"/>
              </w:rPr>
              <w:t>100/20 Mbps (meets service floor)</w:t>
            </w:r>
          </w:p>
        </w:tc>
        <w:tc>
          <w:tcPr>
            <w:tcW w:type="dxa" w:w="2736"/>
            <w:vAlign w:val="center"/>
          </w:tcPr>
          <w:p>
            <w:r>
              <w:rPr>
                <w:b w:val="0"/>
                <w:i w:val="0"/>
                <w:sz w:val="18"/>
              </w:rPr>
              <w:t>Eligible / affordability</w:t>
            </w:r>
          </w:p>
        </w:tc>
        <w:tc>
          <w:tcPr>
            <w:tcW w:type="dxa" w:w="1872"/>
            <w:vAlign w:val="center"/>
          </w:tcPr>
          <w:p>
            <w:r>
              <w:rPr>
                <w:b w:val="0"/>
                <w:i w:val="0"/>
                <w:color w:val="804000"/>
                <w:sz w:val="18"/>
                <w:highlight w:val="yellow"/>
              </w:rPr>
              <w:t>[■ affordable price]</w:t>
            </w:r>
          </w:p>
        </w:tc>
      </w:tr>
      <w:tr>
        <w:tc>
          <w:tcPr>
            <w:tcW w:type="dxa" w:w="2448"/>
            <w:shd w:val="clear" w:color="auto" w:fill="F2F2F2"/>
            <w:vAlign w:val="center"/>
          </w:tcPr>
          <w:p>
            <w:r>
              <w:rPr>
                <w:b w:val="0"/>
                <w:i w:val="0"/>
                <w:sz w:val="18"/>
              </w:rPr>
              <w:t>Standard residential</w:t>
            </w:r>
          </w:p>
        </w:tc>
        <w:tc>
          <w:tcPr>
            <w:tcW w:type="dxa" w:w="3024"/>
            <w:shd w:val="clear" w:color="auto" w:fill="F2F2F2"/>
            <w:vAlign w:val="center"/>
          </w:tcPr>
          <w:p>
            <w:r>
              <w:rPr>
                <w:b w:val="0"/>
                <w:i w:val="0"/>
                <w:color w:val="804000"/>
                <w:sz w:val="18"/>
                <w:highlight w:val="yellow"/>
              </w:rPr>
              <w:t>[■ speed]</w:t>
            </w:r>
          </w:p>
        </w:tc>
        <w:tc>
          <w:tcPr>
            <w:tcW w:type="dxa" w:w="2736"/>
            <w:shd w:val="clear" w:color="auto" w:fill="F2F2F2"/>
            <w:vAlign w:val="center"/>
          </w:tcPr>
          <w:p>
            <w:r>
              <w:rPr>
                <w:b w:val="0"/>
                <w:i w:val="0"/>
                <w:sz w:val="18"/>
              </w:rPr>
              <w:t>Residential</w:t>
            </w:r>
          </w:p>
        </w:tc>
        <w:tc>
          <w:tcPr>
            <w:tcW w:type="dxa" w:w="1872"/>
            <w:shd w:val="clear" w:color="auto" w:fill="F2F2F2"/>
            <w:vAlign w:val="center"/>
          </w:tcPr>
          <w:p>
            <w:r>
              <w:rPr>
                <w:b w:val="0"/>
                <w:i w:val="0"/>
                <w:color w:val="804000"/>
                <w:sz w:val="18"/>
                <w:highlight w:val="yellow"/>
              </w:rPr>
              <w:t>[■ price]</w:t>
            </w:r>
          </w:p>
        </w:tc>
      </w:tr>
      <w:tr>
        <w:tc>
          <w:tcPr>
            <w:tcW w:type="dxa" w:w="2448"/>
            <w:vAlign w:val="center"/>
          </w:tcPr>
          <w:p>
            <w:r>
              <w:rPr>
                <w:b w:val="0"/>
                <w:i w:val="0"/>
                <w:sz w:val="18"/>
              </w:rPr>
              <w:t>Premium residential</w:t>
            </w:r>
          </w:p>
        </w:tc>
        <w:tc>
          <w:tcPr>
            <w:tcW w:type="dxa" w:w="3024"/>
            <w:vAlign w:val="center"/>
          </w:tcPr>
          <w:p>
            <w:r>
              <w:rPr>
                <w:b w:val="0"/>
                <w:i w:val="0"/>
                <w:color w:val="804000"/>
                <w:sz w:val="18"/>
                <w:highlight w:val="yellow"/>
              </w:rPr>
              <w:t>[■ speed]</w:t>
            </w:r>
          </w:p>
        </w:tc>
        <w:tc>
          <w:tcPr>
            <w:tcW w:type="dxa" w:w="2736"/>
            <w:vAlign w:val="center"/>
          </w:tcPr>
          <w:p>
            <w:r>
              <w:rPr>
                <w:b w:val="0"/>
                <w:i w:val="0"/>
                <w:sz w:val="18"/>
              </w:rPr>
              <w:t>Residential</w:t>
            </w:r>
          </w:p>
        </w:tc>
        <w:tc>
          <w:tcPr>
            <w:tcW w:type="dxa" w:w="1872"/>
            <w:vAlign w:val="center"/>
          </w:tcPr>
          <w:p>
            <w:r>
              <w:rPr>
                <w:b w:val="0"/>
                <w:i w:val="0"/>
                <w:color w:val="804000"/>
                <w:sz w:val="18"/>
                <w:highlight w:val="yellow"/>
              </w:rPr>
              <w:t>[■ price]</w:t>
            </w:r>
          </w:p>
        </w:tc>
      </w:tr>
      <w:tr>
        <w:tc>
          <w:tcPr>
            <w:tcW w:type="dxa" w:w="2448"/>
            <w:shd w:val="clear" w:color="auto" w:fill="F2F2F2"/>
            <w:vAlign w:val="center"/>
          </w:tcPr>
          <w:p>
            <w:r>
              <w:rPr>
                <w:b w:val="0"/>
                <w:i w:val="0"/>
                <w:sz w:val="18"/>
              </w:rPr>
              <w:t>Business / anchor</w:t>
            </w:r>
          </w:p>
        </w:tc>
        <w:tc>
          <w:tcPr>
            <w:tcW w:type="dxa" w:w="3024"/>
            <w:shd w:val="clear" w:color="auto" w:fill="F2F2F2"/>
            <w:vAlign w:val="center"/>
          </w:tcPr>
          <w:p>
            <w:r>
              <w:rPr>
                <w:b w:val="0"/>
                <w:i w:val="0"/>
                <w:color w:val="804000"/>
                <w:sz w:val="18"/>
                <w:highlight w:val="yellow"/>
              </w:rPr>
              <w:t>[■ speed]</w:t>
            </w:r>
          </w:p>
        </w:tc>
        <w:tc>
          <w:tcPr>
            <w:tcW w:type="dxa" w:w="2736"/>
            <w:shd w:val="clear" w:color="auto" w:fill="F2F2F2"/>
            <w:vAlign w:val="center"/>
          </w:tcPr>
          <w:p>
            <w:r>
              <w:rPr>
                <w:b w:val="0"/>
                <w:i w:val="0"/>
                <w:sz w:val="18"/>
              </w:rPr>
              <w:t>Business / community anchor</w:t>
            </w:r>
          </w:p>
        </w:tc>
        <w:tc>
          <w:tcPr>
            <w:tcW w:type="dxa" w:w="1872"/>
            <w:shd w:val="clear" w:color="auto" w:fill="F2F2F2"/>
            <w:vAlign w:val="center"/>
          </w:tcPr>
          <w:p>
            <w:r>
              <w:rPr>
                <w:b w:val="0"/>
                <w:i w:val="0"/>
                <w:color w:val="804000"/>
                <w:sz w:val="18"/>
                <w:highlight w:val="yellow"/>
              </w:rPr>
              <w:t>[■ price]</w:t>
            </w:r>
          </w:p>
        </w:tc>
      </w:tr>
    </w:tbl>
    <w:p>
      <w:pPr>
        <w:ind w:left="504"/>
      </w:pPr>
      <w:r>
        <w:rPr>
          <w:b/>
          <w:color w:val="C00000"/>
        </w:rPr>
        <w:t xml:space="preserve">[BUSINESS DECISION REQUIRED]  </w:t>
      </w:r>
      <w:r>
        <w:rPr>
          <w:i/>
          <w:color w:val="595959"/>
        </w:rPr>
        <w:t>A 100/20 Mbps affordable tier is required; confirm price points, eligibility, and any low-cost option mandated by the controlling award.</w:t>
      </w:r>
    </w:p>
    <w:p>
      <w:pPr>
        <w:pStyle w:val="Heading1"/>
        <w:spacing w:before="240" w:after="120"/>
      </w:pPr>
      <w:r>
        <w:rPr>
          <w:rFonts w:ascii="Calibri" w:hAnsi="Calibri"/>
          <w:b/>
          <w:color w:val="1F3864"/>
          <w:sz w:val="26"/>
        </w:rPr>
        <w:t>ARTICLE 3.  CUSTOMER SUPPORT</w:t>
      </w:r>
    </w:p>
    <w:p>
      <w:pPr>
        <w:pStyle w:val="ListBullet"/>
      </w:pPr>
      <w:r>
        <w:rPr>
          <w:b w:val="0"/>
          <w:i w:val="0"/>
        </w:rPr>
        <w:t xml:space="preserve">Support channels and hours </w:t>
      </w:r>
      <w:r>
        <w:rPr>
          <w:b w:val="0"/>
          <w:i w:val="0"/>
          <w:color w:val="804000"/>
          <w:highlight w:val="yellow"/>
        </w:rPr>
        <w:t>[■ support hours / channels]</w:t>
      </w:r>
    </w:p>
    <w:p>
      <w:pPr>
        <w:pStyle w:val="ListBullet"/>
      </w:pPr>
      <w:r>
        <w:rPr>
          <w:b w:val="0"/>
          <w:i w:val="0"/>
        </w:rPr>
        <w:t>Installation, provisioning, and truck-roll standards coordinated with Schedule S6 SLAs</w:t>
      </w:r>
    </w:p>
    <w:p>
      <w:pPr>
        <w:pStyle w:val="ListBullet"/>
      </w:pPr>
      <w:r>
        <w:rPr>
          <w:b w:val="0"/>
          <w:i w:val="0"/>
        </w:rPr>
        <w:t>Escalation path to the Network Operations Center for service-affecting issues</w:t>
      </w:r>
    </w:p>
    <w:p>
      <w:pPr>
        <w:pStyle w:val="Heading1"/>
        <w:spacing w:before="240" w:after="120"/>
      </w:pPr>
      <w:r>
        <w:rPr>
          <w:rFonts w:ascii="Calibri" w:hAnsi="Calibri"/>
          <w:b/>
          <w:color w:val="1F3864"/>
          <w:sz w:val="26"/>
        </w:rPr>
        <w:t>ARTICLE 4.  BILLING AND COLLECTIONS</w:t>
      </w:r>
    </w:p>
    <w:p>
      <w:pPr>
        <w:pStyle w:val="ListBullet"/>
      </w:pPr>
      <w:r>
        <w:rPr>
          <w:b w:val="0"/>
          <w:i w:val="0"/>
        </w:rPr>
        <w:t xml:space="preserve">Billing cycle, invoicing, payment methods, and delinquency handling </w:t>
      </w:r>
      <w:r>
        <w:rPr>
          <w:b w:val="0"/>
          <w:i w:val="0"/>
          <w:color w:val="804000"/>
          <w:highlight w:val="yellow"/>
        </w:rPr>
        <w:t>[■ billing terms]</w:t>
      </w:r>
    </w:p>
    <w:p>
      <w:pPr>
        <w:pStyle w:val="ListBullet"/>
      </w:pPr>
      <w:r>
        <w:rPr>
          <w:b w:val="0"/>
          <w:i w:val="0"/>
        </w:rPr>
        <w:t>Active Subscriber counting for the operating payment is governed by Schedule S8 and the Retail Customer Service, Billing, Collections, and Subscriber Revenue Agreement</w:t>
      </w:r>
    </w:p>
    <w:p>
      <w:pPr>
        <w:pStyle w:val="ListBullet"/>
      </w:pPr>
      <w:r>
        <w:rPr>
          <w:b w:val="0"/>
          <w:i w:val="0"/>
        </w:rPr>
        <w:t>Taxes, surcharges, and regulatory fees separately stated per Schedule S8</w:t>
      </w:r>
    </w:p>
    <w:p>
      <w:pPr>
        <w:pStyle w:val="Heading1"/>
        <w:spacing w:before="240" w:after="120"/>
      </w:pPr>
      <w:r>
        <w:rPr>
          <w:rFonts w:ascii="Calibri" w:hAnsi="Calibri"/>
          <w:b/>
          <w:color w:val="1F3864"/>
          <w:sz w:val="26"/>
        </w:rPr>
        <w:t>ARTICLE 5.  COMPLAINTS AND REGULATORY</w:t>
      </w:r>
    </w:p>
    <w:p>
      <w:pPr>
        <w:pStyle w:val="Heading2"/>
        <w:spacing w:before="160" w:after="60"/>
      </w:pPr>
      <w:r>
        <w:rPr>
          <w:rFonts w:ascii="Calibri" w:hAnsi="Calibri"/>
          <w:b/>
          <w:color w:val="000000"/>
          <w:sz w:val="22"/>
        </w:rPr>
        <w:t>5.1  Complaint Handling</w:t>
      </w:r>
    </w:p>
    <w:p>
      <w:r>
        <w:rPr>
          <w:b w:val="0"/>
          <w:i w:val="0"/>
        </w:rPr>
        <w:t xml:space="preserve">A documented complaint intake, tracking, and resolution process shall be maintained, with reporting to the Tribe </w:t>
      </w:r>
      <w:r>
        <w:rPr>
          <w:b w:val="0"/>
          <w:i w:val="0"/>
          <w:color w:val="804000"/>
          <w:highlight w:val="yellow"/>
        </w:rPr>
        <w:t>[■ complaint SLA &amp; reporting]</w:t>
      </w:r>
      <w:r>
        <w:rPr>
          <w:b w:val="0"/>
          <w:i w:val="0"/>
        </w:rPr>
        <w:t>.</w:t>
      </w:r>
    </w:p>
    <w:p>
      <w:pPr>
        <w:pStyle w:val="Heading2"/>
        <w:spacing w:before="160" w:after="60"/>
      </w:pPr>
      <w:r>
        <w:rPr>
          <w:rFonts w:ascii="Calibri" w:hAnsi="Calibri"/>
          <w:b/>
          <w:color w:val="000000"/>
          <w:sz w:val="22"/>
        </w:rPr>
        <w:t>5.2  CPNI</w:t>
      </w:r>
    </w:p>
    <w:p>
      <w:r>
        <w:rPr>
          <w:b w:val="0"/>
          <w:i w:val="0"/>
        </w:rPr>
        <w:t>Customer Proprietary Network Information shall be handled in compliance with 47 U.S.C. § 222 and 47 CFR §§ 64.2001–64.2011 (Customer Proprietary Network Information).</w:t>
      </w:r>
    </w:p>
    <w:p>
      <w:pPr>
        <w:pStyle w:val="Heading2"/>
        <w:spacing w:before="160" w:after="60"/>
      </w:pPr>
      <w:r>
        <w:rPr>
          <w:rFonts w:ascii="Calibri" w:hAnsi="Calibri"/>
          <w:b/>
          <w:color w:val="000000"/>
          <w:sz w:val="22"/>
        </w:rPr>
        <w:t>5.3  ETC / Lifeline</w:t>
      </w:r>
    </w:p>
    <w:p>
      <w:r>
        <w:rPr>
          <w:b w:val="0"/>
          <w:i w:val="0"/>
        </w:rPr>
        <w:t xml:space="preserve">If Lifeline or ETC-supported service is offered, compliance with 47 CFR Part 54 (USAC/FCC universal service, Lifeline, and ETC requirements) is required; ETC designation status is </w:t>
      </w:r>
      <w:r>
        <w:rPr>
          <w:b w:val="0"/>
          <w:i w:val="0"/>
          <w:color w:val="804000"/>
          <w:highlight w:val="yellow"/>
        </w:rPr>
        <w:t>[■ ETC designation status]</w:t>
      </w:r>
      <w:r>
        <w:rPr>
          <w:b w:val="0"/>
          <w:i w:val="0"/>
        </w:rPr>
        <w:t>.</w:t>
      </w:r>
    </w:p>
    <w:p>
      <w:pPr>
        <w:ind w:left="504"/>
      </w:pPr>
      <w:r>
        <w:rPr>
          <w:b/>
          <w:color w:val="0000C0"/>
        </w:rPr>
        <w:t xml:space="preserve">[ATTORNEY REVIEW REQUIRED]  </w:t>
      </w:r>
      <w:r>
        <w:rPr>
          <w:i/>
          <w:color w:val="595959"/>
        </w:rPr>
        <w:t>Confirm state (NCUC) and federal (FCC) regulatory status, tariffing, and any ETC obligations with regulatory counsel.</w:t>
      </w:r>
    </w:p>
    <w:p/>
    <w:p>
      <w:pPr>
        <w:pStyle w:val="Heading2"/>
        <w:spacing w:before="160" w:after="60"/>
      </w:pPr>
      <w:r>
        <w:rPr>
          <w:rFonts w:ascii="Calibri" w:hAnsi="Calibri"/>
          <w:b/>
          <w:color w:val="000000"/>
          <w:sz w:val="22"/>
        </w:rPr>
        <w:t xml:space="preserve">  Draft Disclaimer</w:t>
      </w:r>
    </w:p>
    <w:p>
      <w:r>
        <w:rPr>
          <w:b w:val="0"/>
          <w:i/>
        </w:rPr>
        <w:t>This Schedule is a working draft prepared for discussion only. It is not executed, is not final legal advice, and does not create binding obligations.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Every bracketed placeholder, flag, and alternative must be resolved by the responsible legal, grant, financial, and technical reviewers before finalization.</w:t>
      </w:r>
    </w:p>
    <w:p>
      <w:pPr>
        <w:jc w:val="center"/>
      </w:pPr>
      <w:r>
        <w:rPr>
          <w:b/>
          <w:color w:val="C00000"/>
          <w:highlight w:val="yellow"/>
        </w:rPr>
        <w:t>PRELIMINARY DRAFT – NO CONTROLLING TBCP AWARD OR SOURCE DOCUMENTS SUPPLIED – PROVISIONAL BASELINE: MARCH 2024 AMENDED ROUND 2 NOFO – SUBJECT TO LEGAL, GRANT AND FINANCIAL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Schedule S7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