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DOCUMENT 02.01 — MASTER DEVELOPMENT, CONSTRUCTION AND OPERATING AGREEMENT</w:t>
      </w:r>
    </w:p>
    <w:p>
      <w:pPr>
        <w:jc w:val="center"/>
      </w:pPr>
      <w:r>
        <w:rPr>
          <w:b/>
          <w:color w:val="1F3864"/>
          <w:sz w:val="48"/>
        </w:rPr>
        <w:t>Master Development, Construction and Operating Agreement</w:t>
      </w:r>
    </w:p>
    <w:p>
      <w:pPr>
        <w:jc w:val="center"/>
      </w:pPr>
      <w:r>
        <w:rPr>
          <w:color w:val="595959"/>
          <w:sz w:val="28"/>
        </w:rPr>
        <w:t>The controlling commercial instrument for the Tribally owned, grant-funded broadband Network and its operation by RIVR Tech</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 xml:space="preserve">This MASTER DEVELOPMENT, CONSTRUCTION AND OPERATING AGREEMENT (this “Agreement” or the “Master Agreement”) is made and entered into as of </w:t>
      </w:r>
      <w:r>
        <w:rPr>
          <w:b w:val="0"/>
          <w:i w:val="0"/>
          <w:color w:val="804000"/>
          <w:highlight w:val="yellow"/>
        </w:rPr>
        <w:t>[■ Effective Date]</w:t>
      </w:r>
      <w:r>
        <w:rPr>
          <w:b w:val="0"/>
          <w:i w:val="0"/>
        </w:rPr>
        <w:t xml:space="preserve"> (the “Effective Date”), by and between Lumbee Tribe of North Carolina, a federally ‐recognized-status Indian tribe organized under its own governing documents (together with, where the context requires, a wholly owned Tribal entity or Tribally chartered instrumentality designated by the Tribe, collectively the “Tribe”), and LREMC Technologies, LLC d/b/a RIVR Tech, a limited liability company (“RIVR Tech”). The Tribe and RIVR Tech are each referred to herein as a “Party” and together as the “Parties.”</w:t>
      </w:r>
    </w:p>
    <w:p>
      <w:pPr>
        <w:ind w:left="504"/>
      </w:pPr>
      <w:r>
        <w:rPr>
          <w:b/>
          <w:color w:val="7F007F"/>
        </w:rPr>
        <w:t xml:space="preserve">[GRANT COMPLIANCE REVIEW REQUIRED]  </w:t>
      </w:r>
      <w:r>
        <w:rPr>
          <w:i/>
          <w:color w:val="595959"/>
        </w:rPr>
        <w:t>The Tribe's eligibility to hold and administer a TBCP award turns on its federal-recognition status under the Lumbee Act of 1956, Pub. L. 84-570, 70 Stat. 254 (federal-recognition status affecting TBCP eligibility). Grant counsel must confirm the Tribe's standing as an eligible entity and the correct contracting party (the Tribe directly, or a designated Tribal entity or instrumentality) BEFORE execution. This Agreement does not resolve that question.</w:t>
      </w:r>
    </w:p>
    <w:p>
      <w:pPr>
        <w:ind w:left="504"/>
      </w:pPr>
      <w:r>
        <w:rPr>
          <w:b/>
          <w:color w:val="0000C0"/>
        </w:rPr>
        <w:t xml:space="preserve">[ATTORNEY REVIEW REQUIRED]  </w:t>
      </w:r>
      <w:r>
        <w:rPr>
          <w:i/>
          <w:color w:val="595959"/>
        </w:rPr>
        <w:t>The precise legal name, organizational form, and signing authority of each Party, and whether a Tribal instrumentality is inserted as the contracting entity, must be verified against organizational documents and Tribal Council authorizing resolutions before execution.</w:t>
      </w:r>
    </w:p>
    <w:p/>
    <w:p>
      <w:r>
        <w:rPr>
          <w:b/>
          <w:color w:val="1F3864"/>
          <w:sz w:val="24"/>
        </w:rPr>
        <w:t>RECITALS</w:t>
      </w:r>
    </w:p>
    <w:p>
      <w:pPr>
        <w:ind w:left="504"/>
      </w:pPr>
      <w:r>
        <w:rPr>
          <w:b/>
        </w:rPr>
        <w:t xml:space="preserve">(A)  </w:t>
      </w:r>
      <w:r>
        <w:rPr>
          <w:b w:val="0"/>
          <w:i w:val="0"/>
        </w:rPr>
        <w:t>WHEREAS, the Tribe intends to apply for, and if awarded to accept and administer, a grant under the Tribal Broadband Connectivity Program (TBCP) administered by the National Telecommunications and Information Administration (NTIA) pursuant to the TBCP Round 3 Notice of Funding Opportunity (NTIA, June 2026) and the Infrastructure Investment and Jobs Act, Pub. L. 117-58 (2021), and Consolidated Appropriations Act, 2021, Pub. L. 116-260, to fund the deployment of last-mile and related broadband infrastructure serving unserved and underserved locations in southeastern North Carolina (the “Service Territory”);</w:t>
      </w:r>
    </w:p>
    <w:p>
      <w:pPr>
        <w:ind w:left="504"/>
      </w:pPr>
      <w:r>
        <w:rPr>
          <w:b/>
        </w:rPr>
        <w:t xml:space="preserve">(B)  </w:t>
      </w:r>
      <w:r>
        <w:rPr>
          <w:b w:val="0"/>
          <w:i w:val="0"/>
        </w:rPr>
        <w:t>WHEREAS, if the award is made, the Tribe will be the TBCP grant recipient and the legal owner of, and will hold and retain title to, all grant-funded infrastructure and assets (the “Tribal Assets”, also referred to as the “Grant-Funded Infrastructure”), which are and will remain subject to the continuing Federal Interest of the United States under 2 CFR 200.311 (Real property — use, encumbrance, and disposition), 2 CFR 200.313 (Equipment — use, management, and disposition), and 2 CFR 200.315 (Intangible property);</w:t>
      </w:r>
    </w:p>
    <w:p>
      <w:pPr>
        <w:ind w:left="504"/>
      </w:pPr>
      <w:r>
        <w:rPr>
          <w:b/>
        </w:rPr>
        <w:t xml:space="preserve">(C)  </w:t>
      </w:r>
      <w:r>
        <w:rPr>
          <w:b w:val="0"/>
          <w:i w:val="0"/>
        </w:rPr>
        <w:t>WHEREAS, RIVR Tech is an experienced broadband developer and operator that owns and operates existing middle-mile, backbone, and core network facilities in and around the Service Territory (the “RIVR Tech Existing Network”) and has the technical, operational, and financial capacity to design, engineer, construct, activate, operate, and maintain the grant-funded infrastructure and to provide residential, business, and enterprise broadband, voice, and related services;</w:t>
      </w:r>
    </w:p>
    <w:p>
      <w:pPr>
        <w:ind w:left="504"/>
      </w:pPr>
      <w:r>
        <w:rPr>
          <w:b/>
        </w:rPr>
        <w:t xml:space="preserve">(D)  </w:t>
      </w:r>
      <w:r>
        <w:rPr>
          <w:b w:val="0"/>
          <w:i w:val="0"/>
        </w:rPr>
        <w:t>WHEREAS, the Tribe desires to engage RIVR Tech as the developer and operator of the grant-funded infrastructure, and to grant RIVR Tech a long-term indefeasible right of use (the “IRU”) in the Tribal Assets so that the Tribal Assets may be interconnected with the RIVR Tech Existing Network to form a single, functional hybrid network (the “Network”) delivering service to end users, all without any transfer of title to the Tribal Assets;</w:t>
      </w:r>
    </w:p>
    <w:p>
      <w:pPr>
        <w:ind w:left="504"/>
      </w:pPr>
      <w:r>
        <w:rPr>
          <w:b/>
        </w:rPr>
        <w:t xml:space="preserve">(E)  </w:t>
      </w:r>
      <w:r>
        <w:rPr>
          <w:b w:val="0"/>
          <w:i w:val="0"/>
        </w:rPr>
        <w:t>WHEREAS, the Parties intend that this Agreement, together with the companion documents identified in the order-of-precedence provisions, will govern the development, construction, ownership, interconnection, operation, and maintenance of the Network, and that all such arrangements comply with the TBCP award, the 2 CFR Part 200 (Uniform Administrative Requirements, Cost Principles, and Audit Requirements for Federal Awards), and all other applicable federal requirements; and</w:t>
      </w:r>
    </w:p>
    <w:p>
      <w:pPr>
        <w:ind w:left="504"/>
      </w:pPr>
      <w:r>
        <w:rPr>
          <w:b/>
        </w:rPr>
        <w:t xml:space="preserve">(F)  </w:t>
      </w:r>
      <w:r>
        <w:rPr>
          <w:b w:val="0"/>
          <w:i w:val="0"/>
        </w:rPr>
        <w:t>WHEREAS, the Parties acknowledge that this Agreement is a working draft prepared for negotiation and is subject to legal, grant-compliance, and financial review, and that certain commercial, technical, and legal terms remain open and are marked accordingly;</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pPr>
        <w:pStyle w:val="Heading1"/>
        <w:spacing w:before="240" w:after="120"/>
      </w:pPr>
      <w:r>
        <w:rPr>
          <w:rFonts w:ascii="Calibri" w:hAnsi="Calibri"/>
          <w:b/>
          <w:color w:val="1F3864"/>
          <w:sz w:val="26"/>
        </w:rPr>
        <w:t>ARTICLE 1.  DEFINITIONS AND RULES OF INTERPRETATION</w:t>
      </w:r>
    </w:p>
    <w:p>
      <w:pPr>
        <w:pStyle w:val="Heading2"/>
        <w:spacing w:before="160" w:after="60"/>
      </w:pPr>
      <w:r>
        <w:rPr>
          <w:rFonts w:ascii="Calibri" w:hAnsi="Calibri"/>
          <w:b/>
          <w:color w:val="000000"/>
          <w:sz w:val="22"/>
        </w:rPr>
        <w:t>1.1  Defined Terms</w:t>
      </w:r>
    </w:p>
    <w:p>
      <w:r>
        <w:rPr>
          <w:b w:val="0"/>
          <w:i w:val="0"/>
        </w:rPr>
        <w:t>As used in this Agreement, the following capitalized terms have the meanings set forth below. Defined terms are used consistently across every document in the transaction package and must not be varied without a conforming amendment to each affected document.</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864"/>
            <w:vAlign w:val="center"/>
          </w:tcPr>
          <w:p>
            <w:pPr>
              <w:jc w:val="center"/>
            </w:pPr>
            <w:r>
              <w:rPr>
                <w:b/>
                <w:color w:val="FFFFFF"/>
                <w:sz w:val="16"/>
              </w:rPr>
              <w:t>Defined Term</w:t>
            </w:r>
          </w:p>
        </w:tc>
        <w:tc>
          <w:tcPr>
            <w:tcW w:type="dxa" w:w="7056"/>
            <w:shd w:val="clear" w:color="auto" w:fill="1F3864"/>
            <w:vAlign w:val="center"/>
          </w:tcPr>
          <w:p>
            <w:pPr>
              <w:jc w:val="center"/>
            </w:pPr>
            <w:r>
              <w:rPr>
                <w:b/>
                <w:color w:val="FFFFFF"/>
                <w:sz w:val="16"/>
              </w:rPr>
              <w:t>Meaning</w:t>
            </w:r>
          </w:p>
        </w:tc>
      </w:tr>
      <w:tr>
        <w:tc>
          <w:tcPr>
            <w:tcW w:type="dxa" w:w="2736"/>
            <w:vAlign w:val="center"/>
          </w:tcPr>
          <w:p>
            <w:r>
              <w:rPr>
                <w:b w:val="0"/>
                <w:i w:val="0"/>
                <w:sz w:val="16"/>
              </w:rPr>
              <w:t>“Agreement”</w:t>
            </w:r>
          </w:p>
        </w:tc>
        <w:tc>
          <w:tcPr>
            <w:tcW w:type="dxa" w:w="7056"/>
            <w:vAlign w:val="center"/>
          </w:tcPr>
          <w:p>
            <w:r>
              <w:rPr>
                <w:b w:val="0"/>
                <w:i w:val="0"/>
                <w:sz w:val="16"/>
              </w:rPr>
              <w:t>this Master Development, Construction and Operating Agreement, together with all exhibits, schedules, and addenda, as amended from time to time.</w:t>
            </w:r>
          </w:p>
        </w:tc>
      </w:tr>
      <w:tr>
        <w:tc>
          <w:tcPr>
            <w:tcW w:type="dxa" w:w="2736"/>
            <w:shd w:val="clear" w:color="auto" w:fill="F2F2F2"/>
            <w:vAlign w:val="center"/>
          </w:tcPr>
          <w:p>
            <w:r>
              <w:rPr>
                <w:b w:val="0"/>
                <w:i w:val="0"/>
                <w:sz w:val="16"/>
              </w:rPr>
              <w:t>“Acceptance”</w:t>
            </w:r>
          </w:p>
        </w:tc>
        <w:tc>
          <w:tcPr>
            <w:tcW w:type="dxa" w:w="7056"/>
            <w:shd w:val="clear" w:color="auto" w:fill="F2F2F2"/>
            <w:vAlign w:val="center"/>
          </w:tcPr>
          <w:p>
            <w:r>
              <w:rPr>
                <w:b w:val="0"/>
                <w:i w:val="0"/>
                <w:sz w:val="16"/>
              </w:rPr>
              <w:t>the Tribe's acceptance of a Segment or of the Network in accordance with the testing-and-acceptance provisions of Article 13 and Exhibits E and G.</w:t>
            </w:r>
          </w:p>
        </w:tc>
      </w:tr>
      <w:tr>
        <w:tc>
          <w:tcPr>
            <w:tcW w:type="dxa" w:w="2736"/>
            <w:vAlign w:val="center"/>
          </w:tcPr>
          <w:p>
            <w:r>
              <w:rPr>
                <w:b w:val="0"/>
                <w:i w:val="0"/>
                <w:sz w:val="16"/>
              </w:rPr>
              <w:t>“Applicable Law”</w:t>
            </w:r>
          </w:p>
        </w:tc>
        <w:tc>
          <w:tcPr>
            <w:tcW w:type="dxa" w:w="7056"/>
            <w:vAlign w:val="center"/>
          </w:tcPr>
          <w:p>
            <w:r>
              <w:rPr>
                <w:b w:val="0"/>
                <w:i w:val="0"/>
                <w:sz w:val="16"/>
              </w:rPr>
              <w:t>all federal, State, Tribal, and local statutes, regulations, codes, ordinances, orders, permits, and legally binding requirements applicable to a Party or to the Network, including the Award Requirements.</w:t>
            </w:r>
          </w:p>
        </w:tc>
      </w:tr>
      <w:tr>
        <w:tc>
          <w:tcPr>
            <w:tcW w:type="dxa" w:w="2736"/>
            <w:shd w:val="clear" w:color="auto" w:fill="F2F2F2"/>
            <w:vAlign w:val="center"/>
          </w:tcPr>
          <w:p>
            <w:r>
              <w:rPr>
                <w:b w:val="0"/>
                <w:i w:val="0"/>
                <w:sz w:val="16"/>
              </w:rPr>
              <w:t>“Award”</w:t>
            </w:r>
          </w:p>
        </w:tc>
        <w:tc>
          <w:tcPr>
            <w:tcW w:type="dxa" w:w="7056"/>
            <w:shd w:val="clear" w:color="auto" w:fill="F2F2F2"/>
            <w:vAlign w:val="center"/>
          </w:tcPr>
          <w:p>
            <w:r>
              <w:rPr>
                <w:b w:val="0"/>
                <w:i w:val="0"/>
                <w:sz w:val="16"/>
              </w:rPr>
              <w:t>the TBCP grant award, if and when made to the Tribe by NTIA, including the notice of award, the approved budget and scope, and all terms and conditions incorporated therein.</w:t>
            </w:r>
          </w:p>
        </w:tc>
      </w:tr>
      <w:tr>
        <w:tc>
          <w:tcPr>
            <w:tcW w:type="dxa" w:w="2736"/>
            <w:vAlign w:val="center"/>
          </w:tcPr>
          <w:p>
            <w:r>
              <w:rPr>
                <w:b w:val="0"/>
                <w:i w:val="0"/>
                <w:sz w:val="16"/>
              </w:rPr>
              <w:t>“Award Requirements”</w:t>
            </w:r>
          </w:p>
        </w:tc>
        <w:tc>
          <w:tcPr>
            <w:tcW w:type="dxa" w:w="7056"/>
            <w:vAlign w:val="center"/>
          </w:tcPr>
          <w:p>
            <w:r>
              <w:rPr>
                <w:b w:val="0"/>
                <w:i w:val="0"/>
                <w:sz w:val="16"/>
              </w:rPr>
              <w:t>collectively, the Award; the NTIA Standard Terms and Conditions and Specific Award Conditions; the TBCP Round 3 Notice of Funding Opportunity (NTIA, June 2026); the 2 CFR Part 200 (Uniform Administrative Requirements, Cost Principles, and Audit Requirements for Federal Awards); and all other federal statutes, regulations, and guidance applicable to the Award.</w:t>
            </w:r>
          </w:p>
        </w:tc>
      </w:tr>
      <w:tr>
        <w:tc>
          <w:tcPr>
            <w:tcW w:type="dxa" w:w="2736"/>
            <w:shd w:val="clear" w:color="auto" w:fill="F2F2F2"/>
            <w:vAlign w:val="center"/>
          </w:tcPr>
          <w:p>
            <w:r>
              <w:rPr>
                <w:b w:val="0"/>
                <w:i w:val="0"/>
                <w:sz w:val="16"/>
              </w:rPr>
              <w:t>“As-Built Documentation”</w:t>
            </w:r>
          </w:p>
        </w:tc>
        <w:tc>
          <w:tcPr>
            <w:tcW w:type="dxa" w:w="7056"/>
            <w:shd w:val="clear" w:color="auto" w:fill="F2F2F2"/>
            <w:vAlign w:val="center"/>
          </w:tcPr>
          <w:p>
            <w:r>
              <w:rPr>
                <w:b w:val="0"/>
                <w:i w:val="0"/>
                <w:sz w:val="16"/>
              </w:rPr>
              <w:t>the complete, accurate record drawings, GIS data, splice records, test results, and related deliverables described in Article 14 and Exhibit E.</w:t>
            </w:r>
          </w:p>
        </w:tc>
      </w:tr>
      <w:tr>
        <w:tc>
          <w:tcPr>
            <w:tcW w:type="dxa" w:w="2736"/>
            <w:vAlign w:val="center"/>
          </w:tcPr>
          <w:p>
            <w:r>
              <w:rPr>
                <w:b w:val="0"/>
                <w:i w:val="0"/>
                <w:sz w:val="16"/>
              </w:rPr>
              <w:t>“BABA”</w:t>
            </w:r>
          </w:p>
        </w:tc>
        <w:tc>
          <w:tcPr>
            <w:tcW w:type="dxa" w:w="7056"/>
            <w:vAlign w:val="center"/>
          </w:tcPr>
          <w:p>
            <w:r>
              <w:rPr>
                <w:b w:val="0"/>
                <w:i w:val="0"/>
                <w:sz w:val="16"/>
              </w:rPr>
              <w:t>the Build America, Buy America Act, IIJA §§ 70911–70917 (Pub. L. 117-58); 2 CFR Part 184; and NTIA BABA award terms, together with any waiver granted thereunder.</w:t>
            </w:r>
          </w:p>
        </w:tc>
      </w:tr>
      <w:tr>
        <w:tc>
          <w:tcPr>
            <w:tcW w:type="dxa" w:w="2736"/>
            <w:shd w:val="clear" w:color="auto" w:fill="F2F2F2"/>
            <w:vAlign w:val="center"/>
          </w:tcPr>
          <w:p>
            <w:r>
              <w:rPr>
                <w:b w:val="0"/>
                <w:i w:val="0"/>
                <w:sz w:val="16"/>
              </w:rPr>
              <w:t>“Demarcation Point”</w:t>
            </w:r>
          </w:p>
        </w:tc>
        <w:tc>
          <w:tcPr>
            <w:tcW w:type="dxa" w:w="7056"/>
            <w:shd w:val="clear" w:color="auto" w:fill="F2F2F2"/>
            <w:vAlign w:val="center"/>
          </w:tcPr>
          <w:p>
            <w:r>
              <w:rPr>
                <w:b w:val="0"/>
                <w:i w:val="0"/>
                <w:sz w:val="16"/>
              </w:rPr>
              <w:t>each physical and logical point of interconnection between the Tribal Assets and the RIVR Tech Existing Network at which ownership, operational responsibility, and the boundary of the Federal Interest are delineated, as described in Article 16 and depicted in Exhibit B.</w:t>
            </w:r>
          </w:p>
        </w:tc>
      </w:tr>
      <w:tr>
        <w:tc>
          <w:tcPr>
            <w:tcW w:type="dxa" w:w="2736"/>
            <w:vAlign w:val="center"/>
          </w:tcPr>
          <w:p>
            <w:r>
              <w:rPr>
                <w:b w:val="0"/>
                <w:i w:val="0"/>
                <w:sz w:val="16"/>
              </w:rPr>
              <w:t>“Effective Date”</w:t>
            </w:r>
          </w:p>
        </w:tc>
        <w:tc>
          <w:tcPr>
            <w:tcW w:type="dxa" w:w="7056"/>
            <w:vAlign w:val="center"/>
          </w:tcPr>
          <w:p>
            <w:r>
              <w:rPr>
                <w:b w:val="0"/>
                <w:i w:val="0"/>
                <w:sz w:val="16"/>
              </w:rPr>
              <w:t>the date first written above on which this Agreement becomes effective.</w:t>
            </w:r>
          </w:p>
        </w:tc>
      </w:tr>
      <w:tr>
        <w:tc>
          <w:tcPr>
            <w:tcW w:type="dxa" w:w="2736"/>
            <w:shd w:val="clear" w:color="auto" w:fill="F2F2F2"/>
            <w:vAlign w:val="center"/>
          </w:tcPr>
          <w:p>
            <w:r>
              <w:rPr>
                <w:b w:val="0"/>
                <w:i w:val="0"/>
                <w:sz w:val="16"/>
              </w:rPr>
              <w:t>“Essential Services”</w:t>
            </w:r>
          </w:p>
        </w:tc>
        <w:tc>
          <w:tcPr>
            <w:tcW w:type="dxa" w:w="7056"/>
            <w:shd w:val="clear" w:color="auto" w:fill="F2F2F2"/>
            <w:vAlign w:val="center"/>
          </w:tcPr>
          <w:p>
            <w:r>
              <w:rPr>
                <w:b w:val="0"/>
                <w:i w:val="0"/>
                <w:sz w:val="16"/>
              </w:rPr>
              <w:t>broadband internet access service and, where provided, voice service to active end users, and the network functions necessary to sustain them, the interruption of which materially threatens public safety, health, or continuity of service.</w:t>
            </w:r>
          </w:p>
        </w:tc>
      </w:tr>
      <w:tr>
        <w:tc>
          <w:tcPr>
            <w:tcW w:type="dxa" w:w="2736"/>
            <w:vAlign w:val="center"/>
          </w:tcPr>
          <w:p>
            <w:r>
              <w:rPr>
                <w:b w:val="0"/>
                <w:i w:val="0"/>
                <w:sz w:val="16"/>
              </w:rPr>
              <w:t>“Federal Interest”</w:t>
            </w:r>
          </w:p>
        </w:tc>
        <w:tc>
          <w:tcPr>
            <w:tcW w:type="dxa" w:w="7056"/>
            <w:vAlign w:val="center"/>
          </w:tcPr>
          <w:p>
            <w:r>
              <w:rPr>
                <w:b w:val="0"/>
                <w:i w:val="0"/>
                <w:sz w:val="16"/>
              </w:rPr>
              <w:t>the continuing interest of the United States in the Tribal Assets and related property arising under the Award and 2 CFR 200.311 (Real property — use, encumbrance, and disposition), 2 CFR 200.313 (Equipment — use, management, and disposition), 2 CFR 200.315 (Intangible property), and 2 CFR 200.316 (Property trust relationship), including federal rights with respect to use, encumbrance, and disposition.</w:t>
            </w:r>
          </w:p>
        </w:tc>
      </w:tr>
      <w:tr>
        <w:tc>
          <w:tcPr>
            <w:tcW w:type="dxa" w:w="2736"/>
            <w:shd w:val="clear" w:color="auto" w:fill="F2F2F2"/>
            <w:vAlign w:val="center"/>
          </w:tcPr>
          <w:p>
            <w:r>
              <w:rPr>
                <w:b w:val="0"/>
                <w:i w:val="0"/>
                <w:sz w:val="16"/>
              </w:rPr>
              <w:t>“Grant-Funded Infrastructure”</w:t>
            </w:r>
          </w:p>
        </w:tc>
        <w:tc>
          <w:tcPr>
            <w:tcW w:type="dxa" w:w="7056"/>
            <w:shd w:val="clear" w:color="auto" w:fill="F2F2F2"/>
            <w:vAlign w:val="center"/>
          </w:tcPr>
          <w:p>
            <w:r>
              <w:rPr>
                <w:b w:val="0"/>
                <w:i w:val="0"/>
                <w:sz w:val="16"/>
              </w:rPr>
              <w:t>the infrastructure, equipment, and other property acquired, constructed, or improved in whole or in part with TBCP funds; also referred to as the Tribal Assets.</w:t>
            </w:r>
          </w:p>
        </w:tc>
      </w:tr>
      <w:tr>
        <w:tc>
          <w:tcPr>
            <w:tcW w:type="dxa" w:w="2736"/>
            <w:vAlign w:val="center"/>
          </w:tcPr>
          <w:p>
            <w:r>
              <w:rPr>
                <w:b w:val="0"/>
                <w:i w:val="0"/>
                <w:sz w:val="16"/>
              </w:rPr>
              <w:t>“IRU”</w:t>
            </w:r>
          </w:p>
        </w:tc>
        <w:tc>
          <w:tcPr>
            <w:tcW w:type="dxa" w:w="7056"/>
            <w:vAlign w:val="center"/>
          </w:tcPr>
          <w:p>
            <w:r>
              <w:rPr>
                <w:b w:val="0"/>
                <w:i w:val="0"/>
                <w:sz w:val="16"/>
              </w:rPr>
              <w:t>the indefeasible right of use granted to RIVR Tech in the Tribal Assets under this Agreement and more fully set forth in the IRU Agreement (Document 02.02), which conveys an exclusive operational right of use for the IRU Term without any transfer of title.</w:t>
            </w:r>
          </w:p>
        </w:tc>
      </w:tr>
      <w:tr>
        <w:tc>
          <w:tcPr>
            <w:tcW w:type="dxa" w:w="2736"/>
            <w:shd w:val="clear" w:color="auto" w:fill="F2F2F2"/>
            <w:vAlign w:val="center"/>
          </w:tcPr>
          <w:p>
            <w:r>
              <w:rPr>
                <w:b w:val="0"/>
                <w:i w:val="0"/>
                <w:sz w:val="16"/>
              </w:rPr>
              <w:t>“IRU Term”</w:t>
            </w:r>
          </w:p>
        </w:tc>
        <w:tc>
          <w:tcPr>
            <w:tcW w:type="dxa" w:w="7056"/>
            <w:shd w:val="clear" w:color="auto" w:fill="F2F2F2"/>
            <w:vAlign w:val="center"/>
          </w:tcPr>
          <w:p>
            <w:r>
              <w:rPr>
                <w:b w:val="0"/>
                <w:i w:val="0"/>
                <w:sz w:val="16"/>
              </w:rPr>
              <w:t>the initial term of the IRU, which the Parties are modeling at 20, 25, 30 years (recommended: 30 years), subject to two (2) renewal terms of ten (10) years each, as finalized in Document 02.02.</w:t>
            </w:r>
          </w:p>
        </w:tc>
      </w:tr>
      <w:tr>
        <w:tc>
          <w:tcPr>
            <w:tcW w:type="dxa" w:w="2736"/>
            <w:vAlign w:val="center"/>
          </w:tcPr>
          <w:p>
            <w:r>
              <w:rPr>
                <w:b w:val="0"/>
                <w:i w:val="0"/>
                <w:sz w:val="16"/>
              </w:rPr>
              <w:t>“Jointly Funded Assets”</w:t>
            </w:r>
          </w:p>
        </w:tc>
        <w:tc>
          <w:tcPr>
            <w:tcW w:type="dxa" w:w="7056"/>
            <w:vAlign w:val="center"/>
          </w:tcPr>
          <w:p>
            <w:r>
              <w:rPr>
                <w:b w:val="0"/>
                <w:i w:val="0"/>
                <w:sz w:val="16"/>
              </w:rPr>
              <w:t>assets funded partly with TBCP funds and partly with RIVR Tech or third-party funds, the ownership and cost-allocation of which are addressed in Article 15.</w:t>
            </w:r>
          </w:p>
        </w:tc>
      </w:tr>
      <w:tr>
        <w:tc>
          <w:tcPr>
            <w:tcW w:type="dxa" w:w="2736"/>
            <w:shd w:val="clear" w:color="auto" w:fill="F2F2F2"/>
            <w:vAlign w:val="center"/>
          </w:tcPr>
          <w:p>
            <w:r>
              <w:rPr>
                <w:b w:val="0"/>
                <w:i w:val="0"/>
                <w:sz w:val="16"/>
              </w:rPr>
              <w:t>“Network”</w:t>
            </w:r>
          </w:p>
        </w:tc>
        <w:tc>
          <w:tcPr>
            <w:tcW w:type="dxa" w:w="7056"/>
            <w:shd w:val="clear" w:color="auto" w:fill="F2F2F2"/>
            <w:vAlign w:val="center"/>
          </w:tcPr>
          <w:p>
            <w:r>
              <w:rPr>
                <w:b w:val="0"/>
                <w:i w:val="0"/>
                <w:sz w:val="16"/>
              </w:rPr>
              <w:t>the single, functional hybrid broadband network formed by interconnecting the Tribal Assets with the RIVR Tech Existing Network, as described in the recitals and Article 16.</w:t>
            </w:r>
          </w:p>
        </w:tc>
      </w:tr>
      <w:tr>
        <w:tc>
          <w:tcPr>
            <w:tcW w:type="dxa" w:w="2736"/>
            <w:vAlign w:val="center"/>
          </w:tcPr>
          <w:p>
            <w:r>
              <w:rPr>
                <w:b w:val="0"/>
                <w:i w:val="0"/>
                <w:sz w:val="16"/>
              </w:rPr>
              <w:t>“Program Income”</w:t>
            </w:r>
          </w:p>
        </w:tc>
        <w:tc>
          <w:tcPr>
            <w:tcW w:type="dxa" w:w="7056"/>
            <w:vAlign w:val="center"/>
          </w:tcPr>
          <w:p>
            <w:r>
              <w:rPr>
                <w:b w:val="0"/>
                <w:i w:val="0"/>
                <w:sz w:val="16"/>
              </w:rPr>
              <w:t>gross income earned by the Tribe that is directly generated by a supported activity or earned as a result of the Award during the period of performance, as defined at 2 CFR 200.307 (Program income).</w:t>
            </w:r>
          </w:p>
        </w:tc>
      </w:tr>
      <w:tr>
        <w:tc>
          <w:tcPr>
            <w:tcW w:type="dxa" w:w="2736"/>
            <w:shd w:val="clear" w:color="auto" w:fill="F2F2F2"/>
            <w:vAlign w:val="center"/>
          </w:tcPr>
          <w:p>
            <w:r>
              <w:rPr>
                <w:b w:val="0"/>
                <w:i w:val="0"/>
                <w:sz w:val="16"/>
              </w:rPr>
              <w:t>“Segment”</w:t>
            </w:r>
          </w:p>
        </w:tc>
        <w:tc>
          <w:tcPr>
            <w:tcW w:type="dxa" w:w="7056"/>
            <w:shd w:val="clear" w:color="auto" w:fill="F2F2F2"/>
            <w:vAlign w:val="center"/>
          </w:tcPr>
          <w:p>
            <w:r>
              <w:rPr>
                <w:b w:val="0"/>
                <w:i w:val="0"/>
                <w:sz w:val="16"/>
              </w:rPr>
              <w:t>a defined portion of the Network (for example, a route, fiber ring, or service area) that is designed, constructed, tested, and accepted as a unit, as identified in Exhibit D.</w:t>
            </w:r>
          </w:p>
        </w:tc>
      </w:tr>
      <w:tr>
        <w:tc>
          <w:tcPr>
            <w:tcW w:type="dxa" w:w="2736"/>
            <w:vAlign w:val="center"/>
          </w:tcPr>
          <w:p>
            <w:r>
              <w:rPr>
                <w:b w:val="0"/>
                <w:i w:val="0"/>
                <w:sz w:val="16"/>
              </w:rPr>
              <w:t>“Service Territory”</w:t>
            </w:r>
          </w:p>
        </w:tc>
        <w:tc>
          <w:tcPr>
            <w:tcW w:type="dxa" w:w="7056"/>
            <w:vAlign w:val="center"/>
          </w:tcPr>
          <w:p>
            <w:r>
              <w:rPr>
                <w:b w:val="0"/>
                <w:i w:val="0"/>
                <w:sz w:val="16"/>
              </w:rPr>
              <w:t>the geographic area in southeastern North Carolina in which the Network is to be deployed and service provided, as delineated in Exhibit A and the Award.</w:t>
            </w:r>
          </w:p>
        </w:tc>
      </w:tr>
      <w:tr>
        <w:tc>
          <w:tcPr>
            <w:tcW w:type="dxa" w:w="2736"/>
            <w:shd w:val="clear" w:color="auto" w:fill="F2F2F2"/>
            <w:vAlign w:val="center"/>
          </w:tcPr>
          <w:p>
            <w:r>
              <w:rPr>
                <w:b w:val="0"/>
                <w:i w:val="0"/>
                <w:sz w:val="16"/>
              </w:rPr>
              <w:t>“Subrecipient / Contractor”</w:t>
            </w:r>
          </w:p>
        </w:tc>
        <w:tc>
          <w:tcPr>
            <w:tcW w:type="dxa" w:w="7056"/>
            <w:shd w:val="clear" w:color="auto" w:fill="F2F2F2"/>
            <w:vAlign w:val="center"/>
          </w:tcPr>
          <w:p>
            <w:r>
              <w:rPr>
                <w:b w:val="0"/>
                <w:i w:val="0"/>
                <w:sz w:val="16"/>
              </w:rPr>
              <w:t>the characterization of RIVR Tech's legal relationship to the Award for federal purposes, to be determined under the analysis in Article 6 and 2 CFR 200.331 (Subrecipient and contractor determinations).</w:t>
            </w:r>
          </w:p>
        </w:tc>
      </w:tr>
      <w:tr>
        <w:tc>
          <w:tcPr>
            <w:tcW w:type="dxa" w:w="2736"/>
            <w:vAlign w:val="center"/>
          </w:tcPr>
          <w:p>
            <w:r>
              <w:rPr>
                <w:b w:val="0"/>
                <w:i w:val="0"/>
                <w:sz w:val="16"/>
              </w:rPr>
              <w:t>“Tribal Assets”</w:t>
            </w:r>
          </w:p>
        </w:tc>
        <w:tc>
          <w:tcPr>
            <w:tcW w:type="dxa" w:w="7056"/>
            <w:vAlign w:val="center"/>
          </w:tcPr>
          <w:p>
            <w:r>
              <w:rPr>
                <w:b w:val="0"/>
                <w:i w:val="0"/>
                <w:sz w:val="16"/>
              </w:rPr>
              <w:t>the Grant-Funded Infrastructure, owned by and titled in the Tribe, subject to the Federal Interest, and made available to RIVR Tech under the IRU.</w:t>
            </w:r>
          </w:p>
        </w:tc>
      </w:tr>
      <w:tr>
        <w:tc>
          <w:tcPr>
            <w:tcW w:type="dxa" w:w="2736"/>
            <w:shd w:val="clear" w:color="auto" w:fill="F2F2F2"/>
            <w:vAlign w:val="center"/>
          </w:tcPr>
          <w:p>
            <w:r>
              <w:rPr>
                <w:b w:val="0"/>
                <w:i w:val="0"/>
                <w:sz w:val="16"/>
              </w:rPr>
              <w:t>“RIVR Tech Assets”</w:t>
            </w:r>
          </w:p>
        </w:tc>
        <w:tc>
          <w:tcPr>
            <w:tcW w:type="dxa" w:w="7056"/>
            <w:shd w:val="clear" w:color="auto" w:fill="F2F2F2"/>
            <w:vAlign w:val="center"/>
          </w:tcPr>
          <w:p>
            <w:r>
              <w:rPr>
                <w:b w:val="0"/>
                <w:i w:val="0"/>
                <w:sz w:val="16"/>
              </w:rPr>
              <w:t>network facilities, equipment, and property owned by RIVR Tech that are not funded with TBCP funds, including the RIVR Tech Existing Network.</w:t>
            </w:r>
          </w:p>
        </w:tc>
      </w:tr>
      <w:tr>
        <w:tc>
          <w:tcPr>
            <w:tcW w:type="dxa" w:w="2736"/>
            <w:vAlign w:val="center"/>
          </w:tcPr>
          <w:p>
            <w:r>
              <w:rPr>
                <w:b w:val="0"/>
                <w:i w:val="0"/>
                <w:sz w:val="16"/>
              </w:rPr>
              <w:t>“RIVR Tech Existing Network”</w:t>
            </w:r>
          </w:p>
        </w:tc>
        <w:tc>
          <w:tcPr>
            <w:tcW w:type="dxa" w:w="7056"/>
            <w:vAlign w:val="center"/>
          </w:tcPr>
          <w:p>
            <w:r>
              <w:rPr>
                <w:b w:val="0"/>
                <w:i w:val="0"/>
                <w:sz w:val="16"/>
              </w:rPr>
              <w:t>RIVR Tech's existing middle-mile, backbone, and core network facilities to which the Tribal Assets interconnect.</w:t>
            </w:r>
          </w:p>
        </w:tc>
      </w:tr>
    </w:tbl>
    <w:p>
      <w:pPr>
        <w:ind w:left="504"/>
      </w:pPr>
      <w:r>
        <w:rPr>
          <w:b/>
          <w:color w:val="0000C0"/>
        </w:rPr>
        <w:t xml:space="preserve">[ATTORNEY REVIEW REQUIRED]  </w:t>
      </w:r>
      <w:r>
        <w:rPr>
          <w:i/>
          <w:color w:val="595959"/>
        </w:rPr>
        <w:t>This defined-terms table is representative and must be reconciled against the final definitions in Documents 02.02–02.07 and the Exhibits so that every capitalized term carries one consistent meaning across the package.</w:t>
      </w:r>
    </w:p>
    <w:p>
      <w:pPr>
        <w:pStyle w:val="Heading2"/>
        <w:spacing w:before="160" w:after="60"/>
      </w:pPr>
      <w:r>
        <w:rPr>
          <w:rFonts w:ascii="Calibri" w:hAnsi="Calibri"/>
          <w:b/>
          <w:color w:val="000000"/>
          <w:sz w:val="22"/>
        </w:rPr>
        <w:t>1.2  Rules of Interpretation</w:t>
      </w:r>
    </w:p>
    <w:p>
      <w:r>
        <w:rPr>
          <w:b w:val="0"/>
          <w:i w:val="0"/>
        </w:rPr>
        <w:t>In this Agreement, unless the context requires otherwise:</w:t>
      </w:r>
    </w:p>
    <w:p>
      <w:pPr>
        <w:ind w:left="504"/>
      </w:pPr>
      <w:r>
        <w:rPr>
          <w:b/>
        </w:rPr>
        <w:t xml:space="preserve">(a)  </w:t>
      </w:r>
      <w:r>
        <w:rPr>
          <w:b w:val="0"/>
          <w:i w:val="0"/>
        </w:rPr>
        <w:t>the singular includes the plural and vice versa, and references to any gender include all genders;</w:t>
      </w:r>
    </w:p>
    <w:p>
      <w:pPr>
        <w:ind w:left="504"/>
      </w:pPr>
      <w:r>
        <w:rPr>
          <w:b/>
        </w:rPr>
        <w:t xml:space="preserve">(b)  </w:t>
      </w:r>
      <w:r>
        <w:rPr>
          <w:b w:val="0"/>
          <w:i w:val="0"/>
        </w:rPr>
        <w:t>“including,” “include,” and “includes” mean including without limitation;</w:t>
      </w:r>
    </w:p>
    <w:p>
      <w:pPr>
        <w:ind w:left="504"/>
      </w:pPr>
      <w:r>
        <w:rPr>
          <w:b/>
        </w:rPr>
        <w:t xml:space="preserve">(c)  </w:t>
      </w:r>
      <w:r>
        <w:rPr>
          <w:b w:val="0"/>
          <w:i w:val="0"/>
        </w:rPr>
        <w:t>references to a statute, regulation, or Award Requirement are to that authority as amended, superseded, or replaced from time to time, and to any successor authority;</w:t>
      </w:r>
    </w:p>
    <w:p>
      <w:pPr>
        <w:ind w:left="504"/>
      </w:pPr>
      <w:r>
        <w:rPr>
          <w:b/>
        </w:rPr>
        <w:t xml:space="preserve">(d)  </w:t>
      </w:r>
      <w:r>
        <w:rPr>
          <w:b w:val="0"/>
          <w:i w:val="0"/>
        </w:rPr>
        <w:t>headings and captions are for convenience only and do not affect interpretation;</w:t>
      </w:r>
    </w:p>
    <w:p>
      <w:pPr>
        <w:ind w:left="504"/>
      </w:pPr>
      <w:r>
        <w:rPr>
          <w:b/>
        </w:rPr>
        <w:t xml:space="preserve">(e)  </w:t>
      </w:r>
      <w:r>
        <w:rPr>
          <w:b w:val="0"/>
          <w:i w:val="0"/>
        </w:rPr>
        <w:t>references to Articles, Sections, Exhibits, and Schedules are to this Agreement unless otherwise stated;</w:t>
      </w:r>
    </w:p>
    <w:p>
      <w:pPr>
        <w:ind w:left="504"/>
      </w:pPr>
      <w:r>
        <w:rPr>
          <w:b/>
        </w:rPr>
        <w:t xml:space="preserve">(f)  </w:t>
      </w:r>
      <w:r>
        <w:rPr>
          <w:b w:val="0"/>
          <w:i w:val="0"/>
        </w:rPr>
        <w:t>in the event of any conflict, the order-of-precedence provisions in Article 29 govern; and</w:t>
      </w:r>
    </w:p>
    <w:p>
      <w:pPr>
        <w:ind w:left="504"/>
      </w:pPr>
      <w:r>
        <w:rPr>
          <w:b/>
        </w:rPr>
        <w:t xml:space="preserve">(g)  </w:t>
      </w:r>
      <w:r>
        <w:rPr>
          <w:b w:val="0"/>
          <w:i w:val="0"/>
        </w:rPr>
        <w:t>no rule of construction against the drafting Party applies, this Agreement having been negotiated by sophisticated parties with the benefit of counsel.</w:t>
      </w:r>
    </w:p>
    <w:p>
      <w:pPr>
        <w:pStyle w:val="Heading1"/>
        <w:spacing w:before="240" w:after="120"/>
      </w:pPr>
      <w:r>
        <w:rPr>
          <w:rFonts w:ascii="Calibri" w:hAnsi="Calibri"/>
          <w:b/>
          <w:color w:val="1F3864"/>
          <w:sz w:val="26"/>
        </w:rPr>
        <w:t>ARTICLE 2.  PURPOSE AND RELATIONSHIP OF THE PARTIES</w:t>
      </w:r>
    </w:p>
    <w:p>
      <w:pPr>
        <w:pStyle w:val="Heading2"/>
        <w:spacing w:before="160" w:after="60"/>
      </w:pPr>
      <w:r>
        <w:rPr>
          <w:rFonts w:ascii="Calibri" w:hAnsi="Calibri"/>
          <w:b/>
          <w:color w:val="000000"/>
          <w:sz w:val="22"/>
        </w:rPr>
        <w:t>2.1  Purpose</w:t>
      </w:r>
    </w:p>
    <w:p>
      <w:r>
        <w:rPr>
          <w:b w:val="0"/>
          <w:i w:val="0"/>
        </w:rPr>
        <w:t>The purpose of this Agreement is to establish the framework under which RIVR Tech will develop, construct, activate, operate, and maintain the Tribal Assets and interconnect them with the RIVR Tech Existing Network to deliver broadband, voice, and related services to end users in the Service Territory, while the Tribe retains ownership of and title to the Tribal Assets at all times and administers the Award in compliance with the Award Requirements.</w:t>
      </w:r>
    </w:p>
    <w:p>
      <w:pPr>
        <w:pStyle w:val="Heading2"/>
        <w:spacing w:before="160" w:after="60"/>
      </w:pPr>
      <w:r>
        <w:rPr>
          <w:rFonts w:ascii="Calibri" w:hAnsi="Calibri"/>
          <w:b/>
          <w:color w:val="000000"/>
          <w:sz w:val="22"/>
        </w:rPr>
        <w:t>2.2  Title Retained by the Tribe</w:t>
      </w:r>
    </w:p>
    <w:p>
      <w:r>
        <w:rPr>
          <w:b w:val="0"/>
          <w:i w:val="0"/>
        </w:rPr>
        <w:t>Legal title to the Tribal Assets vests in and remains with the Tribe at all times. Nothing in this Agreement, the IRU, or any companion document transfers, or is intended to transfer, title to the Tribal Assets to RIVR Tech. RIVR Tech's rights in the Tribal Assets are limited to the operational right of use conveyed by the IRU. This allocation is a material term and a condition of the Award. See 2 CFR 200.311 (Real property — use, encumbrance, and disposition) and 2 CFR 200.313 (Equipment — use, management, and disposition).</w:t>
      </w:r>
    </w:p>
    <w:p>
      <w:pPr>
        <w:pStyle w:val="Heading2"/>
        <w:spacing w:before="160" w:after="60"/>
      </w:pPr>
      <w:r>
        <w:rPr>
          <w:rFonts w:ascii="Calibri" w:hAnsi="Calibri"/>
          <w:b/>
          <w:color w:val="000000"/>
          <w:sz w:val="22"/>
        </w:rPr>
        <w:t>2.3  Independent Contractor; No Partnership</w:t>
      </w:r>
    </w:p>
    <w:p>
      <w:r>
        <w:rPr>
          <w:b w:val="0"/>
          <w:i w:val="0"/>
        </w:rPr>
        <w:t>RIVR Tech performs under this Agreement as an independent contractor. Except as expressly provided, nothing in this Agreement creates a partnership, joint venture, agency, or fiduciary relationship between the Parties, and neither Party may bind the other except as expressly authorized. The characterization of RIVR Tech for federal-award purposes is governed by Article 6.</w:t>
      </w:r>
    </w:p>
    <w:p>
      <w:pPr>
        <w:pStyle w:val="Heading2"/>
        <w:spacing w:before="160" w:after="60"/>
      </w:pPr>
      <w:r>
        <w:rPr>
          <w:rFonts w:ascii="Calibri" w:hAnsi="Calibri"/>
          <w:b/>
          <w:color w:val="000000"/>
          <w:sz w:val="22"/>
        </w:rPr>
        <w:t>2.4  Relationship to Companion Documents</w:t>
      </w:r>
    </w:p>
    <w:p>
      <w:r>
        <w:rPr>
          <w:b w:val="0"/>
          <w:i w:val="0"/>
        </w:rPr>
        <w:t>This Agreement is the master commercial instrument for the transaction and is implemented through the following companion documents, each of which is incorporated by reference:</w:t>
      </w:r>
    </w:p>
    <w:p>
      <w:pPr>
        <w:pStyle w:val="ListBullet"/>
      </w:pPr>
      <w:r>
        <w:rPr>
          <w:b w:val="0"/>
          <w:i w:val="0"/>
        </w:rPr>
        <w:t>the IRU Agreement (Document 02.02), which conveys and details the indefeasible right of use in the Tribal Assets;</w:t>
      </w:r>
    </w:p>
    <w:p>
      <w:pPr>
        <w:pStyle w:val="ListBullet"/>
      </w:pPr>
      <w:r>
        <w:rPr>
          <w:b w:val="0"/>
          <w:i w:val="0"/>
        </w:rPr>
        <w:t>the Operations, Maintenance and Service-Level Agreement (Document 02.03), which sets operational, maintenance, and service-level obligations;</w:t>
      </w:r>
    </w:p>
    <w:p>
      <w:pPr>
        <w:pStyle w:val="ListBullet"/>
      </w:pPr>
      <w:r>
        <w:rPr>
          <w:b w:val="0"/>
          <w:i w:val="0"/>
        </w:rPr>
        <w:t>the Financial and Revenue-Sharing Schedule (Document 02.04), which sets consideration, revenue-sharing, and financial terms;</w:t>
      </w:r>
    </w:p>
    <w:p>
      <w:pPr>
        <w:pStyle w:val="ListBullet"/>
      </w:pPr>
      <w:r>
        <w:rPr>
          <w:b w:val="0"/>
          <w:i w:val="0"/>
        </w:rPr>
        <w:t>the Grant Compliance and Federal Interest Addendum (Document 02.05), which sets federal-award compliance obligations and Federal Interest protections;</w:t>
      </w:r>
    </w:p>
    <w:p>
      <w:pPr>
        <w:pStyle w:val="ListBullet"/>
      </w:pPr>
      <w:r>
        <w:rPr>
          <w:b w:val="0"/>
          <w:i w:val="0"/>
        </w:rPr>
        <w:t>the Data Privacy and Cybersecurity Addendum (Document 02.06), which sets data-protection and security obligations;</w:t>
      </w:r>
    </w:p>
    <w:p>
      <w:pPr>
        <w:pStyle w:val="ListBullet"/>
      </w:pPr>
      <w:r>
        <w:rPr>
          <w:b w:val="0"/>
          <w:i w:val="0"/>
        </w:rPr>
        <w:t>the Transition and Step-In Plan (Document 02.07), which sets step-in, transition, and successor-operator procedures; and</w:t>
      </w:r>
    </w:p>
    <w:p>
      <w:pPr>
        <w:pStyle w:val="ListBullet"/>
      </w:pPr>
      <w:r>
        <w:rPr>
          <w:b w:val="0"/>
          <w:i w:val="0"/>
        </w:rPr>
        <w:t>Exhibits A through O, which set the Service Territory, network design, schedule, testing, insurance, and related operative detail.</w:t>
      </w:r>
    </w:p>
    <w:p>
      <w:pPr>
        <w:pStyle w:val="Heading1"/>
        <w:spacing w:before="240" w:after="120"/>
      </w:pPr>
      <w:r>
        <w:rPr>
          <w:rFonts w:ascii="Calibri" w:hAnsi="Calibri"/>
          <w:b/>
          <w:color w:val="1F3864"/>
          <w:sz w:val="26"/>
        </w:rPr>
        <w:t>ARTICLE 3.  CONDITIONS PRECEDENT</w:t>
      </w:r>
    </w:p>
    <w:p>
      <w:pPr>
        <w:pStyle w:val="Heading2"/>
        <w:spacing w:before="160" w:after="60"/>
      </w:pPr>
      <w:r>
        <w:rPr>
          <w:rFonts w:ascii="Calibri" w:hAnsi="Calibri"/>
          <w:b/>
          <w:color w:val="000000"/>
          <w:sz w:val="22"/>
        </w:rPr>
        <w:t>3.1  Conditions to Effectiveness and to Construction</w:t>
      </w:r>
    </w:p>
    <w:p>
      <w:r>
        <w:rPr>
          <w:b w:val="0"/>
          <w:i w:val="0"/>
        </w:rPr>
        <w:t>The obligations of the Parties to proceed with construction of the Tribal Assets are subject to the satisfaction (or written waiver by the Party entitled to the benefit) of each of the following conditions precedent:</w:t>
      </w:r>
    </w:p>
    <w:p>
      <w:pPr>
        <w:ind w:left="504"/>
      </w:pPr>
      <w:r>
        <w:rPr>
          <w:b/>
        </w:rPr>
        <w:t xml:space="preserve">(a)  </w:t>
      </w:r>
      <w:r>
        <w:rPr>
          <w:b w:val="0"/>
          <w:i w:val="0"/>
        </w:rPr>
        <w:t>the Tribe shall have been made the recipient of the Award, and the Award shall be in full force and effect with a scope and budget consistent with this Agreement;</w:t>
      </w:r>
    </w:p>
    <w:p>
      <w:pPr>
        <w:ind w:left="504"/>
      </w:pPr>
      <w:r>
        <w:rPr>
          <w:b/>
        </w:rPr>
        <w:t xml:space="preserve">(b)  </w:t>
      </w:r>
      <w:r>
        <w:rPr>
          <w:b w:val="0"/>
          <w:i w:val="0"/>
        </w:rPr>
        <w:t>grant counsel shall have confirmed the Tribe's eligibility and standing to hold the Award notwithstanding the federal-recognition question flagged in the recitals (Lumbee Act of 1956, Pub. L. 84-570, 70 Stat. 254 (federal-recognition status affecting TBCP eligibility));</w:t>
      </w:r>
    </w:p>
    <w:p>
      <w:pPr>
        <w:ind w:left="504"/>
      </w:pPr>
      <w:r>
        <w:rPr>
          <w:b/>
        </w:rPr>
        <w:t xml:space="preserve">(c)  </w:t>
      </w:r>
      <w:r>
        <w:rPr>
          <w:b w:val="0"/>
          <w:i w:val="0"/>
        </w:rPr>
        <w:t>the environmental and historic-preservation reviews required by Article 8 shall have been completed and clearance issued for the applicable Segment (National Environmental Policy Act (NEPA), 42 U.S.C. § 4321 et seq., and DOC/NTIA implementing procedures; National Historic Preservation Act § 106, 54 U.S.C. § 306108 (36 CFR Part 800)) — no construction may commence before clearance;</w:t>
      </w:r>
    </w:p>
    <w:p>
      <w:pPr>
        <w:ind w:left="504"/>
      </w:pPr>
      <w:r>
        <w:rPr>
          <w:b/>
        </w:rPr>
        <w:t xml:space="preserve">(d)  </w:t>
      </w:r>
      <w:r>
        <w:rPr>
          <w:b w:val="0"/>
          <w:i w:val="0"/>
        </w:rPr>
        <w:t>all governing-body authorizations, including any required Tribal Council resolution and any required consents, shall have been obtained;</w:t>
      </w:r>
    </w:p>
    <w:p>
      <w:pPr>
        <w:ind w:left="504"/>
      </w:pPr>
      <w:r>
        <w:rPr>
          <w:b/>
        </w:rPr>
        <w:t xml:space="preserve">(e)  </w:t>
      </w:r>
      <w:r>
        <w:rPr>
          <w:b w:val="0"/>
          <w:i w:val="0"/>
        </w:rPr>
        <w:t>RIVR Tech shall have delivered evidence of the insurance required by Article 22 and Exhibit I;</w:t>
      </w:r>
    </w:p>
    <w:p>
      <w:pPr>
        <w:ind w:left="504"/>
      </w:pPr>
      <w:r>
        <w:rPr>
          <w:b/>
        </w:rPr>
        <w:t xml:space="preserve">(f)  </w:t>
      </w:r>
      <w:r>
        <w:rPr>
          <w:b w:val="0"/>
          <w:i w:val="0"/>
        </w:rPr>
        <w:t>the companion documents (Documents 02.02–02.07) and the applicable Exhibits shall have been executed or agreed in a form consistent with this Agreement; and</w:t>
      </w:r>
    </w:p>
    <w:p>
      <w:pPr>
        <w:ind w:left="504"/>
      </w:pPr>
      <w:r>
        <w:rPr>
          <w:b/>
        </w:rPr>
        <w:t xml:space="preserve">(g)  </w:t>
      </w:r>
      <w:r>
        <w:rPr>
          <w:b w:val="0"/>
          <w:i w:val="0"/>
        </w:rPr>
        <w:t>any conditions in the NTIA Standard Terms and Conditions and Specific Award Conditions that must be satisfied before construction shall have been satisfied.</w:t>
      </w:r>
    </w:p>
    <w:p>
      <w:pPr>
        <w:ind w:left="504"/>
      </w:pPr>
      <w:r>
        <w:rPr>
          <w:b/>
          <w:color w:val="7F007F"/>
        </w:rPr>
        <w:t xml:space="preserve">[GRANT COMPLIANCE REVIEW REQUIRED]  </w:t>
      </w:r>
      <w:r>
        <w:rPr>
          <w:i/>
          <w:color w:val="595959"/>
        </w:rPr>
        <w:t>The sequencing of conditions (award, environmental/historic clearance, and any pre-construction Specific Award Conditions) must be confirmed against the final Award terms. Federal funds may not be drawn, and construction may not begin, until all pre-construction conditions in the Award are met.</w:t>
      </w:r>
    </w:p>
    <w:p>
      <w:pPr>
        <w:pStyle w:val="Heading2"/>
        <w:spacing w:before="160" w:after="60"/>
      </w:pPr>
      <w:r>
        <w:rPr>
          <w:rFonts w:ascii="Calibri" w:hAnsi="Calibri"/>
          <w:b/>
          <w:color w:val="000000"/>
          <w:sz w:val="22"/>
        </w:rPr>
        <w:t>3.2  Failure of Conditions</w:t>
      </w:r>
    </w:p>
    <w:p>
      <w:r>
        <w:rPr>
          <w:b w:val="0"/>
          <w:i w:val="0"/>
        </w:rPr>
        <w:t xml:space="preserve">If a condition precedent is not satisfied or waived by </w:t>
      </w:r>
      <w:r>
        <w:rPr>
          <w:b w:val="0"/>
          <w:i w:val="0"/>
          <w:color w:val="804000"/>
          <w:highlight w:val="yellow"/>
        </w:rPr>
        <w:t>[■ outside date]</w:t>
      </w:r>
      <w:r>
        <w:rPr>
          <w:b w:val="0"/>
          <w:i w:val="0"/>
        </w:rPr>
        <w:t xml:space="preserve"> (the “Outside Date”), either Party may terminate this Agreement upon notice without liability, except for obligations that expressly survive. The Parties shall cooperate in good faith to satisfy the conditions.</w:t>
      </w:r>
    </w:p>
    <w:p>
      <w:pPr>
        <w:pStyle w:val="Heading1"/>
        <w:spacing w:before="240" w:after="120"/>
      </w:pPr>
      <w:r>
        <w:rPr>
          <w:rFonts w:ascii="Calibri" w:hAnsi="Calibri"/>
          <w:b/>
          <w:color w:val="1F3864"/>
          <w:sz w:val="26"/>
        </w:rPr>
        <w:t>ARTICLE 4.  GRANT APPLICATION AND AWARD RESPONSIBILITIES</w:t>
      </w:r>
    </w:p>
    <w:p>
      <w:pPr>
        <w:pStyle w:val="Heading2"/>
        <w:spacing w:before="160" w:after="60"/>
      </w:pPr>
      <w:r>
        <w:rPr>
          <w:rFonts w:ascii="Calibri" w:hAnsi="Calibri"/>
          <w:b/>
          <w:color w:val="000000"/>
          <w:sz w:val="22"/>
        </w:rPr>
        <w:t>4.1  Applicant and Recipient</w:t>
      </w:r>
    </w:p>
    <w:p>
      <w:r>
        <w:rPr>
          <w:b w:val="0"/>
          <w:i w:val="0"/>
        </w:rPr>
        <w:t>The Tribe is the applicant for, and if awarded will be the recipient of, the Award. The Tribe holds ultimate responsibility to NTIA for administration of the Award in accordance with the Award Requirements, including as a pass-through entity to the extent RIVR Tech is later determined to be a subrecipient under Article 6 (2 CFR 200.332 (Requirements for pass-through entities)).</w:t>
      </w:r>
    </w:p>
    <w:p>
      <w:pPr>
        <w:pStyle w:val="Heading2"/>
        <w:spacing w:before="160" w:after="60"/>
      </w:pPr>
      <w:r>
        <w:rPr>
          <w:rFonts w:ascii="Calibri" w:hAnsi="Calibri"/>
          <w:b/>
          <w:color w:val="000000"/>
          <w:sz w:val="22"/>
        </w:rPr>
        <w:t>4.2  Application Support by RIVR Tech</w:t>
      </w:r>
    </w:p>
    <w:p>
      <w:r>
        <w:rPr>
          <w:b w:val="0"/>
          <w:i w:val="0"/>
        </w:rPr>
        <w:t>RIVR Tech shall provide the Tribe with technical, engineering, mapping, cost-estimate, and narrative support reasonably necessary for the application and for any post-award budget, scope, or environmental submissions, and shall furnish supporting data in RIVR Tech's possession. RIVR Tech shall not submit any filing directly to NTIA on the Tribe's behalf except as the Tribe authorizes in writing.</w:t>
      </w:r>
    </w:p>
    <w:p>
      <w:pPr>
        <w:pStyle w:val="Heading2"/>
        <w:spacing w:before="160" w:after="60"/>
      </w:pPr>
      <w:r>
        <w:rPr>
          <w:rFonts w:ascii="Calibri" w:hAnsi="Calibri"/>
          <w:b/>
          <w:color w:val="000000"/>
          <w:sz w:val="22"/>
        </w:rPr>
        <w:t>4.3  Accuracy and Certifications</w:t>
      </w:r>
    </w:p>
    <w:p>
      <w:r>
        <w:rPr>
          <w:b w:val="0"/>
          <w:i w:val="0"/>
        </w:rPr>
        <w:t>Each Party shall ensure that information it furnishes for the application and for Award administration is accurate and complete in all material respects, and shall comply with the mandatory-disclosure requirements of 2 CFR 200.113 (Mandatory disclosures). RIVR Tech shall provide certifications regarding debarment and suspension (2 CFR Part 180 and 2 CFR Part 1327 (Governmentwide debarment and suspension — DOC/NTIA adoption)) and prohibited telecommunications equipment (2 CFR 200.216 (Prohibition on certain telecommunications and video surveillance — §889 covered equipment)) as required.</w:t>
      </w:r>
    </w:p>
    <w:p>
      <w:pPr>
        <w:pStyle w:val="Heading2"/>
        <w:spacing w:before="160" w:after="60"/>
      </w:pPr>
      <w:r>
        <w:rPr>
          <w:rFonts w:ascii="Calibri" w:hAnsi="Calibri"/>
          <w:b/>
          <w:color w:val="000000"/>
          <w:sz w:val="22"/>
        </w:rPr>
        <w:t>4.4  Award Acceptance and Amendments</w:t>
      </w:r>
    </w:p>
    <w:p>
      <w:r>
        <w:rPr>
          <w:b w:val="0"/>
          <w:i w:val="0"/>
        </w:rPr>
        <w:t>The decision to accept the Award, and any decision to seek an amendment, budget revision, or scope change requiring NTIA approval, rests with the Tribe. RIVR Tech shall support the Tribe in preparing any such request and shall not take action that would require NTIA prior approval without the Tribe's written direction.</w:t>
      </w:r>
    </w:p>
    <w:p>
      <w:pPr>
        <w:pStyle w:val="Heading1"/>
        <w:spacing w:before="240" w:after="120"/>
      </w:pPr>
      <w:r>
        <w:rPr>
          <w:rFonts w:ascii="Calibri" w:hAnsi="Calibri"/>
          <w:b/>
          <w:color w:val="1F3864"/>
          <w:sz w:val="26"/>
        </w:rPr>
        <w:t>ARTICLE 5.  RIVR TECH'S ROLE AS DEVELOPER AND OPERATOR</w:t>
      </w:r>
    </w:p>
    <w:p>
      <w:pPr>
        <w:pStyle w:val="Heading2"/>
        <w:spacing w:before="160" w:after="60"/>
      </w:pPr>
      <w:r>
        <w:rPr>
          <w:rFonts w:ascii="Calibri" w:hAnsi="Calibri"/>
          <w:b/>
          <w:color w:val="000000"/>
          <w:sz w:val="22"/>
        </w:rPr>
        <w:t>5.1  Scope of Engagement</w:t>
      </w:r>
    </w:p>
    <w:p>
      <w:r>
        <w:rPr>
          <w:b w:val="0"/>
          <w:i w:val="0"/>
        </w:rPr>
        <w:t>Subject to the terms of this Agreement, the Tribe engages RIVR Tech, and RIVR Tech accepts the engagement, to serve as the sole developer and operator of the Tribal Assets and the Network in the Service Territory, including to: (i) design and engineer the Tribal Assets; (ii) procure materials and services; (iii) construct, install, and activate the Tribal Assets; (iv) interconnect the Tribal Assets with the RIVR Tech Existing Network; (v) operate, maintain, monitor, and repair the Network; and (vi) market, sell, provision, bill, and support broadband, voice, and related services to end users.</w:t>
      </w:r>
    </w:p>
    <w:p>
      <w:pPr>
        <w:pStyle w:val="Heading2"/>
        <w:spacing w:before="160" w:after="60"/>
      </w:pPr>
      <w:r>
        <w:rPr>
          <w:rFonts w:ascii="Calibri" w:hAnsi="Calibri"/>
          <w:b/>
          <w:color w:val="000000"/>
          <w:sz w:val="22"/>
        </w:rPr>
        <w:t>5.2  Standard of Performance</w:t>
      </w:r>
    </w:p>
    <w:p>
      <w:r>
        <w:rPr>
          <w:b w:val="0"/>
          <w:i w:val="0"/>
        </w:rPr>
        <w:t>RIVR Tech shall perform in a good, workmanlike, and professional manner, consistent with prudent telecommunications industry practice, the engineering standards of Article 7, the service levels of Document 02.03, and all Applicable Law and Award Requirements. RIVR Tech shall staff the engagement with qualified personnel and maintain all licenses and certifications necessary to perform.</w:t>
      </w:r>
    </w:p>
    <w:p>
      <w:pPr>
        <w:pStyle w:val="Heading2"/>
        <w:spacing w:before="160" w:after="60"/>
      </w:pPr>
      <w:r>
        <w:rPr>
          <w:rFonts w:ascii="Calibri" w:hAnsi="Calibri"/>
          <w:b/>
          <w:color w:val="000000"/>
          <w:sz w:val="22"/>
        </w:rPr>
        <w:t>5.3  Exclusivity and Coordination</w:t>
      </w:r>
    </w:p>
    <w:p>
      <w:r>
        <w:rPr>
          <w:b w:val="0"/>
          <w:i w:val="0"/>
        </w:rPr>
        <w:t>During the IRU Term, RIVR Tech shall be the exclusive operator of the Tribal Assets, and the Tribe shall not grant conflicting operating rights, subject to the Tribe's step-in and successor-operator rights under Articles 25 and Document 02.07 and to the Award Requirements. RIVR Tech shall coordinate its use of the Tribal Assets with the RIVR Tech Existing Network so that the Network operates as a single functional system.</w:t>
      </w:r>
    </w:p>
    <w:p>
      <w:pPr>
        <w:pStyle w:val="Heading1"/>
        <w:spacing w:before="240" w:after="120"/>
      </w:pPr>
      <w:r>
        <w:rPr>
          <w:rFonts w:ascii="Calibri" w:hAnsi="Calibri"/>
          <w:b/>
          <w:color w:val="1F3864"/>
          <w:sz w:val="26"/>
        </w:rPr>
        <w:t>ARTICLE 6.  DETERMINATION OF CONTRACTOR VS. SUBRECIPIENT VS. OPERATOR</w:t>
      </w:r>
    </w:p>
    <w:p>
      <w:pPr>
        <w:pStyle w:val="Heading2"/>
        <w:spacing w:before="160" w:after="60"/>
      </w:pPr>
      <w:r>
        <w:rPr>
          <w:rFonts w:ascii="Calibri" w:hAnsi="Calibri"/>
          <w:b/>
          <w:color w:val="000000"/>
          <w:sz w:val="22"/>
        </w:rPr>
        <w:t>6.1  Why the Determination Matters</w:t>
      </w:r>
    </w:p>
    <w:p>
      <w:r>
        <w:rPr>
          <w:b w:val="0"/>
          <w:i w:val="0"/>
        </w:rPr>
        <w:t>Federal law requires the Tribe, as the pass-through entity, to determine whether RIVR Tech's relationship to the Award is that of a subrecipient or a contractor (vendor) for each agreement it makes, applying the substance-over-form factors of 2 CFR 200.331 (Subrecipient and contractor determinations). The determination controls which federal requirements flow down to RIVR Tech, the Tribe's monitoring obligations, and the treatment of payments. The Parties must not decide this by label alone.</w:t>
      </w:r>
    </w:p>
    <w:p>
      <w:pPr>
        <w:pStyle w:val="Heading2"/>
        <w:spacing w:before="160" w:after="60"/>
      </w:pPr>
      <w:r>
        <w:rPr>
          <w:rFonts w:ascii="Calibri" w:hAnsi="Calibri"/>
          <w:b/>
          <w:color w:val="000000"/>
          <w:sz w:val="22"/>
        </w:rPr>
        <w:t>6.2  Subrecipient Indicators (2 CFR 200.331(a))</w:t>
      </w:r>
    </w:p>
    <w:p>
      <w:r>
        <w:rPr>
          <w:b w:val="0"/>
          <w:i w:val="0"/>
        </w:rPr>
        <w:t>Characteristics indicating a subrecipient relationship include that the entity: determines who is eligible to receive federal assistance; has its performance measured against whether objectives of the federal program are met; has responsibility for programmatic decision-making; is responsible for adherence to applicable federal program requirements; and uses the federal funds to carry out a program of the entity (rather than providing goods or services for the pass-through entity's own use).</w:t>
      </w:r>
    </w:p>
    <w:p>
      <w:pPr>
        <w:pStyle w:val="Heading2"/>
        <w:spacing w:before="160" w:after="60"/>
      </w:pPr>
      <w:r>
        <w:rPr>
          <w:rFonts w:ascii="Calibri" w:hAnsi="Calibri"/>
          <w:b/>
          <w:color w:val="000000"/>
          <w:sz w:val="22"/>
        </w:rPr>
        <w:t>6.3  Contractor / Vendor Indicators (2 CFR 200.331(b))</w:t>
      </w:r>
    </w:p>
    <w:p>
      <w:r>
        <w:rPr>
          <w:b w:val="0"/>
          <w:i w:val="0"/>
        </w:rPr>
        <w:t>Characteristics indicating a contractor (procurement) relationship include that the entity: provides the goods and services within normal business operations; provides similar goods or services to many different purchasers; normally operates in a competitive environment; provides goods or services that are ancillary to the operation of the federal program; and is not subject to compliance requirements of the federal program as a result of the agreement (though similar requirements may apply for other reasons).</w:t>
      </w:r>
    </w:p>
    <w:p>
      <w:pPr>
        <w:pStyle w:val="Heading2"/>
        <w:spacing w:before="160" w:after="60"/>
      </w:pPr>
      <w:r>
        <w:rPr>
          <w:rFonts w:ascii="Calibri" w:hAnsi="Calibri"/>
          <w:b/>
          <w:color w:val="000000"/>
          <w:sz w:val="22"/>
        </w:rPr>
        <w:t>6.4  Bracketed Characterization (To Be Confirmed by Grant Counsel)</w:t>
      </w:r>
    </w:p>
    <w:p>
      <w:r>
        <w:rPr>
          <w:b w:val="0"/>
          <w:i w:val="0"/>
        </w:rPr>
        <w:t>The Parties present, and do NOT here resolve, the following alternatives:</w:t>
      </w:r>
    </w:p>
    <w:p>
      <w:pPr>
        <w:ind w:left="504"/>
      </w:pPr>
      <w:r>
        <w:rPr>
          <w:b/>
        </w:rPr>
        <w:t xml:space="preserve">(A)  </w:t>
      </w:r>
      <w:r>
        <w:rPr>
          <w:b w:val="0"/>
          <w:i w:val="0"/>
        </w:rPr>
        <w:t>[ALTERNATIVE A — CONTRACTOR / VENDOR: RIVR Tech is treated as a contractor providing construction and operating services to the Tribe for the Tribe's program. Procurement standards (Article 10) govern the selection and the flow-down is limited to the clauses required for contracts under 2 CFR 200.317–200.327 (Procurement standards) and Appendix II to Part 200.]</w:t>
      </w:r>
    </w:p>
    <w:p>
      <w:pPr>
        <w:ind w:left="504"/>
      </w:pPr>
      <w:r>
        <w:rPr>
          <w:b/>
        </w:rPr>
        <w:t xml:space="preserve">(B)  </w:t>
      </w:r>
      <w:r>
        <w:rPr>
          <w:b w:val="0"/>
          <w:i w:val="0"/>
        </w:rPr>
        <w:t>[ALTERNATIVE B — SUBRECIPIENT: RIVR Tech is treated as a subrecipient carrying out a portion of the Tribe's program, in which case the Tribe must make a subaward, monitor RIVR Tech under 2 CFR 200.332 (Requirements for pass-through entities), and flow down applicable federal requirements.]</w:t>
      </w:r>
    </w:p>
    <w:p>
      <w:pPr>
        <w:ind w:left="504"/>
      </w:pPr>
      <w:r>
        <w:rPr>
          <w:b/>
        </w:rPr>
        <w:t xml:space="preserve">(C)  </w:t>
      </w:r>
      <w:r>
        <w:rPr>
          <w:b w:val="0"/>
          <w:i w:val="0"/>
        </w:rPr>
        <w:t>[ALTERNATIVE C — HYBRID / DUAL ROLE: distinct scopes are characterized separately (e.g., construction as a procurement/contractor relationship; long-term operation under a different characterization), with each scope documented and monitored accordingly.]</w:t>
      </w:r>
    </w:p>
    <w:p>
      <w:r>
        <w:rPr>
          <w:b w:val="0"/>
          <w:i w:val="0"/>
        </w:rPr>
        <w:t>Recommended preliminary characterization: the Parties note that a for-profit operator providing construction and broadband-operating services within its normal business operations, in a competitive environment, is likely characterized as a CONTRACTOR / VENDOR under 2 CFR 200.331 (Subrecipient and contractor determinations); however, the long-term operating and revenue-sharing structure has subrecipient-like features that must be evaluated. This is a preliminary view only.</w:t>
      </w:r>
    </w:p>
    <w:p>
      <w:pPr>
        <w:ind w:left="504"/>
      </w:pPr>
      <w:r>
        <w:rPr>
          <w:b/>
          <w:color w:val="7F007F"/>
        </w:rPr>
        <w:t xml:space="preserve">[GRANT COMPLIANCE REVIEW REQUIRED]  </w:t>
      </w:r>
      <w:r>
        <w:rPr>
          <w:i/>
          <w:color w:val="595959"/>
        </w:rPr>
        <w:t>The contractor-vs-subrecipient determination under 2 CFR 200.331 (Subrecipient and contractor determinations) is reserved for grant counsel and must be documented by the Tribe as the pass-through entity. Do not treat the recommended CONTRACTOR/VENDOR characterization as final. The determination changes the flow-down clauses, monitoring obligations, and payment treatment throughout this package.</w:t>
      </w:r>
    </w:p>
    <w:p>
      <w:pPr>
        <w:ind w:left="504"/>
      </w:pPr>
      <w:r>
        <w:rPr>
          <w:b/>
          <w:color w:val="0000C0"/>
        </w:rPr>
        <w:t xml:space="preserve">[ATTORNEY REVIEW REQUIRED]  </w:t>
      </w:r>
      <w:r>
        <w:rPr>
          <w:i/>
          <w:color w:val="595959"/>
        </w:rPr>
        <w:t>Counsel should confirm that the operative documents (this Agreement, the IRU Agreement, and the Financial Schedule) are internally consistent with the characterization ultimately selected, and that the procurement history supports it if CONTRACTOR is chosen.</w:t>
      </w:r>
    </w:p>
    <w:p>
      <w:pPr>
        <w:pStyle w:val="Heading1"/>
        <w:spacing w:before="240" w:after="120"/>
      </w:pPr>
      <w:r>
        <w:rPr>
          <w:rFonts w:ascii="Calibri" w:hAnsi="Calibri"/>
          <w:b/>
          <w:color w:val="1F3864"/>
          <w:sz w:val="26"/>
        </w:rPr>
        <w:t>ARTICLE 7.  NETWORK DESIGN AND ENGINEERING STANDARDS</w:t>
      </w:r>
    </w:p>
    <w:p>
      <w:pPr>
        <w:pStyle w:val="Heading2"/>
        <w:spacing w:before="160" w:after="60"/>
      </w:pPr>
      <w:r>
        <w:rPr>
          <w:rFonts w:ascii="Calibri" w:hAnsi="Calibri"/>
          <w:b/>
          <w:color w:val="000000"/>
          <w:sz w:val="22"/>
        </w:rPr>
        <w:t>7.1  Network Design</w:t>
      </w:r>
    </w:p>
    <w:p>
      <w:r>
        <w:rPr>
          <w:b w:val="0"/>
          <w:i w:val="0"/>
        </w:rPr>
        <w:t>RIVR Tech shall prepare and maintain the detailed design of the Tribal Assets and the Network, including route plans, fiber counts, splice plans, electronics, and service-area maps, consistent with the Award scope and Exhibit A (Service Territory) and Exhibit B (network design and demarcation). The design shall provide capacity to meet the service floor of 100/20 Mbps and the scalability required to meet Award performance obligations.</w:t>
      </w:r>
    </w:p>
    <w:p>
      <w:pPr>
        <w:ind w:left="504"/>
      </w:pPr>
      <w:r>
        <w:rPr>
          <w:b/>
          <w:color w:val="007000"/>
        </w:rPr>
        <w:t xml:space="preserve">[TECHNICAL INFORMATION REQUIRED]  </w:t>
      </w:r>
      <w:r>
        <w:rPr>
          <w:i/>
          <w:color w:val="595959"/>
        </w:rPr>
        <w:t>Final route miles, fiber counts, hut/cabinet locations, electronics platform, and homes/businesses passed are [■ to be provided by RIVR Tech engineering and confirmed against the Award scope]. Two-to-three design alternatives (e.g., centralized-split vs. distributed-split PON; ring vs. hub-and-spoke) should be evaluated in Exhibit B with a recommendation.</w:t>
      </w:r>
    </w:p>
    <w:p>
      <w:pPr>
        <w:pStyle w:val="Heading2"/>
        <w:spacing w:before="160" w:after="60"/>
      </w:pPr>
      <w:r>
        <w:rPr>
          <w:rFonts w:ascii="Calibri" w:hAnsi="Calibri"/>
          <w:b/>
          <w:color w:val="000000"/>
          <w:sz w:val="22"/>
        </w:rPr>
        <w:t>7.2  Engineering Standards</w:t>
      </w:r>
    </w:p>
    <w:p>
      <w:r>
        <w:rPr>
          <w:b w:val="0"/>
          <w:i w:val="0"/>
        </w:rPr>
        <w:t>The Tribal Assets shall be designed and built to recognized industry standards, including applicable Telcordia/GR, IEEE, ANSI/TIA, and manufacturer specifications, and to the optical performance criteria in Exhibit E, including bi-directional OTDR testing at 1310 nm and 1550 nm, maximum splice loss of 0.10 dB (average) / 0.30 dB (maximum) per fusion splice, and maximum connector loss of 0.50 dB per mated connector pair.</w:t>
      </w:r>
    </w:p>
    <w:p>
      <w:pPr>
        <w:pStyle w:val="Heading2"/>
        <w:spacing w:before="160" w:after="60"/>
      </w:pPr>
      <w:r>
        <w:rPr>
          <w:rFonts w:ascii="Calibri" w:hAnsi="Calibri"/>
          <w:b/>
          <w:color w:val="000000"/>
          <w:sz w:val="22"/>
        </w:rPr>
        <w:t>7.3  Design Review and Approval</w:t>
      </w:r>
    </w:p>
    <w:p>
      <w:r>
        <w:rPr>
          <w:b w:val="0"/>
          <w:i w:val="0"/>
        </w:rPr>
        <w:t>RIVR Tech shall submit the design (and material design changes) to the Tribe for review. The Tribe may review for consistency with the Award scope and this Agreement; Tribe review does not relieve RIVR Tech of responsibility for the adequacy of the design. Design changes that affect the Award scope or budget require the Tribe's prior written approval and, where required, NTIA approval.</w:t>
      </w:r>
    </w:p>
    <w:p>
      <w:pPr>
        <w:pStyle w:val="Heading1"/>
        <w:spacing w:before="240" w:after="120"/>
      </w:pPr>
      <w:r>
        <w:rPr>
          <w:rFonts w:ascii="Calibri" w:hAnsi="Calibri"/>
          <w:b/>
          <w:color w:val="1F3864"/>
          <w:sz w:val="26"/>
        </w:rPr>
        <w:t>ARTICLE 8.  ENVIRONMENTAL AND HISTORIC PRESERVATION (NEPA / NHPA)</w:t>
      </w:r>
    </w:p>
    <w:p>
      <w:pPr>
        <w:pStyle w:val="Heading2"/>
        <w:spacing w:before="160" w:after="60"/>
      </w:pPr>
      <w:r>
        <w:rPr>
          <w:rFonts w:ascii="Calibri" w:hAnsi="Calibri"/>
          <w:b/>
          <w:color w:val="000000"/>
          <w:sz w:val="22"/>
        </w:rPr>
        <w:t>8.1  No Construction Before Clearance</w:t>
      </w:r>
    </w:p>
    <w:p>
      <w:r>
        <w:rPr>
          <w:b w:val="0"/>
          <w:i w:val="0"/>
        </w:rPr>
        <w:t>Notwithstanding any other provision, no ground-disturbing or construction activity funded in whole or in part by the Award may commence for any Segment until all environmental review under the National Environmental Policy Act (NEPA), 42 U.S.C. § 4321 et seq., and DOC/NTIA implementing procedures and all historic-preservation review under National Historic Preservation Act § 106, 54 U.S.C. § 306108 (36 CFR Part 800) have been completed and the Tribe has received written clearance or authorization to proceed from NTIA for that Segment. This is a strict condition and a Federal requirement.</w:t>
      </w:r>
    </w:p>
    <w:p>
      <w:pPr>
        <w:ind w:left="504"/>
      </w:pPr>
      <w:r>
        <w:rPr>
          <w:b/>
          <w:color w:val="7F007F"/>
        </w:rPr>
        <w:t xml:space="preserve">[GRANT COMPLIANCE REVIEW REQUIRED]  </w:t>
      </w:r>
      <w:r>
        <w:rPr>
          <w:i/>
          <w:color w:val="595959"/>
        </w:rPr>
        <w:t>NEPA and NHPA Section 106 review must be completed and documented, and clearance obtained, before any construction. Premature ground disturbance can jeopardize the Award and trigger disallowed costs. See National Environmental Policy Act (NEPA), 42 U.S.C. § 4321 et seq., and DOC/NTIA implementing procedures and National Historic Preservation Act § 106, 54 U.S.C. § 306108 (36 CFR Part 800).</w:t>
      </w:r>
    </w:p>
    <w:p>
      <w:pPr>
        <w:pStyle w:val="Heading2"/>
        <w:spacing w:before="160" w:after="60"/>
      </w:pPr>
      <w:r>
        <w:rPr>
          <w:rFonts w:ascii="Calibri" w:hAnsi="Calibri"/>
          <w:b/>
          <w:color w:val="000000"/>
          <w:sz w:val="22"/>
        </w:rPr>
        <w:t>8.2  RIVR Tech Support of Review</w:t>
      </w:r>
    </w:p>
    <w:p>
      <w:r>
        <w:rPr>
          <w:b w:val="0"/>
          <w:i w:val="0"/>
        </w:rPr>
        <w:t>RIVR Tech shall prepare and furnish the environmental and cultural-resource information, site data, maps, and studies reasonably necessary to support the review, shall support government-to-government and Tribal Historic Preservation consultation, and shall incorporate any resulting conditions, mitigation measures, or route modifications into the design and construction at no separate charge except as the Parties agree.</w:t>
      </w:r>
    </w:p>
    <w:p>
      <w:pPr>
        <w:pStyle w:val="Heading2"/>
        <w:spacing w:before="160" w:after="60"/>
      </w:pPr>
      <w:r>
        <w:rPr>
          <w:rFonts w:ascii="Calibri" w:hAnsi="Calibri"/>
          <w:b/>
          <w:color w:val="000000"/>
          <w:sz w:val="22"/>
        </w:rPr>
        <w:t>8.3  Inadvertent Discoveries</w:t>
      </w:r>
    </w:p>
    <w:p>
      <w:r>
        <w:rPr>
          <w:b w:val="0"/>
          <w:i w:val="0"/>
        </w:rPr>
        <w:t>RIVR Tech shall implement an inadvertent-discovery protocol requiring immediate work stoppage in the affected area, protection of the find, and notice to the Tribe and appropriate authorities upon discovery of any archaeological, cultural, or human remains, and shall not resume until authorized. The protocol shall respect the Tribe's cultural authority.</w:t>
      </w:r>
    </w:p>
    <w:p>
      <w:pPr>
        <w:pStyle w:val="Heading1"/>
        <w:spacing w:before="240" w:after="120"/>
      </w:pPr>
      <w:r>
        <w:rPr>
          <w:rFonts w:ascii="Calibri" w:hAnsi="Calibri"/>
          <w:b/>
          <w:color w:val="1F3864"/>
          <w:sz w:val="26"/>
        </w:rPr>
        <w:t>ARTICLE 9.  PERMITTING, RIGHTS-OF-WAY, AND EASEMENTS</w:t>
      </w:r>
    </w:p>
    <w:p>
      <w:pPr>
        <w:pStyle w:val="Heading2"/>
        <w:spacing w:before="160" w:after="60"/>
      </w:pPr>
      <w:r>
        <w:rPr>
          <w:rFonts w:ascii="Calibri" w:hAnsi="Calibri"/>
          <w:b/>
          <w:color w:val="000000"/>
          <w:sz w:val="22"/>
        </w:rPr>
        <w:t>9.1  Permits and Authorizations</w:t>
      </w:r>
    </w:p>
    <w:p>
      <w:r>
        <w:rPr>
          <w:b w:val="0"/>
          <w:i w:val="0"/>
        </w:rPr>
        <w:t>RIVR Tech shall, at its cost (subject to allowability and the budget), obtain and maintain all permits, licenses, pole-attachment agreements, railroad and highway crossings, and other authorizations necessary to construct and operate the Tribal Assets, including compliance with North Carolina underground-utility damage-prevention/811 locate requirements (N.C. Gen. Stat. Ch. 87, Art. 8A (Underground Utility Safety and Damage Prevention Act / 811 locates)) and utility-pole attachment requirements (N.C. Gen. Stat. § 62-350 (broadband attachment to utility poles)).</w:t>
      </w:r>
    </w:p>
    <w:p>
      <w:pPr>
        <w:pStyle w:val="Heading2"/>
        <w:spacing w:before="160" w:after="60"/>
      </w:pPr>
      <w:r>
        <w:rPr>
          <w:rFonts w:ascii="Calibri" w:hAnsi="Calibri"/>
          <w:b/>
          <w:color w:val="000000"/>
          <w:sz w:val="22"/>
        </w:rPr>
        <w:t>9.2  Rights-of-Way and Easements on Tribal and Other Lands</w:t>
      </w:r>
    </w:p>
    <w:p>
      <w:r>
        <w:rPr>
          <w:b w:val="0"/>
          <w:i w:val="0"/>
        </w:rPr>
        <w:t>The Parties shall cooperate to secure rights-of-way and easements. On lands owned or controlled by the Tribe, the Tribe shall grant or facilitate the easements, licenses, or use rights necessary for the Tribal Assets, on terms consistent with the Federal Interest and the IRU. On other lands, RIVR Tech shall obtain the necessary rights in the name of, or for the benefit of, the Tribe as owner of the Tribal Assets, with the IRU rights running to RIVR Tech.</w:t>
      </w:r>
    </w:p>
    <w:p>
      <w:pPr>
        <w:ind w:left="504"/>
      </w:pPr>
      <w:r>
        <w:rPr>
          <w:b/>
          <w:color w:val="0000C0"/>
        </w:rPr>
        <w:t xml:space="preserve">[ATTORNEY REVIEW REQUIRED]  </w:t>
      </w:r>
      <w:r>
        <w:rPr>
          <w:i/>
          <w:color w:val="595959"/>
        </w:rPr>
        <w:t>The form of easement/right-of-way instruments, whether they run to the Tribe as owner, and any recording, Tribal-land status, and BIA-approval questions must be reviewed by counsel. Easements encumbering grant-funded real property implicate the encumbrance restrictions of 2 CFR 200.311 (Real property — use, encumbrance, and disposition).</w:t>
      </w:r>
    </w:p>
    <w:p>
      <w:pPr>
        <w:pStyle w:val="Heading1"/>
        <w:spacing w:before="240" w:after="120"/>
      </w:pPr>
      <w:r>
        <w:rPr>
          <w:rFonts w:ascii="Calibri" w:hAnsi="Calibri"/>
          <w:b/>
          <w:color w:val="1F3864"/>
          <w:sz w:val="26"/>
        </w:rPr>
        <w:t>ARTICLE 10.  PROCUREMENT, MATERIALS MANAGEMENT, AND DOMESTIC PREFERENCE</w:t>
      </w:r>
    </w:p>
    <w:p>
      <w:pPr>
        <w:pStyle w:val="Heading2"/>
        <w:spacing w:before="160" w:after="60"/>
      </w:pPr>
      <w:r>
        <w:rPr>
          <w:rFonts w:ascii="Calibri" w:hAnsi="Calibri"/>
          <w:b/>
          <w:color w:val="000000"/>
          <w:sz w:val="22"/>
        </w:rPr>
        <w:t>10.1  Procurement Standards</w:t>
      </w:r>
    </w:p>
    <w:p>
      <w:r>
        <w:rPr>
          <w:b w:val="0"/>
          <w:i w:val="0"/>
        </w:rPr>
        <w:t>All procurement of property and services charged in whole or in part to the Award shall comply with the procurement standards at 2 CFR 200.317–200.327 (Procurement standards), including full and open competition (2 CFR 200.319 (Competition)), the permissible methods of procurement (2 CFR 200.320 (Methods of procurement)), and written procurement procedures. Conflicts of interest shall be avoided and managed under 2 CFR 200.318(c) and 2 CFR 200.112 (Conflict of interest).</w:t>
      </w:r>
    </w:p>
    <w:p>
      <w:pPr>
        <w:ind w:left="504"/>
      </w:pPr>
      <w:r>
        <w:rPr>
          <w:b/>
          <w:color w:val="7F007F"/>
        </w:rPr>
        <w:t xml:space="preserve">[GRANT COMPLIANCE REVIEW REQUIRED]  </w:t>
      </w:r>
      <w:r>
        <w:rPr>
          <w:i/>
          <w:color w:val="595959"/>
        </w:rPr>
        <w:t>If RIVR Tech is characterized as a CONTRACTOR under Article 6, RIVR Tech's own selection must be supported by a compliant procurement (or a documented sole-source justification) under 2 CFR 200.320 (Methods of procurement). Grant counsel must confirm the procurement basis for engaging RIVR Tech and for RIVR Tech's downstream subcontracts.</w:t>
      </w:r>
    </w:p>
    <w:p>
      <w:pPr>
        <w:pStyle w:val="Heading2"/>
        <w:spacing w:before="160" w:after="60"/>
      </w:pPr>
      <w:r>
        <w:rPr>
          <w:rFonts w:ascii="Calibri" w:hAnsi="Calibri"/>
          <w:b/>
          <w:color w:val="000000"/>
          <w:sz w:val="22"/>
        </w:rPr>
        <w:t>10.2  Build America, Buy America (BABA)</w:t>
      </w:r>
    </w:p>
    <w:p>
      <w:r>
        <w:rPr>
          <w:b w:val="0"/>
          <w:i w:val="0"/>
        </w:rPr>
        <w:t>All iron, steel, manufactured products, and construction materials incorporated into the Tribal Assets shall comply with Build America, Buy America Act, IIJA §§ 70911–70917 (Pub. L. 117-58); 2 CFR Part 184; and NTIA BABA award terms, unless a waiver applies. RIVR Tech shall obtain and retain supplier certifications of BABA compliance and shall support any waiver request the Tribe elects to pursue.</w:t>
      </w:r>
    </w:p>
    <w:p>
      <w:pPr>
        <w:pStyle w:val="Heading2"/>
        <w:spacing w:before="160" w:after="60"/>
      </w:pPr>
      <w:r>
        <w:rPr>
          <w:rFonts w:ascii="Calibri" w:hAnsi="Calibri"/>
          <w:b/>
          <w:color w:val="000000"/>
          <w:sz w:val="22"/>
        </w:rPr>
        <w:t>10.3  Prohibited Telecommunications Equipment</w:t>
      </w:r>
    </w:p>
    <w:p>
      <w:r>
        <w:rPr>
          <w:b w:val="0"/>
          <w:i w:val="0"/>
        </w:rPr>
        <w:t>RIVR Tech shall not procure or install any covered telecommunications equipment or services prohibited under 2 CFR 200.216 (Prohibition on certain telecommunications and video surveillance — §889 covered equipment), and shall certify compliance for the Tribal Assets.</w:t>
      </w:r>
    </w:p>
    <w:p>
      <w:pPr>
        <w:pStyle w:val="Heading2"/>
        <w:spacing w:before="160" w:after="60"/>
      </w:pPr>
      <w:r>
        <w:rPr>
          <w:rFonts w:ascii="Calibri" w:hAnsi="Calibri"/>
          <w:b/>
          <w:color w:val="000000"/>
          <w:sz w:val="22"/>
        </w:rPr>
        <w:t>10.4  Debarment and Suspension</w:t>
      </w:r>
    </w:p>
    <w:p>
      <w:r>
        <w:rPr>
          <w:b w:val="0"/>
          <w:i w:val="0"/>
        </w:rPr>
        <w:t>RIVR Tech and its subcontractors at any tier shall not be debarred, suspended, or otherwise excluded, and RIVR Tech shall verify status consistent with 2 CFR Part 180 and 2 CFR Part 1327 (Governmentwide debarment and suspension — DOC/NTIA adoption) before award of any covered subcontract.</w:t>
      </w:r>
    </w:p>
    <w:p>
      <w:pPr>
        <w:pStyle w:val="Heading2"/>
        <w:spacing w:before="160" w:after="60"/>
      </w:pPr>
      <w:r>
        <w:rPr>
          <w:rFonts w:ascii="Calibri" w:hAnsi="Calibri"/>
          <w:b/>
          <w:color w:val="000000"/>
          <w:sz w:val="22"/>
        </w:rPr>
        <w:t>10.5  Materials Management</w:t>
      </w:r>
    </w:p>
    <w:p>
      <w:r>
        <w:rPr>
          <w:b w:val="0"/>
          <w:i w:val="0"/>
        </w:rPr>
        <w:t>RIVR Tech shall manage materials and equipment purchased for the Tribal Assets using inventory controls consistent with 2 CFR 200.313 (Equipment — use, management, and disposition) and 2 CFR 200.314 (Supplies), including tagging, property records, physical inventories, and safeguards against loss, damage, or theft. Title to materials incorporated into the Tribal Assets vests in the Tribe as owner, subject to the Federal Interest.</w:t>
      </w:r>
    </w:p>
    <w:p>
      <w:pPr>
        <w:pStyle w:val="Heading1"/>
        <w:spacing w:before="240" w:after="120"/>
      </w:pPr>
      <w:r>
        <w:rPr>
          <w:rFonts w:ascii="Calibri" w:hAnsi="Calibri"/>
          <w:b/>
          <w:color w:val="1F3864"/>
          <w:sz w:val="26"/>
        </w:rPr>
        <w:t>ARTICLE 11.  CONSTRUCTION MANAGEMENT AND CONTRACTOR OVERSIGHT</w:t>
      </w:r>
    </w:p>
    <w:p>
      <w:pPr>
        <w:pStyle w:val="Heading2"/>
        <w:spacing w:before="160" w:after="60"/>
      </w:pPr>
      <w:r>
        <w:rPr>
          <w:rFonts w:ascii="Calibri" w:hAnsi="Calibri"/>
          <w:b/>
          <w:color w:val="000000"/>
          <w:sz w:val="22"/>
        </w:rPr>
        <w:t>11.1  Construction Management</w:t>
      </w:r>
    </w:p>
    <w:p>
      <w:r>
        <w:rPr>
          <w:b w:val="0"/>
          <w:i w:val="0"/>
        </w:rPr>
        <w:t>RIVR Tech shall manage all construction of the Tribal Assets, including mobilization, make-ready, placement of conduit and fiber, splicing, electronics installation, and restoration, in accordance with the design, the schedule (Exhibit D), Applicable Law, and the safety requirements of prudent industry practice.</w:t>
      </w:r>
    </w:p>
    <w:p>
      <w:pPr>
        <w:pStyle w:val="Heading2"/>
        <w:spacing w:before="160" w:after="60"/>
      </w:pPr>
      <w:r>
        <w:rPr>
          <w:rFonts w:ascii="Calibri" w:hAnsi="Calibri"/>
          <w:b/>
          <w:color w:val="000000"/>
          <w:sz w:val="22"/>
        </w:rPr>
        <w:t>11.2  Subcontractors and Oversight</w:t>
      </w:r>
    </w:p>
    <w:p>
      <w:r>
        <w:rPr>
          <w:b w:val="0"/>
          <w:i w:val="0"/>
        </w:rPr>
        <w:t>RIVR Tech may engage qualified subcontractors but remains responsible for their performance and for flow-down of applicable Award Requirements. RIVR Tech shall oversee subcontractors, verify licensing and insurance, enforce safety and quality, and maintain records sufficient to demonstrate compliance and to support the Tribe's reporting and audit obligations.</w:t>
      </w:r>
    </w:p>
    <w:p>
      <w:pPr>
        <w:pStyle w:val="Heading2"/>
        <w:spacing w:before="160" w:after="60"/>
      </w:pPr>
      <w:r>
        <w:rPr>
          <w:rFonts w:ascii="Calibri" w:hAnsi="Calibri"/>
          <w:b/>
          <w:color w:val="000000"/>
          <w:sz w:val="22"/>
        </w:rPr>
        <w:t>11.3  Safety and Compliance</w:t>
      </w:r>
    </w:p>
    <w:p>
      <w:r>
        <w:rPr>
          <w:b w:val="0"/>
          <w:i w:val="0"/>
        </w:rPr>
        <w:t>RIVR Tech shall maintain a written safety program, comply with OSHA and applicable safety standards, and require the same of subcontractors. RIVR Tech shall promptly notify the Tribe of any material safety incident, citation, or stop-work order affecting the Tribal Assets.</w:t>
      </w:r>
    </w:p>
    <w:p>
      <w:pPr>
        <w:pStyle w:val="Heading1"/>
        <w:spacing w:before="240" w:after="120"/>
      </w:pPr>
      <w:r>
        <w:rPr>
          <w:rFonts w:ascii="Calibri" w:hAnsi="Calibri"/>
          <w:b/>
          <w:color w:val="1F3864"/>
          <w:sz w:val="26"/>
        </w:rPr>
        <w:t>ARTICLE 12.  CONSTRUCTION SCHEDULE, MILESTONES, AND CHANGE ORDERS</w:t>
      </w:r>
    </w:p>
    <w:p>
      <w:pPr>
        <w:pStyle w:val="Heading2"/>
        <w:spacing w:before="160" w:after="60"/>
      </w:pPr>
      <w:r>
        <w:rPr>
          <w:rFonts w:ascii="Calibri" w:hAnsi="Calibri"/>
          <w:b/>
          <w:color w:val="000000"/>
          <w:sz w:val="22"/>
        </w:rPr>
        <w:t>12.1  Schedule and Milestones</w:t>
      </w:r>
    </w:p>
    <w:p>
      <w:r>
        <w:rPr>
          <w:b w:val="0"/>
          <w:i w:val="0"/>
        </w:rPr>
        <w:t>RIVR Tech shall construct the Tribal Assets in accordance with the schedule and milestones in Exhibit D, which shall be consistent with the Award's build-out and performance deadlines. RIVR Tech shall report progress against milestones and shall promptly notify the Tribe of any anticipated delay and its mitigation plan.</w:t>
      </w:r>
    </w:p>
    <w:p>
      <w:pPr>
        <w:ind w:left="504"/>
      </w:pPr>
      <w:r>
        <w:rPr>
          <w:b/>
          <w:color w:val="7F007F"/>
        </w:rPr>
        <w:t xml:space="preserve">[GRANT COMPLIANCE REVIEW REQUIRED]  </w:t>
      </w:r>
      <w:r>
        <w:rPr>
          <w:i/>
          <w:color w:val="595959"/>
        </w:rPr>
        <w:t>Milestone dates must be reconciled with the Award's build-out deadlines and any interim performance milestones; failure to meet federal build-out deadlines can trigger remedies for noncompliance under 2 CFR 200.339–200.343 (Remedies for noncompliance; termination).</w:t>
      </w:r>
    </w:p>
    <w:p>
      <w:pPr>
        <w:pStyle w:val="Heading2"/>
        <w:spacing w:before="160" w:after="60"/>
      </w:pPr>
      <w:r>
        <w:rPr>
          <w:rFonts w:ascii="Calibri" w:hAnsi="Calibri"/>
          <w:b/>
          <w:color w:val="000000"/>
          <w:sz w:val="22"/>
        </w:rPr>
        <w:t>12.2  Change Orders</w:t>
      </w:r>
    </w:p>
    <w:p>
      <w:r>
        <w:rPr>
          <w:b w:val="0"/>
          <w:i w:val="0"/>
        </w:rPr>
        <w:t>Changes to the scope, schedule, or cost of construction shall be documented through the change-order process in Exhibit F. Any change that affects the Award scope or budget, or that requires NTIA prior approval, requires the Tribe's prior written approval and, where applicable, NTIA approval before the work proceeds.</w:t>
      </w:r>
    </w:p>
    <w:p>
      <w:pPr>
        <w:pStyle w:val="Heading2"/>
        <w:spacing w:before="160" w:after="60"/>
      </w:pPr>
      <w:r>
        <w:rPr>
          <w:rFonts w:ascii="Calibri" w:hAnsi="Calibri"/>
          <w:b/>
          <w:color w:val="000000"/>
          <w:sz w:val="22"/>
        </w:rPr>
        <w:t>12.3  Delay and Liquidated-Damages Placeholder</w:t>
      </w:r>
    </w:p>
    <w:p>
      <w:r>
        <w:rPr>
          <w:b w:val="0"/>
          <w:i w:val="0"/>
        </w:rPr>
        <w:t xml:space="preserve">The Parties shall address remedies for RIVR Tech delay, including any milestone credits or liquidated damages, at </w:t>
      </w:r>
      <w:r>
        <w:rPr>
          <w:b w:val="0"/>
          <w:i w:val="0"/>
          <w:color w:val="804000"/>
          <w:highlight w:val="yellow"/>
        </w:rPr>
        <w:t>[■ to be negotiated — milestone credit / liquidated-damage structure]</w:t>
      </w:r>
      <w:r>
        <w:rPr>
          <w:b w:val="0"/>
          <w:i w:val="0"/>
        </w:rPr>
        <w:t>.</w:t>
      </w:r>
    </w:p>
    <w:p>
      <w:pPr>
        <w:ind w:left="504"/>
      </w:pPr>
      <w:r>
        <w:rPr>
          <w:b/>
          <w:color w:val="C00000"/>
        </w:rPr>
        <w:t xml:space="preserve">[BUSINESS DECISION REQUIRED]  </w:t>
      </w:r>
      <w:r>
        <w:rPr>
          <w:i/>
          <w:color w:val="595959"/>
        </w:rPr>
        <w:t>Whether to include milestone credits or liquidated damages for late completion, and at what level, is a business decision to be negotiated and reconciled with the Financial Schedule (Document 02.04).</w:t>
      </w:r>
    </w:p>
    <w:p>
      <w:pPr>
        <w:pStyle w:val="Heading1"/>
        <w:spacing w:before="240" w:after="120"/>
      </w:pPr>
      <w:r>
        <w:rPr>
          <w:rFonts w:ascii="Calibri" w:hAnsi="Calibri"/>
          <w:b/>
          <w:color w:val="1F3864"/>
          <w:sz w:val="26"/>
        </w:rPr>
        <w:t>ARTICLE 13.  INSPECTIONS, TESTING, AND ACCEPTANCE</w:t>
      </w:r>
    </w:p>
    <w:p>
      <w:pPr>
        <w:pStyle w:val="Heading2"/>
        <w:spacing w:before="160" w:after="60"/>
      </w:pPr>
      <w:r>
        <w:rPr>
          <w:rFonts w:ascii="Calibri" w:hAnsi="Calibri"/>
          <w:b/>
          <w:color w:val="000000"/>
          <w:sz w:val="22"/>
        </w:rPr>
        <w:t>13.1  Inspections</w:t>
      </w:r>
    </w:p>
    <w:p>
      <w:r>
        <w:rPr>
          <w:b w:val="0"/>
          <w:i w:val="0"/>
        </w:rPr>
        <w:t>The Tribe and its representatives (and NTIA) may inspect the Tribal Assets and the work at reasonable times. Inspection does not relieve RIVR Tech of responsibility for conformance. RIVR Tech shall correct nonconforming work at its cost, subject to allowability.</w:t>
      </w:r>
    </w:p>
    <w:p>
      <w:pPr>
        <w:pStyle w:val="Heading2"/>
        <w:spacing w:before="160" w:after="60"/>
      </w:pPr>
      <w:r>
        <w:rPr>
          <w:rFonts w:ascii="Calibri" w:hAnsi="Calibri"/>
          <w:b/>
          <w:color w:val="000000"/>
          <w:sz w:val="22"/>
        </w:rPr>
        <w:t>13.2  Testing and Acceptance</w:t>
      </w:r>
    </w:p>
    <w:p>
      <w:r>
        <w:rPr>
          <w:b w:val="0"/>
          <w:i w:val="0"/>
        </w:rPr>
        <w:t>Each Segment shall be tested in accordance with Exhibit E (optical and network acceptance testing) and accepted in accordance with the acceptance procedures and punch-list process in Exhibit G. Acceptance occurs only when the Segment meets the acceptance criteria and RIVR Tech has delivered the required test results and As-Built Documentation. Acceptance does not waive latent-defect or warranty rights.</w:t>
      </w:r>
    </w:p>
    <w:p>
      <w:pPr>
        <w:pStyle w:val="Heading2"/>
        <w:spacing w:before="160" w:after="60"/>
      </w:pPr>
      <w:r>
        <w:rPr>
          <w:rFonts w:ascii="Calibri" w:hAnsi="Calibri"/>
          <w:b/>
          <w:color w:val="000000"/>
          <w:sz w:val="22"/>
        </w:rPr>
        <w:t>13.3  Warranty</w:t>
      </w:r>
    </w:p>
    <w:p>
      <w:r>
        <w:rPr>
          <w:b w:val="0"/>
          <w:i w:val="0"/>
        </w:rPr>
        <w:t xml:space="preserve">RIVR Tech shall warrant the construction of the Tribal Assets against defects in materials and workmanship for a period of </w:t>
      </w:r>
      <w:r>
        <w:rPr>
          <w:b w:val="0"/>
          <w:i w:val="0"/>
          <w:color w:val="804000"/>
          <w:highlight w:val="yellow"/>
        </w:rPr>
        <w:t>[■ warranty period — e.g., 12–24 months]</w:t>
      </w:r>
      <w:r>
        <w:rPr>
          <w:b w:val="0"/>
          <w:i w:val="0"/>
        </w:rPr>
        <w:t xml:space="preserve"> from Acceptance, and shall pass through manufacturer warranties to the Tribe as owner.</w:t>
      </w:r>
    </w:p>
    <w:p>
      <w:pPr>
        <w:ind w:left="504"/>
      </w:pPr>
      <w:r>
        <w:rPr>
          <w:b/>
          <w:color w:val="C00000"/>
        </w:rPr>
        <w:t xml:space="preserve">[BUSINESS DECISION REQUIRED]  </w:t>
      </w:r>
      <w:r>
        <w:rPr>
          <w:i/>
          <w:color w:val="595959"/>
        </w:rPr>
        <w:t>Construction warranty duration and scope, and the interaction with the O&amp;M obligations in Document 02.03, are to be negotiated.</w:t>
      </w:r>
    </w:p>
    <w:p>
      <w:pPr>
        <w:pStyle w:val="Heading1"/>
        <w:spacing w:before="240" w:after="120"/>
      </w:pPr>
      <w:r>
        <w:rPr>
          <w:rFonts w:ascii="Calibri" w:hAnsi="Calibri"/>
          <w:b/>
          <w:color w:val="1F3864"/>
          <w:sz w:val="26"/>
        </w:rPr>
        <w:t>ARTICLE 14.  AS-BUILT DOCUMENTATION AND GIS</w:t>
      </w:r>
    </w:p>
    <w:p>
      <w:pPr>
        <w:pStyle w:val="Heading2"/>
        <w:spacing w:before="160" w:after="60"/>
      </w:pPr>
      <w:r>
        <w:rPr>
          <w:rFonts w:ascii="Calibri" w:hAnsi="Calibri"/>
          <w:b/>
          <w:color w:val="000000"/>
          <w:sz w:val="22"/>
        </w:rPr>
        <w:t>14.1  As-Built Deliverables</w:t>
      </w:r>
    </w:p>
    <w:p>
      <w:r>
        <w:rPr>
          <w:b w:val="0"/>
          <w:i w:val="0"/>
        </w:rPr>
        <w:t xml:space="preserve">Within </w:t>
      </w:r>
      <w:r>
        <w:rPr>
          <w:b w:val="0"/>
          <w:i w:val="0"/>
          <w:color w:val="804000"/>
          <w:highlight w:val="yellow"/>
        </w:rPr>
        <w:t>[■ number of days]</w:t>
      </w:r>
      <w:r>
        <w:rPr>
          <w:b w:val="0"/>
          <w:i w:val="0"/>
        </w:rPr>
        <w:t xml:space="preserve"> after Acceptance of each Segment, RIVR Tech shall deliver to the Tribe complete As-Built Documentation, including record drawings, GIS data in a mutually agreed format, splice and fiber-assignment records, equipment inventories, and the test results required by Exhibit E.</w:t>
      </w:r>
    </w:p>
    <w:p>
      <w:pPr>
        <w:pStyle w:val="Heading2"/>
        <w:spacing w:before="160" w:after="60"/>
      </w:pPr>
      <w:r>
        <w:rPr>
          <w:rFonts w:ascii="Calibri" w:hAnsi="Calibri"/>
          <w:b/>
          <w:color w:val="000000"/>
          <w:sz w:val="22"/>
        </w:rPr>
        <w:t>14.2  Ownership and Access to Records</w:t>
      </w:r>
    </w:p>
    <w:p>
      <w:r>
        <w:rPr>
          <w:b w:val="0"/>
          <w:i w:val="0"/>
        </w:rPr>
        <w:t>As-Built Documentation and GIS data relating to the Tribal Assets are the property of the Tribe as owner of the Tribal Assets, subject to RIVR Tech's license to use them for operations. Such records are program records subject to the retention and access requirements of 2 CFR 200.334–200.337 (Record retention and access; three-year retention).</w:t>
      </w:r>
    </w:p>
    <w:p>
      <w:pPr>
        <w:pStyle w:val="Heading2"/>
        <w:spacing w:before="160" w:after="60"/>
      </w:pPr>
      <w:r>
        <w:rPr>
          <w:rFonts w:ascii="Calibri" w:hAnsi="Calibri"/>
          <w:b/>
          <w:color w:val="000000"/>
          <w:sz w:val="22"/>
        </w:rPr>
        <w:t>14.3  Updates</w:t>
      </w:r>
    </w:p>
    <w:p>
      <w:r>
        <w:rPr>
          <w:b w:val="0"/>
          <w:i w:val="0"/>
        </w:rPr>
        <w:t>RIVR Tech shall keep the As-Built Documentation and GIS current throughout the IRU Term as the Tribal Assets are modified, and shall provide updated records to the Tribe on a periodic basis and upon transition under Document 02.07.</w:t>
      </w:r>
    </w:p>
    <w:p>
      <w:pPr>
        <w:pStyle w:val="Heading1"/>
        <w:spacing w:before="240" w:after="120"/>
      </w:pPr>
      <w:r>
        <w:rPr>
          <w:rFonts w:ascii="Calibri" w:hAnsi="Calibri"/>
          <w:b/>
          <w:color w:val="1F3864"/>
          <w:sz w:val="26"/>
        </w:rPr>
        <w:t>ARTICLE 15.  OWNERSHIP OF ASSETS</w:t>
      </w:r>
    </w:p>
    <w:p>
      <w:pPr>
        <w:pStyle w:val="Heading2"/>
        <w:spacing w:before="160" w:after="60"/>
      </w:pPr>
      <w:r>
        <w:rPr>
          <w:rFonts w:ascii="Calibri" w:hAnsi="Calibri"/>
          <w:b/>
          <w:color w:val="000000"/>
          <w:sz w:val="22"/>
        </w:rPr>
        <w:t>15.1  General Principle</w:t>
      </w:r>
    </w:p>
    <w:p>
      <w:r>
        <w:rPr>
          <w:b w:val="0"/>
          <w:i w:val="0"/>
        </w:rPr>
        <w:t>Ownership of assets follows the source of funds and the Federal Interest. The categories below govern the Network. Asset boundaries are delineated at the Demarcation Points under Article 16 and Exhibit B.</w:t>
      </w:r>
    </w:p>
    <w:p>
      <w:pPr>
        <w:pStyle w:val="Heading2"/>
        <w:spacing w:before="160" w:after="60"/>
      </w:pPr>
      <w:r>
        <w:rPr>
          <w:rFonts w:ascii="Calibri" w:hAnsi="Calibri"/>
          <w:b/>
          <w:color w:val="000000"/>
          <w:sz w:val="22"/>
        </w:rPr>
        <w:t>15.2  Grant-Funded Assets (Tribal Assets)</w:t>
      </w:r>
    </w:p>
    <w:p>
      <w:r>
        <w:rPr>
          <w:b w:val="0"/>
          <w:i w:val="0"/>
        </w:rPr>
        <w:t>All Tribal Assets — the Grant-Funded Infrastructure acquired, constructed, or improved with Award funds — are owned by and titled in the Tribe and are subject to the continuing Federal Interest. Title does not transfer to RIVR Tech. Use, encumbrance, and disposition of the Tribal Assets are governed by 2 CFR 200.311 (Real property — use, encumbrance, and disposition), 2 CFR 200.313 (Equipment — use, management, and disposition), 2 CFR 200.315 (Intangible property), and 2 CFR 200.316 (Property trust relationship), and by the Grant Compliance and Federal Interest Addendum (Document 02.05).</w:t>
      </w:r>
    </w:p>
    <w:p>
      <w:pPr>
        <w:pStyle w:val="Heading2"/>
        <w:spacing w:before="160" w:after="60"/>
      </w:pPr>
      <w:r>
        <w:rPr>
          <w:rFonts w:ascii="Calibri" w:hAnsi="Calibri"/>
          <w:b/>
          <w:color w:val="000000"/>
          <w:sz w:val="22"/>
        </w:rPr>
        <w:t>15.3  Preexisting RIVR Tech Assets (RIVR Tech Assets / RIVR Tech Existing Network)</w:t>
      </w:r>
    </w:p>
    <w:p>
      <w:r>
        <w:rPr>
          <w:b w:val="0"/>
          <w:i w:val="0"/>
        </w:rPr>
        <w:t>The RIVR Tech Existing Network and other RIVR Tech Assets that predate or are funded outside the Award remain the sole property of RIVR Tech. No Federal Interest attaches to RIVR Tech Assets by reason of interconnection alone. RIVR Tech is responsible for the cost, maintenance, and replacement of RIVR Tech Assets, and the Tribe acquires no ownership interest in them.</w:t>
      </w:r>
    </w:p>
    <w:p>
      <w:pPr>
        <w:pStyle w:val="Heading2"/>
        <w:spacing w:before="160" w:after="60"/>
      </w:pPr>
      <w:r>
        <w:rPr>
          <w:rFonts w:ascii="Calibri" w:hAnsi="Calibri"/>
          <w:b/>
          <w:color w:val="000000"/>
          <w:sz w:val="22"/>
        </w:rPr>
        <w:t>15.4  Jointly Funded Assets (Jointly Funded Assets)</w:t>
      </w:r>
    </w:p>
    <w:p>
      <w:r>
        <w:rPr>
          <w:b w:val="0"/>
          <w:i w:val="0"/>
        </w:rPr>
        <w:t>For any asset funded partly with Award funds and partly with RIVR Tech or third-party funds, the Parties shall document the cost allocation and the resulting ownership and Federal Interest treatment before construction. The federally funded share, and any asset that cannot be cleanly severed, is presumed subject to the Federal Interest and owned by the Tribe unless grant counsel confirms a compliant alternative allocation.</w:t>
      </w:r>
    </w:p>
    <w:p>
      <w:pPr>
        <w:ind w:left="504"/>
      </w:pPr>
      <w:r>
        <w:rPr>
          <w:b/>
          <w:color w:val="7F007F"/>
        </w:rPr>
        <w:t xml:space="preserve">[GRANT COMPLIANCE REVIEW REQUIRED]  </w:t>
      </w:r>
      <w:r>
        <w:rPr>
          <w:i/>
          <w:color w:val="595959"/>
        </w:rPr>
        <w:t>Cost allocation for Jointly Funded Assets and the resulting Federal Interest must be documented and confirmed with grant counsel to avoid commingling that would extend the Federal Interest to RIVR Tech's own assets or create disposition problems at closeout (2 CFR 200.344 (Closeout) and 2 CFR 200.345 (Post-closeout adjustments and continuing responsibilities)).</w:t>
      </w:r>
    </w:p>
    <w:p>
      <w:pPr>
        <w:pStyle w:val="Heading2"/>
        <w:spacing w:before="160" w:after="60"/>
      </w:pPr>
      <w:r>
        <w:rPr>
          <w:rFonts w:ascii="Calibri" w:hAnsi="Calibri"/>
          <w:b/>
          <w:color w:val="000000"/>
          <w:sz w:val="22"/>
        </w:rPr>
        <w:t>15.5  Future Improvements</w:t>
      </w:r>
    </w:p>
    <w:p>
      <w:r>
        <w:rPr>
          <w:b w:val="0"/>
          <w:i w:val="0"/>
        </w:rPr>
        <w:t xml:space="preserve">Improvements, upgrades, and additions made during the IRU Term shall be characterized by source of funds: Award-funded improvements become Tribal Assets owned by the Tribe and subject to the Federal Interest; RIVR Tech-funded improvements to the Tribal Assets shall be addressed as agreed (as RIVR Tech property removable at transition, as a betterment credited under Document 02.04, or as a donation to the Tribe), and improvements to RIVR Tech Assets remain RIVR Tech property. The treatment of RIVR Tech-funded electronics installed on the Tribal Assets is </w:t>
      </w:r>
      <w:r>
        <w:rPr>
          <w:b w:val="0"/>
          <w:i w:val="0"/>
          <w:color w:val="804000"/>
          <w:highlight w:val="yellow"/>
        </w:rPr>
        <w:t>[■ to be specified — removable vs. transferred at transition]</w:t>
      </w:r>
      <w:r>
        <w:rPr>
          <w:b w:val="0"/>
          <w:i w:val="0"/>
        </w:rPr>
        <w:t>.</w:t>
      </w:r>
    </w:p>
    <w:p>
      <w:pPr>
        <w:ind w:left="504"/>
      </w:pPr>
      <w:r>
        <w:rPr>
          <w:b/>
          <w:color w:val="C00000"/>
        </w:rPr>
        <w:t xml:space="preserve">[BUSINESS DECISION REQUIRED]  </w:t>
      </w:r>
      <w:r>
        <w:rPr>
          <w:i/>
          <w:color w:val="595959"/>
        </w:rPr>
        <w:t>The treatment of operator-funded upgrades and electronics (removable, credited, or donated), and their handling at transition, is a commercial point to be settled in Documents 02.02 and 02.04.</w:t>
      </w:r>
    </w:p>
    <w:p>
      <w:pPr>
        <w:pStyle w:val="Heading1"/>
        <w:spacing w:before="240" w:after="120"/>
      </w:pPr>
      <w:r>
        <w:rPr>
          <w:rFonts w:ascii="Calibri" w:hAnsi="Calibri"/>
          <w:b/>
          <w:color w:val="1F3864"/>
          <w:sz w:val="26"/>
        </w:rPr>
        <w:t>ARTICLE 16.  INTERCONNECTION WITH RIVR TECH'S MIDDLE-MILE NETWORK; DEMARCATION</w:t>
      </w:r>
    </w:p>
    <w:p>
      <w:pPr>
        <w:pStyle w:val="Heading2"/>
        <w:spacing w:before="160" w:after="60"/>
      </w:pPr>
      <w:r>
        <w:rPr>
          <w:rFonts w:ascii="Calibri" w:hAnsi="Calibri"/>
          <w:b/>
          <w:color w:val="000000"/>
          <w:sz w:val="22"/>
        </w:rPr>
        <w:t>16.1  Interconnection</w:t>
      </w:r>
    </w:p>
    <w:p>
      <w:r>
        <w:rPr>
          <w:b w:val="0"/>
          <w:i w:val="0"/>
        </w:rPr>
        <w:t>RIVR Tech shall interconnect the Tribal Assets with the RIVR Tech Existing Network at the Demarcation Points so that the Network functions as a single, seamless system delivering service to end users. RIVR Tech shall provision, groom, and maintain the interconnection and provide the transport, transit, and core services necessary for the Tribal Assets to reach the public internet and voice networks.</w:t>
      </w:r>
    </w:p>
    <w:p>
      <w:pPr>
        <w:pStyle w:val="Heading2"/>
        <w:spacing w:before="160" w:after="60"/>
      </w:pPr>
      <w:r>
        <w:rPr>
          <w:rFonts w:ascii="Calibri" w:hAnsi="Calibri"/>
          <w:b/>
          <w:color w:val="000000"/>
          <w:sz w:val="22"/>
        </w:rPr>
        <w:t>16.2  Demarcation Points</w:t>
      </w:r>
    </w:p>
    <w:p>
      <w:r>
        <w:rPr>
          <w:b w:val="0"/>
          <w:i w:val="0"/>
        </w:rPr>
        <w:t>Each Demarcation Point marks the boundary between the Tribe-owned Tribal Assets (subject to the Federal Interest) and the RIVR Tech-owned RIVR Tech Existing Network. The Demarcation Points shall be documented in Exhibit B by physical location, port/panel identification, and logical boundary, so that ownership, the extent of the Federal Interest, and operational responsibility are unambiguous at every interconnection.</w:t>
      </w:r>
    </w:p>
    <w:p>
      <w:pPr>
        <w:ind w:left="504"/>
      </w:pPr>
      <w:r>
        <w:rPr>
          <w:b/>
          <w:color w:val="007000"/>
        </w:rPr>
        <w:t xml:space="preserve">[TECHNICAL INFORMATION REQUIRED]  </w:t>
      </w:r>
      <w:r>
        <w:rPr>
          <w:i/>
          <w:color w:val="595959"/>
        </w:rPr>
        <w:t>The specific Demarcation Point locations, port assignments, and the physical/logical boundary at each interconnection are [■ to be provided by RIVR Tech engineering in Exhibit B]. Clean demarcation is essential so the Federal Interest does not bleed into RIVR Tech's existing network.</w:t>
      </w:r>
    </w:p>
    <w:p>
      <w:pPr>
        <w:pStyle w:val="Heading2"/>
        <w:spacing w:before="160" w:after="60"/>
      </w:pPr>
      <w:r>
        <w:rPr>
          <w:rFonts w:ascii="Calibri" w:hAnsi="Calibri"/>
          <w:b/>
          <w:color w:val="000000"/>
          <w:sz w:val="22"/>
        </w:rPr>
        <w:t>16.3  Continuity at the Demarcation</w:t>
      </w:r>
    </w:p>
    <w:p>
      <w:r>
        <w:rPr>
          <w:b w:val="0"/>
          <w:i w:val="0"/>
        </w:rPr>
        <w:t>On expiration or termination, the Tribe (or a successor operator) must be able to interconnect the Tribal Assets at the Demarcation Points and continue Essential Services. RIVR Tech shall provide the interconnection information, transitional transport, and cooperation required by Document 02.07 so that the Tribal Assets remain usable independent of RIVR Tech's continued participation.</w:t>
      </w:r>
    </w:p>
    <w:p>
      <w:pPr>
        <w:pStyle w:val="Heading1"/>
        <w:spacing w:before="240" w:after="120"/>
      </w:pPr>
      <w:r>
        <w:rPr>
          <w:rFonts w:ascii="Calibri" w:hAnsi="Calibri"/>
          <w:b/>
          <w:color w:val="1F3864"/>
          <w:sz w:val="26"/>
        </w:rPr>
        <w:t>ARTICLE 17.  OPERATIONS, CUSTOMER INSTALLATIONS, AND SUPPORT</w:t>
      </w:r>
    </w:p>
    <w:p>
      <w:pPr>
        <w:pStyle w:val="Heading2"/>
        <w:spacing w:before="160" w:after="60"/>
      </w:pPr>
      <w:r>
        <w:rPr>
          <w:rFonts w:ascii="Calibri" w:hAnsi="Calibri"/>
          <w:b/>
          <w:color w:val="000000"/>
          <w:sz w:val="22"/>
        </w:rPr>
        <w:t>17.1  Operations</w:t>
      </w:r>
    </w:p>
    <w:p>
      <w:r>
        <w:rPr>
          <w:b w:val="0"/>
          <w:i w:val="0"/>
        </w:rPr>
        <w:t>RIVR Tech shall operate and maintain the Network in accordance with Document 02.03 (Operations, Maintenance and Service-Level Agreement), including preventive and corrective maintenance, fault management, and capacity management, and shall meet the service levels stated there.</w:t>
      </w:r>
    </w:p>
    <w:p>
      <w:pPr>
        <w:pStyle w:val="Heading2"/>
        <w:spacing w:before="160" w:after="60"/>
      </w:pPr>
      <w:r>
        <w:rPr>
          <w:rFonts w:ascii="Calibri" w:hAnsi="Calibri"/>
          <w:b/>
          <w:color w:val="000000"/>
          <w:sz w:val="22"/>
        </w:rPr>
        <w:t>17.2  Network Monitoring</w:t>
      </w:r>
    </w:p>
    <w:p>
      <w:r>
        <w:rPr>
          <w:b w:val="0"/>
          <w:i w:val="0"/>
        </w:rPr>
        <w:t>RIVR Tech shall monitor the Network on a 24 hours per day, 7 days per week, 365 days per year basis from a network operations center, targeting 99.9% availability, latency at or below 100 ms, packet loss at or below 0.1%, and jitter at or below 30 ms, all as further specified in Document 02.03.</w:t>
      </w:r>
    </w:p>
    <w:p>
      <w:pPr>
        <w:pStyle w:val="Heading2"/>
        <w:spacing w:before="160" w:after="60"/>
      </w:pPr>
      <w:r>
        <w:rPr>
          <w:rFonts w:ascii="Calibri" w:hAnsi="Calibri"/>
          <w:b/>
          <w:color w:val="000000"/>
          <w:sz w:val="22"/>
        </w:rPr>
        <w:t>17.3  Customer Installations and Provisioning</w:t>
      </w:r>
    </w:p>
    <w:p>
      <w:r>
        <w:rPr>
          <w:b w:val="0"/>
          <w:i w:val="0"/>
        </w:rPr>
        <w:t>RIVR Tech shall market, sell, install, and provision service to end users in the Service Territory, including scheduling, drop installation, customer-premises equipment, and activation, in a non-discriminatory manner consistent with the Award's service obligations.</w:t>
      </w:r>
    </w:p>
    <w:p>
      <w:pPr>
        <w:pStyle w:val="Heading2"/>
        <w:spacing w:before="160" w:after="60"/>
      </w:pPr>
      <w:r>
        <w:rPr>
          <w:rFonts w:ascii="Calibri" w:hAnsi="Calibri"/>
          <w:b/>
          <w:color w:val="000000"/>
          <w:sz w:val="22"/>
        </w:rPr>
        <w:t>17.4  Billing and Collections</w:t>
      </w:r>
    </w:p>
    <w:p>
      <w:r>
        <w:rPr>
          <w:b w:val="0"/>
          <w:i w:val="0"/>
        </w:rPr>
        <w:t>RIVR Tech shall bill end users and collect revenue for services delivered over the Network, maintain accurate billing records, and account for revenue as required by the Financial and Revenue-Sharing Schedule (Document 02.04) and the Program Income provisions of Article 24.</w:t>
      </w:r>
    </w:p>
    <w:p>
      <w:pPr>
        <w:pStyle w:val="Heading2"/>
        <w:spacing w:before="160" w:after="60"/>
      </w:pPr>
      <w:r>
        <w:rPr>
          <w:rFonts w:ascii="Calibri" w:hAnsi="Calibri"/>
          <w:b/>
          <w:color w:val="000000"/>
          <w:sz w:val="22"/>
        </w:rPr>
        <w:t>17.5  Customer Service and Technical Support</w:t>
      </w:r>
    </w:p>
    <w:p>
      <w:r>
        <w:rPr>
          <w:b w:val="0"/>
          <w:i w:val="0"/>
        </w:rPr>
        <w:t>RIVR Tech shall provide customer service and technical support to end users, including a trouble-ticketing process and support hours consistent with Document 02.03, and shall handle customer complaints, including any escalation to the Tribe or regulators as required.</w:t>
      </w:r>
    </w:p>
    <w:p>
      <w:pPr>
        <w:pStyle w:val="Heading1"/>
        <w:spacing w:before="240" w:after="120"/>
      </w:pPr>
      <w:r>
        <w:rPr>
          <w:rFonts w:ascii="Calibri" w:hAnsi="Calibri"/>
          <w:b/>
          <w:color w:val="1F3864"/>
          <w:sz w:val="26"/>
        </w:rPr>
        <w:t>ARTICLE 18.  MARKETING, SALES, AND RATE-SETTING</w:t>
      </w:r>
    </w:p>
    <w:p>
      <w:pPr>
        <w:pStyle w:val="Heading2"/>
        <w:spacing w:before="160" w:after="60"/>
      </w:pPr>
      <w:r>
        <w:rPr>
          <w:rFonts w:ascii="Calibri" w:hAnsi="Calibri"/>
          <w:b/>
          <w:color w:val="000000"/>
          <w:sz w:val="22"/>
        </w:rPr>
        <w:t>18.1  Marketing and Sales</w:t>
      </w:r>
    </w:p>
    <w:p>
      <w:r>
        <w:rPr>
          <w:b w:val="0"/>
          <w:i w:val="0"/>
        </w:rPr>
        <w:t>RIVR Tech shall market and sell services over the Network using its brand and channels, subject to the Tribe's reasonable approval of the use of the Tribe's name, marks, or endorsement and to the public-announcement provisions of Article 27. Marketing shall accurately describe the service and any Award-required low-cost option.</w:t>
      </w:r>
    </w:p>
    <w:p>
      <w:pPr>
        <w:pStyle w:val="Heading2"/>
        <w:spacing w:before="160" w:after="60"/>
      </w:pPr>
      <w:r>
        <w:rPr>
          <w:rFonts w:ascii="Calibri" w:hAnsi="Calibri"/>
          <w:b/>
          <w:color w:val="000000"/>
          <w:sz w:val="22"/>
        </w:rPr>
        <w:t>18.2  Rate-Setting</w:t>
      </w:r>
    </w:p>
    <w:p>
      <w:r>
        <w:rPr>
          <w:b w:val="0"/>
          <w:i w:val="0"/>
        </w:rPr>
        <w:t xml:space="preserve">RIVR Tech shall set retail rates for services over the Network, subject to (i) the affordable-service obligations of Article 19 and the Award, (ii) any applicable regulatory requirements, and (iii) the revenue-sharing framework of Document 02.04. Rate structures and any rate caps or floors are </w:t>
      </w:r>
      <w:r>
        <w:rPr>
          <w:b w:val="0"/>
          <w:i w:val="0"/>
          <w:color w:val="804000"/>
          <w:highlight w:val="yellow"/>
        </w:rPr>
        <w:t>[■ to be negotiated in Document 02.04]</w:t>
      </w:r>
      <w:r>
        <w:rPr>
          <w:b w:val="0"/>
          <w:i w:val="0"/>
        </w:rPr>
        <w:t>.</w:t>
      </w:r>
    </w:p>
    <w:p>
      <w:pPr>
        <w:ind w:left="504"/>
      </w:pPr>
      <w:r>
        <w:rPr>
          <w:b/>
          <w:color w:val="C00000"/>
        </w:rPr>
        <w:t xml:space="preserve">[BUSINESS DECISION REQUIRED]  </w:t>
      </w:r>
      <w:r>
        <w:rPr>
          <w:i/>
          <w:color w:val="595959"/>
        </w:rPr>
        <w:t>Retail pricing, rate caps/floors, promotional pricing, and any Tribal approval right over rates are commercial terms to be negotiated in the Financial and Revenue-Sharing Schedule (Document 02.04). Do not fix pricing in this Master Agreement.</w:t>
      </w:r>
    </w:p>
    <w:p>
      <w:pPr>
        <w:pStyle w:val="Heading1"/>
        <w:spacing w:before="240" w:after="120"/>
      </w:pPr>
      <w:r>
        <w:rPr>
          <w:rFonts w:ascii="Calibri" w:hAnsi="Calibri"/>
          <w:b/>
          <w:color w:val="1F3864"/>
          <w:sz w:val="26"/>
        </w:rPr>
        <w:t>ARTICLE 19.  AFFORDABLE-SERVICE AND VOICE OBLIGATIONS</w:t>
      </w:r>
    </w:p>
    <w:p>
      <w:pPr>
        <w:pStyle w:val="Heading2"/>
        <w:spacing w:before="160" w:after="60"/>
      </w:pPr>
      <w:r>
        <w:rPr>
          <w:rFonts w:ascii="Calibri" w:hAnsi="Calibri"/>
          <w:b/>
          <w:color w:val="000000"/>
          <w:sz w:val="22"/>
        </w:rPr>
        <w:t>19.1  Low-Cost Broadband Option</w:t>
      </w:r>
    </w:p>
    <w:p>
      <w:r>
        <w:rPr>
          <w:b w:val="0"/>
          <w:i w:val="0"/>
        </w:rPr>
        <w:t xml:space="preserve">RIVR Tech shall offer and publicize a low-cost broadband service option providing at least 100/20 Mbps service, consistent with the Award's affordability requirements and any applicable low-cost service-option obligations, throughout the Service Territory. The price, features, and eligibility of the low-cost option shall satisfy the Award and are </w:t>
      </w:r>
      <w:r>
        <w:rPr>
          <w:b w:val="0"/>
          <w:i w:val="0"/>
          <w:color w:val="804000"/>
          <w:highlight w:val="yellow"/>
        </w:rPr>
        <w:t>[■ to be confirmed against the Award terms]</w:t>
      </w:r>
      <w:r>
        <w:rPr>
          <w:b w:val="0"/>
          <w:i w:val="0"/>
        </w:rPr>
        <w:t>.</w:t>
      </w:r>
    </w:p>
    <w:p>
      <w:pPr>
        <w:ind w:left="504"/>
      </w:pPr>
      <w:r>
        <w:rPr>
          <w:b/>
          <w:color w:val="7F007F"/>
        </w:rPr>
        <w:t xml:space="preserve">[GRANT COMPLIANCE REVIEW REQUIRED]  </w:t>
      </w:r>
      <w:r>
        <w:rPr>
          <w:i/>
          <w:color w:val="595959"/>
        </w:rPr>
        <w:t>The specific low-cost/affordable service-option terms (speed, price benchmark, and any eligibility conditions) must be confirmed against the Award and TBCP guidance and kept consistent with Document 02.04.</w:t>
      </w:r>
    </w:p>
    <w:p>
      <w:pPr>
        <w:pStyle w:val="Heading2"/>
        <w:spacing w:before="160" w:after="60"/>
      </w:pPr>
      <w:r>
        <w:rPr>
          <w:rFonts w:ascii="Calibri" w:hAnsi="Calibri"/>
          <w:b/>
          <w:color w:val="000000"/>
          <w:sz w:val="22"/>
        </w:rPr>
        <w:t>19.2  Voice Service</w:t>
      </w:r>
    </w:p>
    <w:p>
      <w:r>
        <w:rPr>
          <w:b w:val="0"/>
          <w:i w:val="0"/>
        </w:rPr>
        <w:t>To the extent RIVR Tech provides voice service over the Network, RIVR Tech shall comply with applicable telecommunications requirements, including 911/E-911, and shall be responsible for the voice platform, interconnection, and regulatory obligations associated with voice.</w:t>
      </w:r>
    </w:p>
    <w:p>
      <w:pPr>
        <w:pStyle w:val="Heading1"/>
        <w:spacing w:before="240" w:after="120"/>
      </w:pPr>
      <w:r>
        <w:rPr>
          <w:rFonts w:ascii="Calibri" w:hAnsi="Calibri"/>
          <w:b/>
          <w:color w:val="1F3864"/>
          <w:sz w:val="26"/>
        </w:rPr>
        <w:t>ARTICLE 20.  REGULATORY COMPLIANCE (FCC / USAC / ETC)</w:t>
      </w:r>
    </w:p>
    <w:p>
      <w:pPr>
        <w:pStyle w:val="Heading2"/>
        <w:spacing w:before="160" w:after="60"/>
      </w:pPr>
      <w:r>
        <w:rPr>
          <w:rFonts w:ascii="Calibri" w:hAnsi="Calibri"/>
          <w:b/>
          <w:color w:val="000000"/>
          <w:sz w:val="22"/>
        </w:rPr>
        <w:t>20.1  Communications Regulation</w:t>
      </w:r>
    </w:p>
    <w:p>
      <w:r>
        <w:rPr>
          <w:b w:val="0"/>
          <w:i w:val="0"/>
        </w:rPr>
        <w:t>RIVR Tech shall obtain and maintain all authorizations necessary to provide service over the Network and shall comply with applicable Federal Communications Commission requirements. Where universal-service, Lifeline, or Eligible Telecommunications Carrier (ETC) programs apply, the responsible Party shall comply with 47 CFR Part 54 (USAC/FCC universal service, Lifeline, and ETC requirements).</w:t>
      </w:r>
    </w:p>
    <w:p>
      <w:pPr>
        <w:pStyle w:val="Heading2"/>
        <w:spacing w:before="160" w:after="60"/>
      </w:pPr>
      <w:r>
        <w:rPr>
          <w:rFonts w:ascii="Calibri" w:hAnsi="Calibri"/>
          <w:b/>
          <w:color w:val="000000"/>
          <w:sz w:val="22"/>
        </w:rPr>
        <w:t>20.2  CPNI and Customer Data</w:t>
      </w:r>
    </w:p>
    <w:p>
      <w:r>
        <w:rPr>
          <w:b w:val="0"/>
          <w:i w:val="0"/>
        </w:rPr>
        <w:t>RIVR Tech shall protect customer proprietary network information in accordance with 47 U.S.C. § 222 and 47 CFR §§ 64.2001–64.2011 (Customer Proprietary Network Information), and shall handle customer data in accordance with the Data Privacy and Cybersecurity Addendum (Document 02.06).</w:t>
      </w:r>
    </w:p>
    <w:p>
      <w:pPr>
        <w:pStyle w:val="Heading2"/>
        <w:spacing w:before="160" w:after="60"/>
      </w:pPr>
      <w:r>
        <w:rPr>
          <w:rFonts w:ascii="Calibri" w:hAnsi="Calibri"/>
          <w:b/>
          <w:color w:val="000000"/>
          <w:sz w:val="22"/>
        </w:rPr>
        <w:t>20.3  Regulatory Filings and Cooperation</w:t>
      </w:r>
    </w:p>
    <w:p>
      <w:r>
        <w:rPr>
          <w:b w:val="0"/>
          <w:i w:val="0"/>
        </w:rPr>
        <w:t>Each Party shall reasonably cooperate with the other regarding regulatory filings, reporting, and inquiries relating to the Network, and shall promptly notify the other of any regulatory action that could materially affect the Network or the Award.</w:t>
      </w:r>
    </w:p>
    <w:p>
      <w:pPr>
        <w:pStyle w:val="Heading1"/>
        <w:spacing w:before="240" w:after="120"/>
      </w:pPr>
      <w:r>
        <w:rPr>
          <w:rFonts w:ascii="Calibri" w:hAnsi="Calibri"/>
          <w:b/>
          <w:color w:val="1F3864"/>
          <w:sz w:val="26"/>
        </w:rPr>
        <w:t>ARTICLE 21.  CYBERSECURITY AND DATA PRIVACY</w:t>
      </w:r>
    </w:p>
    <w:p>
      <w:pPr>
        <w:pStyle w:val="Heading2"/>
        <w:spacing w:before="160" w:after="60"/>
      </w:pPr>
      <w:r>
        <w:rPr>
          <w:rFonts w:ascii="Calibri" w:hAnsi="Calibri"/>
          <w:b/>
          <w:color w:val="000000"/>
          <w:sz w:val="22"/>
        </w:rPr>
        <w:t>21.1  Cybersecurity</w:t>
      </w:r>
    </w:p>
    <w:p>
      <w:r>
        <w:rPr>
          <w:b w:val="0"/>
          <w:i w:val="0"/>
        </w:rPr>
        <w:t>RIVR Tech shall implement and maintain an information-security program protecting the Network and the data it carries, consistent with the Data Privacy and Cybersecurity Addendum (Document 02.06), including access controls, monitoring, vulnerability management, and incident response. RIVR Tech shall not use prohibited equipment (2 CFR 200.216 (Prohibition on certain telecommunications and video surveillance — §889 covered equipment)).</w:t>
      </w:r>
    </w:p>
    <w:p>
      <w:pPr>
        <w:pStyle w:val="Heading2"/>
        <w:spacing w:before="160" w:after="60"/>
      </w:pPr>
      <w:r>
        <w:rPr>
          <w:rFonts w:ascii="Calibri" w:hAnsi="Calibri"/>
          <w:b/>
          <w:color w:val="000000"/>
          <w:sz w:val="22"/>
        </w:rPr>
        <w:t>21.2  Data Privacy</w:t>
      </w:r>
    </w:p>
    <w:p>
      <w:r>
        <w:rPr>
          <w:b w:val="0"/>
          <w:i w:val="0"/>
        </w:rPr>
        <w:t>Each Party shall handle personal and customer data in accordance with Document 02.06 and Applicable Law, including 47 U.S.C. § 222 and 47 CFR §§ 64.2001–64.2011 (Customer Proprietary Network Information). Incident notification, breach response, and data-handling obligations are as set forth in Document 02.06.</w:t>
      </w:r>
    </w:p>
    <w:p>
      <w:pPr>
        <w:pStyle w:val="Heading2"/>
        <w:spacing w:before="160" w:after="60"/>
      </w:pPr>
      <w:r>
        <w:rPr>
          <w:rFonts w:ascii="Calibri" w:hAnsi="Calibri"/>
          <w:b/>
          <w:color w:val="000000"/>
          <w:sz w:val="22"/>
        </w:rPr>
        <w:t>21.3  Precedence of the Addendum</w:t>
      </w:r>
    </w:p>
    <w:p>
      <w:r>
        <w:rPr>
          <w:b w:val="0"/>
          <w:i w:val="0"/>
        </w:rPr>
        <w:t>In the event of a conflict between this Article and Document 02.06, Document 02.06 governs as to data-privacy and cybersecurity matters, subject to the overall order of precedence in Article 29.</w:t>
      </w:r>
    </w:p>
    <w:p>
      <w:pPr>
        <w:pStyle w:val="Heading1"/>
        <w:spacing w:before="240" w:after="120"/>
      </w:pPr>
      <w:r>
        <w:rPr>
          <w:rFonts w:ascii="Calibri" w:hAnsi="Calibri"/>
          <w:b/>
          <w:color w:val="1F3864"/>
          <w:sz w:val="26"/>
        </w:rPr>
        <w:t>ARTICLE 22.  INSURANCE</w:t>
      </w:r>
    </w:p>
    <w:p>
      <w:pPr>
        <w:pStyle w:val="Heading2"/>
        <w:spacing w:before="160" w:after="60"/>
      </w:pPr>
      <w:r>
        <w:rPr>
          <w:rFonts w:ascii="Calibri" w:hAnsi="Calibri"/>
          <w:b/>
          <w:color w:val="000000"/>
          <w:sz w:val="22"/>
        </w:rPr>
        <w:t>22.1  Required Coverages</w:t>
      </w:r>
    </w:p>
    <w:p>
      <w:r>
        <w:rPr>
          <w:b w:val="0"/>
          <w:i w:val="0"/>
        </w:rPr>
        <w:t>Throughout the term, RIVR Tech shall maintain, at minimum, the insurance set forth in Exhibit I and summarized below, with insurers reasonably acceptable to the Tribe, and shall name the Tribe (and NTIA where required) as additional insured where appropriate. Property/builder's risk coverage shall reflect the Federal Interest in the Tribal Assets. See 2 CFR 200.310 (Insurance coverage).</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1F3864"/>
            <w:vAlign w:val="center"/>
          </w:tcPr>
          <w:p>
            <w:pPr>
              <w:jc w:val="center"/>
            </w:pPr>
            <w:r>
              <w:rPr>
                <w:b/>
                <w:color w:val="FFFFFF"/>
                <w:sz w:val="18"/>
              </w:rPr>
              <w:t>Coverage</w:t>
            </w:r>
          </w:p>
        </w:tc>
        <w:tc>
          <w:tcPr>
            <w:tcW w:type="dxa" w:w="4896"/>
            <w:shd w:val="clear" w:color="auto" w:fill="1F3864"/>
            <w:vAlign w:val="center"/>
          </w:tcPr>
          <w:p>
            <w:pPr>
              <w:jc w:val="center"/>
            </w:pPr>
            <w:r>
              <w:rPr>
                <w:b/>
                <w:color w:val="FFFFFF"/>
                <w:sz w:val="18"/>
              </w:rPr>
              <w:t>Minimum Limit (placeholder — confirm in Exhibit I)</w:t>
            </w:r>
          </w:p>
        </w:tc>
      </w:tr>
      <w:tr>
        <w:tc>
          <w:tcPr>
            <w:tcW w:type="dxa" w:w="4896"/>
            <w:vAlign w:val="center"/>
          </w:tcPr>
          <w:p>
            <w:r>
              <w:rPr>
                <w:b w:val="0"/>
                <w:i w:val="0"/>
                <w:sz w:val="18"/>
              </w:rPr>
              <w:t>Commercial General Liability (per occurrence)</w:t>
            </w:r>
          </w:p>
        </w:tc>
        <w:tc>
          <w:tcPr>
            <w:tcW w:type="dxa" w:w="4896"/>
            <w:vAlign w:val="center"/>
          </w:tcPr>
          <w:p>
            <w:r>
              <w:rPr>
                <w:b w:val="0"/>
                <w:i w:val="0"/>
                <w:sz w:val="18"/>
              </w:rPr>
              <w:t>$2,000,000</w:t>
            </w:r>
          </w:p>
        </w:tc>
      </w:tr>
      <w:tr>
        <w:tc>
          <w:tcPr>
            <w:tcW w:type="dxa" w:w="4896"/>
            <w:shd w:val="clear" w:color="auto" w:fill="F2F2F2"/>
            <w:vAlign w:val="center"/>
          </w:tcPr>
          <w:p>
            <w:r>
              <w:rPr>
                <w:b w:val="0"/>
                <w:i w:val="0"/>
                <w:sz w:val="18"/>
              </w:rPr>
              <w:t>Commercial General Liability (aggregate)</w:t>
            </w:r>
          </w:p>
        </w:tc>
        <w:tc>
          <w:tcPr>
            <w:tcW w:type="dxa" w:w="4896"/>
            <w:shd w:val="clear" w:color="auto" w:fill="F2F2F2"/>
            <w:vAlign w:val="center"/>
          </w:tcPr>
          <w:p>
            <w:r>
              <w:rPr>
                <w:b w:val="0"/>
                <w:i w:val="0"/>
                <w:sz w:val="18"/>
              </w:rPr>
              <w:t>$4,000,000</w:t>
            </w:r>
          </w:p>
        </w:tc>
      </w:tr>
      <w:tr>
        <w:tc>
          <w:tcPr>
            <w:tcW w:type="dxa" w:w="4896"/>
            <w:vAlign w:val="center"/>
          </w:tcPr>
          <w:p>
            <w:r>
              <w:rPr>
                <w:b w:val="0"/>
                <w:i w:val="0"/>
                <w:sz w:val="18"/>
              </w:rPr>
              <w:t>Automobile Liability</w:t>
            </w:r>
          </w:p>
        </w:tc>
        <w:tc>
          <w:tcPr>
            <w:tcW w:type="dxa" w:w="4896"/>
            <w:vAlign w:val="center"/>
          </w:tcPr>
          <w:p>
            <w:r>
              <w:rPr>
                <w:b w:val="0"/>
                <w:i w:val="0"/>
                <w:sz w:val="18"/>
              </w:rPr>
              <w:t>$1,000,000</w:t>
            </w:r>
          </w:p>
        </w:tc>
      </w:tr>
      <w:tr>
        <w:tc>
          <w:tcPr>
            <w:tcW w:type="dxa" w:w="4896"/>
            <w:shd w:val="clear" w:color="auto" w:fill="F2F2F2"/>
            <w:vAlign w:val="center"/>
          </w:tcPr>
          <w:p>
            <w:r>
              <w:rPr>
                <w:b w:val="0"/>
                <w:i w:val="0"/>
                <w:sz w:val="18"/>
              </w:rPr>
              <w:t>Umbrella / Excess Liability</w:t>
            </w:r>
          </w:p>
        </w:tc>
        <w:tc>
          <w:tcPr>
            <w:tcW w:type="dxa" w:w="4896"/>
            <w:shd w:val="clear" w:color="auto" w:fill="F2F2F2"/>
            <w:vAlign w:val="center"/>
          </w:tcPr>
          <w:p>
            <w:r>
              <w:rPr>
                <w:b w:val="0"/>
                <w:i w:val="0"/>
                <w:sz w:val="18"/>
              </w:rPr>
              <w:t>$10,000,000</w:t>
            </w:r>
          </w:p>
        </w:tc>
      </w:tr>
      <w:tr>
        <w:tc>
          <w:tcPr>
            <w:tcW w:type="dxa" w:w="4896"/>
            <w:vAlign w:val="center"/>
          </w:tcPr>
          <w:p>
            <w:r>
              <w:rPr>
                <w:b w:val="0"/>
                <w:i w:val="0"/>
                <w:sz w:val="18"/>
              </w:rPr>
              <w:t>Workers' Compensation</w:t>
            </w:r>
          </w:p>
        </w:tc>
        <w:tc>
          <w:tcPr>
            <w:tcW w:type="dxa" w:w="4896"/>
            <w:vAlign w:val="center"/>
          </w:tcPr>
          <w:p>
            <w:r>
              <w:rPr>
                <w:b w:val="0"/>
                <w:i w:val="0"/>
                <w:sz w:val="18"/>
              </w:rPr>
              <w:t>statutory limits</w:t>
            </w:r>
          </w:p>
        </w:tc>
      </w:tr>
      <w:tr>
        <w:tc>
          <w:tcPr>
            <w:tcW w:type="dxa" w:w="4896"/>
            <w:shd w:val="clear" w:color="auto" w:fill="F2F2F2"/>
            <w:vAlign w:val="center"/>
          </w:tcPr>
          <w:p>
            <w:r>
              <w:rPr>
                <w:b w:val="0"/>
                <w:i w:val="0"/>
                <w:sz w:val="18"/>
              </w:rPr>
              <w:t>Employer's Liability</w:t>
            </w:r>
          </w:p>
        </w:tc>
        <w:tc>
          <w:tcPr>
            <w:tcW w:type="dxa" w:w="4896"/>
            <w:shd w:val="clear" w:color="auto" w:fill="F2F2F2"/>
            <w:vAlign w:val="center"/>
          </w:tcPr>
          <w:p>
            <w:r>
              <w:rPr>
                <w:b w:val="0"/>
                <w:i w:val="0"/>
                <w:sz w:val="18"/>
              </w:rPr>
              <w:t>$1,000,000</w:t>
            </w:r>
          </w:p>
        </w:tc>
      </w:tr>
      <w:tr>
        <w:tc>
          <w:tcPr>
            <w:tcW w:type="dxa" w:w="4896"/>
            <w:vAlign w:val="center"/>
          </w:tcPr>
          <w:p>
            <w:r>
              <w:rPr>
                <w:b w:val="0"/>
                <w:i w:val="0"/>
                <w:sz w:val="18"/>
              </w:rPr>
              <w:t>Professional / Technology E&amp;O</w:t>
            </w:r>
          </w:p>
        </w:tc>
        <w:tc>
          <w:tcPr>
            <w:tcW w:type="dxa" w:w="4896"/>
            <w:vAlign w:val="center"/>
          </w:tcPr>
          <w:p>
            <w:r>
              <w:rPr>
                <w:b w:val="0"/>
                <w:i w:val="0"/>
                <w:sz w:val="18"/>
              </w:rPr>
              <w:t>$5,000,000</w:t>
            </w:r>
          </w:p>
        </w:tc>
      </w:tr>
      <w:tr>
        <w:tc>
          <w:tcPr>
            <w:tcW w:type="dxa" w:w="4896"/>
            <w:shd w:val="clear" w:color="auto" w:fill="F2F2F2"/>
            <w:vAlign w:val="center"/>
          </w:tcPr>
          <w:p>
            <w:r>
              <w:rPr>
                <w:b w:val="0"/>
                <w:i w:val="0"/>
                <w:sz w:val="18"/>
              </w:rPr>
              <w:t>Cyber Liability</w:t>
            </w:r>
          </w:p>
        </w:tc>
        <w:tc>
          <w:tcPr>
            <w:tcW w:type="dxa" w:w="4896"/>
            <w:shd w:val="clear" w:color="auto" w:fill="F2F2F2"/>
            <w:vAlign w:val="center"/>
          </w:tcPr>
          <w:p>
            <w:r>
              <w:rPr>
                <w:b w:val="0"/>
                <w:i w:val="0"/>
                <w:sz w:val="18"/>
              </w:rPr>
              <w:t>$5,000,000</w:t>
            </w:r>
          </w:p>
        </w:tc>
      </w:tr>
      <w:tr>
        <w:tc>
          <w:tcPr>
            <w:tcW w:type="dxa" w:w="4896"/>
            <w:vAlign w:val="center"/>
          </w:tcPr>
          <w:p>
            <w:r>
              <w:rPr>
                <w:b w:val="0"/>
                <w:i w:val="0"/>
                <w:sz w:val="18"/>
              </w:rPr>
              <w:t>Property / Builder's Risk</w:t>
            </w:r>
          </w:p>
        </w:tc>
        <w:tc>
          <w:tcPr>
            <w:tcW w:type="dxa" w:w="4896"/>
            <w:vAlign w:val="center"/>
          </w:tcPr>
          <w:p>
            <w:r>
              <w:rPr>
                <w:b w:val="0"/>
                <w:i w:val="0"/>
                <w:sz w:val="18"/>
              </w:rPr>
              <w:t>full replacement cost of the Tribal Assets</w:t>
            </w:r>
          </w:p>
        </w:tc>
      </w:tr>
      <w:tr>
        <w:tc>
          <w:tcPr>
            <w:tcW w:type="dxa" w:w="4896"/>
            <w:shd w:val="clear" w:color="auto" w:fill="F2F2F2"/>
            <w:vAlign w:val="center"/>
          </w:tcPr>
          <w:p>
            <w:r>
              <w:rPr>
                <w:b w:val="0"/>
                <w:i w:val="0"/>
                <w:sz w:val="18"/>
              </w:rPr>
              <w:t>Pollution / Environmental</w:t>
            </w:r>
          </w:p>
        </w:tc>
        <w:tc>
          <w:tcPr>
            <w:tcW w:type="dxa" w:w="4896"/>
            <w:shd w:val="clear" w:color="auto" w:fill="F2F2F2"/>
            <w:vAlign w:val="center"/>
          </w:tcPr>
          <w:p>
            <w:r>
              <w:rPr>
                <w:b w:val="0"/>
                <w:i w:val="0"/>
                <w:sz w:val="18"/>
              </w:rPr>
              <w:t>$1,000,000</w:t>
            </w:r>
          </w:p>
        </w:tc>
      </w:tr>
    </w:tbl>
    <w:p>
      <w:pPr>
        <w:ind w:left="504"/>
      </w:pPr>
      <w:r>
        <w:rPr>
          <w:b/>
          <w:color w:val="0000C0"/>
        </w:rPr>
        <w:t xml:space="preserve">[ATTORNEY REVIEW REQUIRED]  </w:t>
      </w:r>
      <w:r>
        <w:rPr>
          <w:i/>
          <w:color w:val="595959"/>
        </w:rPr>
        <w:t>Insurance limits shown are placeholders drawn from the canonical deal parameters and must be confirmed by the Tribe's risk advisor and reconciled with Exhibit I, including additional-insured, waiver-of-subrogation, and Federal Interest requirements.</w:t>
      </w:r>
    </w:p>
    <w:p>
      <w:pPr>
        <w:pStyle w:val="Heading2"/>
        <w:spacing w:before="160" w:after="60"/>
      </w:pPr>
      <w:r>
        <w:rPr>
          <w:rFonts w:ascii="Calibri" w:hAnsi="Calibri"/>
          <w:b/>
          <w:color w:val="000000"/>
          <w:sz w:val="22"/>
        </w:rPr>
        <w:t>22.2  Evidence and Notice</w:t>
      </w:r>
    </w:p>
    <w:p>
      <w:r>
        <w:rPr>
          <w:b w:val="0"/>
          <w:i w:val="0"/>
        </w:rPr>
        <w:t>RIVR Tech shall furnish certificates of insurance before construction and upon renewal, and shall provide notice of cancellation or material change consistent with Exhibit I.</w:t>
      </w:r>
    </w:p>
    <w:p>
      <w:pPr>
        <w:pStyle w:val="Heading1"/>
        <w:spacing w:before="240" w:after="120"/>
      </w:pPr>
      <w:r>
        <w:rPr>
          <w:rFonts w:ascii="Calibri" w:hAnsi="Calibri"/>
          <w:b/>
          <w:color w:val="1F3864"/>
          <w:sz w:val="26"/>
        </w:rPr>
        <w:t>ARTICLE 23.  INDEMNIFICATION AND LIMITATION OF LIABILITY</w:t>
      </w:r>
    </w:p>
    <w:p>
      <w:pPr>
        <w:pStyle w:val="Heading2"/>
        <w:spacing w:before="160" w:after="60"/>
      </w:pPr>
      <w:r>
        <w:rPr>
          <w:rFonts w:ascii="Calibri" w:hAnsi="Calibri"/>
          <w:b/>
          <w:color w:val="000000"/>
          <w:sz w:val="22"/>
        </w:rPr>
        <w:t>23.1  Indemnification by RIVR Tech</w:t>
      </w:r>
    </w:p>
    <w:p>
      <w:r>
        <w:rPr>
          <w:b w:val="0"/>
          <w:i w:val="0"/>
        </w:rPr>
        <w:t>RIVR Tech shall indemnify, defend, and hold harmless the Tribe, its officials, employees, and instrumentalities from and against third-party claims, losses, and liabilities to the extent arising out of RIVR Tech's negligence, willful misconduct, breach of this Agreement, violation of Applicable Law, infringement of intellectual property, or acts or omissions in constructing or operating the Network, subject to the limitations in Section 23.3.</w:t>
      </w:r>
    </w:p>
    <w:p>
      <w:pPr>
        <w:pStyle w:val="Heading2"/>
        <w:spacing w:before="160" w:after="60"/>
      </w:pPr>
      <w:r>
        <w:rPr>
          <w:rFonts w:ascii="Calibri" w:hAnsi="Calibri"/>
          <w:b/>
          <w:color w:val="000000"/>
          <w:sz w:val="22"/>
        </w:rPr>
        <w:t>23.2  Indemnification by the Tribe</w:t>
      </w:r>
    </w:p>
    <w:p>
      <w:r>
        <w:rPr>
          <w:b w:val="0"/>
          <w:i w:val="0"/>
        </w:rPr>
        <w:t>To the extent permitted by Applicable Law and subject to Article 28 (sovereignty and any limited waiver), the Tribe shall be responsible for third-party claims to the extent arising out of the Tribe's breach of this Agreement or willful misconduct. Nothing in this Section waives the Tribe's sovereign immunity except as expressly provided in Article 28.</w:t>
      </w:r>
    </w:p>
    <w:p>
      <w:pPr>
        <w:ind w:left="504"/>
      </w:pPr>
      <w:r>
        <w:rPr>
          <w:b/>
          <w:color w:val="0000C0"/>
        </w:rPr>
        <w:t xml:space="preserve">[ATTORNEY REVIEW REQUIRED]  </w:t>
      </w:r>
      <w:r>
        <w:rPr>
          <w:i/>
          <w:color w:val="595959"/>
        </w:rPr>
        <w:t>The Tribe's indemnity, and any monetary exposure, are constrained by sovereign immunity. The scope of any Tribal indemnity must be reconciled with the sovereign-immunity provisions of Article 28 and cannot be read as an implied waiver.</w:t>
      </w:r>
    </w:p>
    <w:p>
      <w:pPr>
        <w:pStyle w:val="Heading2"/>
        <w:spacing w:before="160" w:after="60"/>
      </w:pPr>
      <w:r>
        <w:rPr>
          <w:rFonts w:ascii="Calibri" w:hAnsi="Calibri"/>
          <w:b/>
          <w:color w:val="000000"/>
          <w:sz w:val="22"/>
        </w:rPr>
        <w:t>23.3  Limitation of Liability</w:t>
      </w:r>
    </w:p>
    <w:p>
      <w:r>
        <w:rPr>
          <w:b w:val="0"/>
          <w:i w:val="0"/>
        </w:rPr>
        <w:t xml:space="preserve">Except for the excluded matters below, and to the extent permitted by Applicable Law, neither Party shall be liable for indirect, incidental, consequential, special, or punitive damages, and each Party's aggregate liability shall be capped at </w:t>
      </w:r>
      <w:r>
        <w:rPr>
          <w:b w:val="0"/>
          <w:i w:val="0"/>
          <w:color w:val="804000"/>
          <w:highlight w:val="yellow"/>
        </w:rPr>
        <w:t>[■ liability cap — to be negotiated (e.g., a stated dollar amount or a multiple of fees)]</w:t>
      </w:r>
      <w:r>
        <w:rPr>
          <w:b w:val="0"/>
          <w:i w:val="0"/>
        </w:rPr>
        <w:t>. The cap and exclusions do not apply to indemnification for third-party claims, breaches of confidentiality, a Party's willful misconduct, or amounts required to cure a loss of the Federal Interest or disallowed costs.</w:t>
      </w:r>
    </w:p>
    <w:p>
      <w:pPr>
        <w:ind w:left="504"/>
      </w:pPr>
      <w:r>
        <w:rPr>
          <w:b/>
          <w:color w:val="C00000"/>
        </w:rPr>
        <w:t xml:space="preserve">[BUSINESS DECISION REQUIRED]  </w:t>
      </w:r>
      <w:r>
        <w:rPr>
          <w:i/>
          <w:color w:val="595959"/>
        </w:rPr>
        <w:t>The liability cap, carve-outs, and whether damage to the Federal Interest / disallowed costs sit outside the cap are commercial and legal points to be negotiated.</w:t>
      </w:r>
    </w:p>
    <w:p>
      <w:pPr>
        <w:pStyle w:val="Heading1"/>
        <w:spacing w:before="240" w:after="120"/>
      </w:pPr>
      <w:r>
        <w:rPr>
          <w:rFonts w:ascii="Calibri" w:hAnsi="Calibri"/>
          <w:b/>
          <w:color w:val="1F3864"/>
          <w:sz w:val="26"/>
        </w:rPr>
        <w:t>ARTICLE 24.  AUDIT RIGHTS, RECORD RETENTION, PROGRAM INCOME, AND REPORTING</w:t>
      </w:r>
    </w:p>
    <w:p>
      <w:pPr>
        <w:pStyle w:val="Heading2"/>
        <w:spacing w:before="160" w:after="60"/>
      </w:pPr>
      <w:r>
        <w:rPr>
          <w:rFonts w:ascii="Calibri" w:hAnsi="Calibri"/>
          <w:b/>
          <w:color w:val="000000"/>
          <w:sz w:val="22"/>
        </w:rPr>
        <w:t>24.1  Audit Rights</w:t>
      </w:r>
    </w:p>
    <w:p>
      <w:r>
        <w:rPr>
          <w:b w:val="0"/>
          <w:i w:val="0"/>
        </w:rPr>
        <w:t>The Tribe, NTIA, the Department of Commerce Office of Inspector General, the Comptroller General, and their authorized representatives shall have the right to examine and audit RIVR Tech's records relating to the Network and the Award, on at least 10 business days' notice (or immediately where fraud or imminent noncompliance is suspected), consistent with 2 CFR 200.334–200.337 (Record retention and access; three-year retention). RIVR Tech shall cooperate with any single audit conducted under 2 CFR Part 200, Subpart F (Audit Requirements; single-audit threshold $1,000,000).</w:t>
      </w:r>
    </w:p>
    <w:p>
      <w:pPr>
        <w:pStyle w:val="Heading2"/>
        <w:spacing w:before="160" w:after="60"/>
      </w:pPr>
      <w:r>
        <w:rPr>
          <w:rFonts w:ascii="Calibri" w:hAnsi="Calibri"/>
          <w:b/>
          <w:color w:val="000000"/>
          <w:sz w:val="22"/>
        </w:rPr>
        <w:t>24.2  Record Retention</w:t>
      </w:r>
    </w:p>
    <w:p>
      <w:r>
        <w:rPr>
          <w:b w:val="0"/>
          <w:i w:val="0"/>
        </w:rPr>
        <w:t>RIVR Tech shall retain all records relating to the Network and the Award for at least 3 years, measured as provided in 2 CFR 200.334–200.337 (Record retention and access; three-year retention) (generally from submission of the final expenditure report), and longer if any litigation, claim, or audit is started before expiration of the period, in which case records shall be retained until resolution.</w:t>
      </w:r>
    </w:p>
    <w:p>
      <w:pPr>
        <w:pStyle w:val="Heading2"/>
        <w:spacing w:before="160" w:after="60"/>
      </w:pPr>
      <w:r>
        <w:rPr>
          <w:rFonts w:ascii="Calibri" w:hAnsi="Calibri"/>
          <w:b/>
          <w:color w:val="000000"/>
          <w:sz w:val="22"/>
        </w:rPr>
        <w:t>24.3  Program Income</w:t>
      </w:r>
    </w:p>
    <w:p>
      <w:r>
        <w:rPr>
          <w:b w:val="0"/>
          <w:i w:val="0"/>
        </w:rPr>
        <w:t>Revenue that constitutes Program Income under 2 CFR 200.307 (Program income) shall be identified, tracked, and applied in accordance with the method required by the Award (deduction, addition, or cost-sharing/matching) and as detailed in Documents 02.04 and 02.05. The Parties shall not treat revenue as ordinary commercial revenue to the extent it is Program Income.</w:t>
      </w:r>
    </w:p>
    <w:p>
      <w:pPr>
        <w:ind w:left="504"/>
      </w:pPr>
      <w:r>
        <w:rPr>
          <w:b/>
          <w:color w:val="7F007F"/>
        </w:rPr>
        <w:t xml:space="preserve">[GRANT COMPLIANCE REVIEW REQUIRED]  </w:t>
      </w:r>
      <w:r>
        <w:rPr>
          <w:i/>
          <w:color w:val="595959"/>
        </w:rPr>
        <w:t>The Program-Income method (deduction / addition / cost-sharing) under 2 CFR 200.307 (Program income) must be confirmed against the Award and coordinated with the revenue-sharing structure in Document 02.04. Mischaracterizing revenue-share payments as non-program income is a common finding.</w:t>
      </w:r>
    </w:p>
    <w:p>
      <w:pPr>
        <w:pStyle w:val="Heading2"/>
        <w:spacing w:before="160" w:after="60"/>
      </w:pPr>
      <w:r>
        <w:rPr>
          <w:rFonts w:ascii="Calibri" w:hAnsi="Calibri"/>
          <w:b/>
          <w:color w:val="000000"/>
          <w:sz w:val="22"/>
        </w:rPr>
        <w:t>24.4  Financial, Grant, and Performance Reporting</w:t>
      </w:r>
    </w:p>
    <w:p>
      <w:r>
        <w:rPr>
          <w:b w:val="0"/>
          <w:i w:val="0"/>
        </w:rPr>
        <w:t>RIVR Tech shall provide the Tribe, on a timely basis, the financial, construction, operational, and performance data the Tribe needs to meet its Award reporting obligations, including federal financial reports, performance-progress reports, build-out/subscriber data, and any BABA or environmental certifications. Reporting formats and cadence are as set in Document 02.05 and the Exhibits.</w:t>
      </w:r>
    </w:p>
    <w:p>
      <w:pPr>
        <w:pStyle w:val="Heading1"/>
        <w:spacing w:before="240" w:after="120"/>
      </w:pPr>
      <w:r>
        <w:rPr>
          <w:rFonts w:ascii="Calibri" w:hAnsi="Calibri"/>
          <w:b/>
          <w:color w:val="1F3864"/>
          <w:sz w:val="26"/>
        </w:rPr>
        <w:t>ARTICLE 25.  DEFAULT, CURE, STEP-IN, AND TRANSITION</w:t>
      </w:r>
    </w:p>
    <w:p>
      <w:pPr>
        <w:pStyle w:val="Heading2"/>
        <w:spacing w:before="160" w:after="60"/>
      </w:pPr>
      <w:r>
        <w:rPr>
          <w:rFonts w:ascii="Calibri" w:hAnsi="Calibri"/>
          <w:b/>
          <w:color w:val="000000"/>
          <w:sz w:val="22"/>
        </w:rPr>
        <w:t>25.1  Events of Default</w:t>
      </w:r>
    </w:p>
    <w:p>
      <w:r>
        <w:rPr>
          <w:b w:val="0"/>
          <w:i w:val="0"/>
        </w:rPr>
        <w:t>An event of default occurs when a Party fails to perform a material obligation, makes a material misrepresentation, becomes insolvent, or (as to RIVR Tech) fails to maintain required insurance, abandons the work, or causes a loss of the Federal Interest or a material Award noncompliance that is not timely cured.</w:t>
      </w:r>
    </w:p>
    <w:p>
      <w:pPr>
        <w:pStyle w:val="Heading2"/>
        <w:spacing w:before="160" w:after="60"/>
      </w:pPr>
      <w:r>
        <w:rPr>
          <w:rFonts w:ascii="Calibri" w:hAnsi="Calibri"/>
          <w:b/>
          <w:color w:val="000000"/>
          <w:sz w:val="22"/>
        </w:rPr>
        <w:t>25.2  Notice and Cure</w:t>
      </w:r>
    </w:p>
    <w:p>
      <w:r>
        <w:rPr>
          <w:b w:val="0"/>
          <w:i w:val="0"/>
        </w:rPr>
        <w:t>The non-defaulting Party shall give written notice describing the default. The defaulting Party shall have 30 days to cure a monetary default and 60 days to cure a non-monetary default, with an additional sixty (60) days if the breach is not reasonably curable within the initial period and the defaulting Party is diligently pursuing cure. Cure periods do not apply to emergencies threatening Essential Services, safety, or Award compliance, which are addressed by step-in.</w:t>
      </w:r>
    </w:p>
    <w:p>
      <w:pPr>
        <w:pStyle w:val="Heading2"/>
        <w:spacing w:before="160" w:after="60"/>
      </w:pPr>
      <w:r>
        <w:rPr>
          <w:rFonts w:ascii="Calibri" w:hAnsi="Calibri"/>
          <w:b/>
          <w:color w:val="000000"/>
          <w:sz w:val="22"/>
        </w:rPr>
        <w:t>25.3  Tribal Step-In Rights</w:t>
      </w:r>
    </w:p>
    <w:p>
      <w:r>
        <w:rPr>
          <w:b w:val="0"/>
          <w:i w:val="0"/>
        </w:rPr>
        <w:t>If RIVR Tech fails to perform such that Essential Services, public safety, or Award compliance is imminently threatened, the Tribe may step in — immediate, upon notice, where continuity of Essential Services, public safety, or compliance with the Award is imminently threatened — to perform or have a third party perform RIVR Tech's obligations, at RIVR Tech's cost to the extent the condition is attributable to RIVR Tech, in accordance with the Transition and Step-In Plan (Document 02.07). Step-in does not, by itself, terminate the IRU or transfer RIVR Tech Assets.</w:t>
      </w:r>
    </w:p>
    <w:p>
      <w:pPr>
        <w:pStyle w:val="Heading2"/>
        <w:spacing w:before="160" w:after="60"/>
      </w:pPr>
      <w:r>
        <w:rPr>
          <w:rFonts w:ascii="Calibri" w:hAnsi="Calibri"/>
          <w:b/>
          <w:color w:val="000000"/>
          <w:sz w:val="22"/>
        </w:rPr>
        <w:t>25.4  RIVR Tech Cure and Protection Rights</w:t>
      </w:r>
    </w:p>
    <w:p>
      <w:r>
        <w:rPr>
          <w:b w:val="0"/>
          <w:i w:val="0"/>
        </w:rPr>
        <w:t xml:space="preserve">RIVR Tech shall have the right to receive notice and a reasonable opportunity to cure before the Tribe exercises termination remedies, and reasonable protection of its RIVR Tech Assets, its lawful interest in RIVR Tech-funded improvements, and any financing party's rights, all subject to the paramount Federal Interest and the requirement that the Tribal Assets remain owned by the Tribe. Lender protections, if any, are </w:t>
      </w:r>
      <w:r>
        <w:rPr>
          <w:b w:val="0"/>
          <w:i w:val="0"/>
          <w:color w:val="804000"/>
          <w:highlight w:val="yellow"/>
        </w:rPr>
        <w:t>[■ to be addressed if RIVR Tech financing requires them]</w:t>
      </w:r>
      <w:r>
        <w:rPr>
          <w:b w:val="0"/>
          <w:i w:val="0"/>
        </w:rPr>
        <w:t>.</w:t>
      </w:r>
    </w:p>
    <w:p>
      <w:pPr>
        <w:ind w:left="504"/>
      </w:pPr>
      <w:r>
        <w:rPr>
          <w:b/>
          <w:color w:val="0000C0"/>
        </w:rPr>
        <w:t xml:space="preserve">[ATTORNEY REVIEW REQUIRED]  </w:t>
      </w:r>
      <w:r>
        <w:rPr>
          <w:i/>
          <w:color w:val="595959"/>
        </w:rPr>
        <w:t>Any lender/financing-party cure rights, collateral assignment, or leasehold-mortgage-style protection for RIVR Tech must be reconciled with the prohibition on encumbering grant-funded real property (2 CFR 200.311 (Real property — use, encumbrance, and disposition)) and the Federal Interest. Do not grant security interests in the Tribal Assets.</w:t>
      </w:r>
    </w:p>
    <w:p>
      <w:pPr>
        <w:pStyle w:val="Heading2"/>
        <w:spacing w:before="160" w:after="60"/>
      </w:pPr>
      <w:r>
        <w:rPr>
          <w:rFonts w:ascii="Calibri" w:hAnsi="Calibri"/>
          <w:b/>
          <w:color w:val="000000"/>
          <w:sz w:val="22"/>
        </w:rPr>
        <w:t>25.5  Transition to a Successor Operator</w:t>
      </w:r>
    </w:p>
    <w:p>
      <w:r>
        <w:rPr>
          <w:b w:val="0"/>
          <w:i w:val="0"/>
        </w:rPr>
        <w:t>On expiration, termination, or a step-in that becomes permanent, RIVR Tech shall provide up to 12 months of transition assistance to the Tribe or a successor operator in accordance with Document 02.07, including operational continuity, transfer of As-Built Documentation and records, interconnection continuity at the Demarcation Points, and orderly handoff of customer relationships, so that Essential Services continue uninterrupted.</w:t>
      </w:r>
    </w:p>
    <w:p>
      <w:pPr>
        <w:pStyle w:val="Heading1"/>
        <w:spacing w:before="240" w:after="120"/>
      </w:pPr>
      <w:r>
        <w:rPr>
          <w:rFonts w:ascii="Calibri" w:hAnsi="Calibri"/>
          <w:b/>
          <w:color w:val="1F3864"/>
          <w:sz w:val="26"/>
        </w:rPr>
        <w:t>ARTICLE 26.  TERM, TERMINATION, ASSIGNMENT, AND CHANGE IN CONTROL</w:t>
      </w:r>
    </w:p>
    <w:p>
      <w:pPr>
        <w:pStyle w:val="Heading2"/>
        <w:spacing w:before="160" w:after="60"/>
      </w:pPr>
      <w:r>
        <w:rPr>
          <w:rFonts w:ascii="Calibri" w:hAnsi="Calibri"/>
          <w:b/>
          <w:color w:val="000000"/>
          <w:sz w:val="22"/>
        </w:rPr>
        <w:t>26.1  Term</w:t>
      </w:r>
    </w:p>
    <w:p>
      <w:r>
        <w:rPr>
          <w:b w:val="0"/>
          <w:i w:val="0"/>
        </w:rPr>
        <w:t>This Agreement takes effect on the Effective Date and, unless earlier terminated, continues for a term coterminous with the IRU Term under Document 02.02 (initial term modeled at 20, 25, 30 years; recommended 30 years), plus two (2) renewal terms of ten (10) years each if exercised.</w:t>
      </w:r>
    </w:p>
    <w:p>
      <w:pPr>
        <w:pStyle w:val="Heading2"/>
        <w:spacing w:before="160" w:after="60"/>
      </w:pPr>
      <w:r>
        <w:rPr>
          <w:rFonts w:ascii="Calibri" w:hAnsi="Calibri"/>
          <w:b/>
          <w:color w:val="000000"/>
          <w:sz w:val="22"/>
        </w:rPr>
        <w:t>26.2  Termination</w:t>
      </w:r>
    </w:p>
    <w:p>
      <w:r>
        <w:rPr>
          <w:b w:val="0"/>
          <w:i w:val="0"/>
        </w:rPr>
        <w:t>This Agreement may be terminated: (i) by the non-defaulting Party for an uncured event of default; (ii) by mutual written agreement; (iii) as required to comply with the Award or a direction of NTIA (including termination of the Award under 2 CFR 200.339–200.343 (Remedies for noncompliance; termination)); or (iv) on failure of a condition precedent under Article 3. The consequences of termination, including transition, are governed by Article 25 and Document 02.07.</w:t>
      </w:r>
    </w:p>
    <w:p>
      <w:pPr>
        <w:pStyle w:val="Heading2"/>
        <w:spacing w:before="160" w:after="60"/>
      </w:pPr>
      <w:r>
        <w:rPr>
          <w:rFonts w:ascii="Calibri" w:hAnsi="Calibri"/>
          <w:b/>
          <w:color w:val="000000"/>
          <w:sz w:val="22"/>
        </w:rPr>
        <w:t>26.3  Assignment</w:t>
      </w:r>
    </w:p>
    <w:p>
      <w:r>
        <w:rPr>
          <w:b w:val="0"/>
          <w:i w:val="0"/>
        </w:rPr>
        <w:t>Neither Party may assign this Agreement without the other's prior written consent, except that assignment is in all cases subject to the Federal Interest and the Award Requirements, and any assignment affecting the Tribal Assets or the Award requires such consents and approvals (including NTIA approval) as the Award Requirements demand. Any purported assignment in violation of this Section is void.</w:t>
      </w:r>
    </w:p>
    <w:p>
      <w:pPr>
        <w:pStyle w:val="Heading2"/>
        <w:spacing w:before="160" w:after="60"/>
      </w:pPr>
      <w:r>
        <w:rPr>
          <w:rFonts w:ascii="Calibri" w:hAnsi="Calibri"/>
          <w:b/>
          <w:color w:val="000000"/>
          <w:sz w:val="22"/>
        </w:rPr>
        <w:t>26.4  Change in Control</w:t>
      </w:r>
    </w:p>
    <w:p>
      <w:r>
        <w:rPr>
          <w:b w:val="0"/>
          <w:i w:val="0"/>
        </w:rPr>
        <w:t>A change in control of RIVR Tech shall be treated as an assignment requiring the Tribe's prior written consent, and shall be subject to the Tribe's right to evaluate the successor's qualifications and Award-compliance capacity. RIVR Tech shall notify the Tribe in advance of any proposed change in control.</w:t>
      </w:r>
    </w:p>
    <w:p>
      <w:pPr>
        <w:ind w:left="504"/>
      </w:pPr>
      <w:r>
        <w:rPr>
          <w:b/>
          <w:color w:val="0000C0"/>
        </w:rPr>
        <w:t xml:space="preserve">[ATTORNEY REVIEW REQUIRED]  </w:t>
      </w:r>
      <w:r>
        <w:rPr>
          <w:i/>
          <w:color w:val="595959"/>
        </w:rPr>
        <w:t>Assignment and change-in-control mechanics must be reconciled with the IRU Agreement (Document 02.02) and with any Award requirement for federal approval of changes affecting the grant-funded assets.</w:t>
      </w:r>
    </w:p>
    <w:p>
      <w:pPr>
        <w:pStyle w:val="Heading1"/>
        <w:spacing w:before="240" w:after="120"/>
      </w:pPr>
      <w:r>
        <w:rPr>
          <w:rFonts w:ascii="Calibri" w:hAnsi="Calibri"/>
          <w:b/>
          <w:color w:val="1F3864"/>
          <w:sz w:val="26"/>
        </w:rPr>
        <w:t>ARTICLE 27.  FORCE MAJEURE, CONFIDENTIALITY, AND PUBLIC ANNOUNCEMENTS</w:t>
      </w:r>
    </w:p>
    <w:p>
      <w:pPr>
        <w:pStyle w:val="Heading2"/>
        <w:spacing w:before="160" w:after="60"/>
      </w:pPr>
      <w:r>
        <w:rPr>
          <w:rFonts w:ascii="Calibri" w:hAnsi="Calibri"/>
          <w:b/>
          <w:color w:val="000000"/>
          <w:sz w:val="22"/>
        </w:rPr>
        <w:t>27.1  Force Majeure</w:t>
      </w:r>
    </w:p>
    <w:p>
      <w:r>
        <w:rPr>
          <w:b w:val="0"/>
          <w:i w:val="0"/>
        </w:rPr>
        <w:t xml:space="preserve">Neither Party is liable for failure or delay in performance (other than payment obligations) caused by events beyond its reasonable control, including natural disasters, severe weather, acts of government, labor disputes, supply-chain disruption, and widespread utility or telecommunications failures, provided the affected Party gives prompt notice, uses reasonable efforts to mitigate, and resumes performance when able. Prolonged force majeure beyond </w:t>
      </w:r>
      <w:r>
        <w:rPr>
          <w:b w:val="0"/>
          <w:i w:val="0"/>
          <w:color w:val="804000"/>
          <w:highlight w:val="yellow"/>
        </w:rPr>
        <w:t>[■ threshold — e.g., 90–180 days]</w:t>
      </w:r>
      <w:r>
        <w:rPr>
          <w:b w:val="0"/>
          <w:i w:val="0"/>
        </w:rPr>
        <w:t xml:space="preserve"> entitles either Party to pursue transition or termination remedies without penalty.</w:t>
      </w:r>
    </w:p>
    <w:p>
      <w:pPr>
        <w:pStyle w:val="Heading2"/>
        <w:spacing w:before="160" w:after="60"/>
      </w:pPr>
      <w:r>
        <w:rPr>
          <w:rFonts w:ascii="Calibri" w:hAnsi="Calibri"/>
          <w:b/>
          <w:color w:val="000000"/>
          <w:sz w:val="22"/>
        </w:rPr>
        <w:t>27.2  Confidentiality</w:t>
      </w:r>
    </w:p>
    <w:p>
      <w:r>
        <w:rPr>
          <w:b w:val="0"/>
          <w:i w:val="0"/>
        </w:rPr>
        <w:t>Each Party shall protect the other's confidential information and use it only to perform this Agreement, subject to exceptions for information that is public, independently developed, or lawfully obtained, and subject to required disclosures to NTIA, auditors, and as required by Applicable Law (including any Tribal or public-records obligations). Customer data is additionally governed by Document 02.06.</w:t>
      </w:r>
    </w:p>
    <w:p>
      <w:pPr>
        <w:pStyle w:val="Heading2"/>
        <w:spacing w:before="160" w:after="60"/>
      </w:pPr>
      <w:r>
        <w:rPr>
          <w:rFonts w:ascii="Calibri" w:hAnsi="Calibri"/>
          <w:b/>
          <w:color w:val="000000"/>
          <w:sz w:val="22"/>
        </w:rPr>
        <w:t>27.3  Public Announcements</w:t>
      </w:r>
    </w:p>
    <w:p>
      <w:r>
        <w:rPr>
          <w:b w:val="0"/>
          <w:i w:val="0"/>
        </w:rPr>
        <w:t>Neither Party shall issue a public announcement using the other's name or marks without prior written approval, except as required by law or the Award. Federally required acknowledgment of NTIA funding shall be made as the Award directs.</w:t>
      </w:r>
    </w:p>
    <w:p>
      <w:pPr>
        <w:pStyle w:val="Heading1"/>
        <w:spacing w:before="240" w:after="120"/>
      </w:pPr>
      <w:r>
        <w:rPr>
          <w:rFonts w:ascii="Calibri" w:hAnsi="Calibri"/>
          <w:b/>
          <w:color w:val="1F3864"/>
          <w:sz w:val="26"/>
        </w:rPr>
        <w:t>ARTICLE 28.  GOVERNING LAW, DISPUTE RESOLUTION, SOVEREIGNTY, AND LIMITED WAIVER OF SOVEREIGN IMMUNITY</w:t>
      </w:r>
    </w:p>
    <w:p>
      <w:pPr>
        <w:pStyle w:val="Heading2"/>
        <w:spacing w:before="160" w:after="60"/>
      </w:pPr>
      <w:r>
        <w:rPr>
          <w:rFonts w:ascii="Calibri" w:hAnsi="Calibri"/>
          <w:b/>
          <w:color w:val="000000"/>
          <w:sz w:val="22"/>
        </w:rPr>
        <w:t>28.1  Governing Law (Bracketed Alternatives — Not Selected)</w:t>
      </w:r>
    </w:p>
    <w:p>
      <w:r>
        <w:rPr>
          <w:b w:val="0"/>
          <w:i w:val="0"/>
        </w:rPr>
        <w:t>The Parties have NOT selected governing law. The following alternatives are presented for negotiation and legal review:</w:t>
      </w:r>
    </w:p>
    <w:p>
      <w:pPr>
        <w:ind w:left="504"/>
      </w:pPr>
      <w:r>
        <w:rPr>
          <w:b/>
        </w:rPr>
        <w:t xml:space="preserve">(A)  </w:t>
      </w:r>
      <w:r>
        <w:rPr>
          <w:b w:val="0"/>
          <w:i w:val="0"/>
        </w:rPr>
        <w:t>[ALTERNATIVE A — NORTH CAROLINA LAW: this Agreement is governed by the laws of the State of North Carolina, without regard to conflict-of-laws principles, except where federal law or Tribal law controls.]</w:t>
      </w:r>
    </w:p>
    <w:p>
      <w:pPr>
        <w:ind w:left="504"/>
      </w:pPr>
      <w:r>
        <w:rPr>
          <w:b/>
        </w:rPr>
        <w:t xml:space="preserve">(B)  </w:t>
      </w:r>
      <w:r>
        <w:rPr>
          <w:b w:val="0"/>
          <w:i w:val="0"/>
        </w:rPr>
        <w:t>[ALTERNATIVE B — TRIBAL LAW: this Agreement is governed by the laws of the Lumbee Tribe of North Carolina, with State law applied only as a gap-filler where Tribal law is silent.]</w:t>
      </w:r>
    </w:p>
    <w:p>
      <w:pPr>
        <w:ind w:left="504"/>
      </w:pPr>
      <w:r>
        <w:rPr>
          <w:b/>
        </w:rPr>
        <w:t xml:space="preserve">(C)  </w:t>
      </w:r>
      <w:r>
        <w:rPr>
          <w:b w:val="0"/>
          <w:i w:val="0"/>
        </w:rPr>
        <w:t>[ALTERNATIVE C — FEDERAL LAW WHERE APPLICABLE: federal law and the Award Requirements govern matters they address; the Parties select a stated body of law (Tribal or State) for all other matters.]</w:t>
      </w:r>
    </w:p>
    <w:p>
      <w:pPr>
        <w:ind w:left="504"/>
      </w:pPr>
      <w:r>
        <w:rPr>
          <w:b/>
          <w:color w:val="0000C0"/>
        </w:rPr>
        <w:t xml:space="preserve">[ATTORNEY REVIEW REQUIRED]  </w:t>
      </w:r>
      <w:r>
        <w:rPr>
          <w:i/>
          <w:color w:val="595959"/>
        </w:rPr>
        <w:t>Governing law is a threshold negotiation and sovereignty question and must be selected by counsel for both Parties. It is deliberately left unselected here. Federal law and the Award Requirements control the matters they address regardless of the choice made.</w:t>
      </w:r>
    </w:p>
    <w:p>
      <w:pPr>
        <w:pStyle w:val="Heading2"/>
        <w:spacing w:before="160" w:after="60"/>
      </w:pPr>
      <w:r>
        <w:rPr>
          <w:rFonts w:ascii="Calibri" w:hAnsi="Calibri"/>
          <w:b/>
          <w:color w:val="000000"/>
          <w:sz w:val="22"/>
        </w:rPr>
        <w:t>28.2  Dispute Resolution (Bracketed Alternatives — Not Selected)</w:t>
      </w:r>
    </w:p>
    <w:p>
      <w:r>
        <w:rPr>
          <w:b w:val="0"/>
          <w:i w:val="0"/>
        </w:rPr>
        <w:t>The Parties have NOT selected a dispute-resolution path. Alternatives:</w:t>
      </w:r>
    </w:p>
    <w:p>
      <w:pPr>
        <w:ind w:left="504"/>
      </w:pPr>
      <w:r>
        <w:rPr>
          <w:b/>
        </w:rPr>
        <w:t xml:space="preserve">(A)  </w:t>
      </w:r>
      <w:r>
        <w:rPr>
          <w:b w:val="0"/>
          <w:i w:val="0"/>
        </w:rPr>
        <w:t>[ALTERNATIVE A — ESCALATION THEN ARBITRATION: good-faith executive negotiation, then non-binding mediation, then binding arbitration before a neutral under stated rules, seat, and number of arbitrators, with a carve-out for injunctive relief.]</w:t>
      </w:r>
    </w:p>
    <w:p>
      <w:pPr>
        <w:ind w:left="504"/>
      </w:pPr>
      <w:r>
        <w:rPr>
          <w:b/>
        </w:rPr>
        <w:t xml:space="preserve">(B)  </w:t>
      </w:r>
      <w:r>
        <w:rPr>
          <w:b w:val="0"/>
          <w:i w:val="0"/>
        </w:rPr>
        <w:t>[ALTERNATIVE B — LITIGATION: after negotiation and mediation, disputes are resolved by litigation in a specified forum (Tribal court, State court, or federal court, as the forum-selection clause provides).]</w:t>
      </w:r>
    </w:p>
    <w:p>
      <w:pPr>
        <w:ind w:left="504"/>
      </w:pPr>
      <w:r>
        <w:rPr>
          <w:b/>
        </w:rPr>
        <w:t xml:space="preserve">(C)  </w:t>
      </w:r>
      <w:r>
        <w:rPr>
          <w:b w:val="0"/>
          <w:i w:val="0"/>
        </w:rPr>
        <w:t>[ALTERNATIVE C — EXHAUSTION OF TRIBAL REMEDIES: disputes are first submitted to the Tribal forum for exhaustion of Tribal remedies before any external forum, consistent with federal Indian-law doctrine.]</w:t>
      </w:r>
    </w:p>
    <w:p>
      <w:pPr>
        <w:ind w:left="504"/>
      </w:pPr>
      <w:r>
        <w:rPr>
          <w:b/>
          <w:color w:val="0000C0"/>
        </w:rPr>
        <w:t xml:space="preserve">[ATTORNEY REVIEW REQUIRED]  </w:t>
      </w:r>
      <w:r>
        <w:rPr>
          <w:i/>
          <w:color w:val="595959"/>
        </w:rPr>
        <w:t>Dispute resolution, forum selection, and any Tribal-exhaustion requirement are reserved for counsel. The choice interacts directly with the sovereign-immunity waiver in Section 28.4 and must be negotiated together.</w:t>
      </w:r>
    </w:p>
    <w:p>
      <w:pPr>
        <w:pStyle w:val="Heading2"/>
        <w:spacing w:before="160" w:after="60"/>
      </w:pPr>
      <w:r>
        <w:rPr>
          <w:rFonts w:ascii="Calibri" w:hAnsi="Calibri"/>
          <w:b/>
          <w:color w:val="000000"/>
          <w:sz w:val="22"/>
        </w:rPr>
        <w:t>28.3  Tribal Sovereignty</w:t>
      </w:r>
    </w:p>
    <w:p>
      <w:r>
        <w:rPr>
          <w:b w:val="0"/>
          <w:i w:val="0"/>
        </w:rPr>
        <w:t>Nothing in this Agreement diminishes the sovereign status, governmental authority, or self-governance of the Lumbee Tribe of North Carolina. No provision constitutes a consent to suit, a waiver of sovereign immunity, or a transfer of jurisdiction except as, and only to the extent, expressly provided in Section 28.4. Ambiguities are resolved in favor of preserving sovereignty and immunity.</w:t>
      </w:r>
    </w:p>
    <w:p>
      <w:pPr>
        <w:pStyle w:val="Heading2"/>
        <w:spacing w:before="160" w:after="60"/>
      </w:pPr>
      <w:r>
        <w:rPr>
          <w:rFonts w:ascii="Calibri" w:hAnsi="Calibri"/>
          <w:b/>
          <w:color w:val="000000"/>
          <w:sz w:val="22"/>
        </w:rPr>
        <w:t>28.4  Limited Waiver of Sovereign Immunity (Bracketed Alternatives — Not Selected)</w:t>
      </w:r>
    </w:p>
    <w:p>
      <w:r>
        <w:rPr>
          <w:b w:val="0"/>
          <w:i w:val="0"/>
        </w:rPr>
        <w:t>The Tribe has NOT agreed to any waiver of sovereign immunity in this draft. The following alternatives are presented, unselected, for the Tribe's governing body and counsel to consider:</w:t>
      </w:r>
    </w:p>
    <w:p>
      <w:pPr>
        <w:ind w:left="504"/>
      </w:pPr>
      <w:r>
        <w:rPr>
          <w:b/>
        </w:rPr>
        <w:t xml:space="preserve">(A)  </w:t>
      </w:r>
      <w:r>
        <w:rPr>
          <w:b w:val="0"/>
          <w:i w:val="0"/>
        </w:rPr>
        <w:t>[ALTERNATIVE A — NO WAIVER: the Tribe grants no waiver of sovereign immunity; RIVR Tech's remedies are limited to those that do not require suit against the Tribe (e.g., step-out/transition, non-renewal, set-off, and remedies against Tribal instrumentalities only if separately and expressly authorized).]</w:t>
      </w:r>
    </w:p>
    <w:p>
      <w:pPr>
        <w:ind w:left="504"/>
      </w:pPr>
      <w:r>
        <w:rPr>
          <w:b/>
        </w:rPr>
        <w:t xml:space="preserve">(B)  </w:t>
      </w:r>
      <w:r>
        <w:rPr>
          <w:b w:val="0"/>
          <w:i w:val="0"/>
        </w:rPr>
        <w:t>[ALTERNATIVE B — LIMITED WAIVER FOR DEFINED CLAIMS AND REMEDIES: the Tribe grants a narrow, express waiver solely for claims arising under this Agreement, limited to specified remedies (e.g., specific performance and contract damages capped at a stated amount or at available insurance/revenue), limited to a designated forum, expressly excluding any waiver of immunity as to third parties, and not extending to Tribal assets other than those specifically identified.]</w:t>
      </w:r>
    </w:p>
    <w:p>
      <w:pPr>
        <w:ind w:left="504"/>
      </w:pPr>
      <w:r>
        <w:rPr>
          <w:b/>
        </w:rPr>
        <w:t xml:space="preserve">(C)  </w:t>
      </w:r>
      <w:r>
        <w:rPr>
          <w:b w:val="0"/>
          <w:i w:val="0"/>
        </w:rPr>
        <w:t>[ALTERNATIVE C — ARBITRATION-ONLY WAIVER: the Tribe consents to binding arbitration and to enforcement of the arbitral award in a specified court solely to compel arbitration and confirm/enforce the award, with no other waiver, capped and bounded as in Alternative B.]</w:t>
      </w:r>
    </w:p>
    <w:p>
      <w:pPr>
        <w:ind w:left="504"/>
      </w:pPr>
      <w:r>
        <w:rPr>
          <w:b/>
          <w:color w:val="0000C0"/>
        </w:rPr>
        <w:t xml:space="preserve">[ATTORNEY REVIEW REQUIRED]  </w:t>
      </w:r>
      <w:r>
        <w:rPr>
          <w:i/>
          <w:color w:val="595959"/>
        </w:rPr>
        <w:t>Sovereign immunity and any limited waiver are among the most consequential decisions in this transaction. This draft does NOT choose. Any waiver must be authorized by the Tribe's governing body by resolution, drafted narrowly (defined claims, capped remedies, designated forum, identified assets only), and reconciled with the governing-law and dispute-resolution choices in Sections 28.1–28.2. Do not infer a waiver from any other provision of this Agreement.</w:t>
      </w:r>
    </w:p>
    <w:p>
      <w:pPr>
        <w:pStyle w:val="Heading1"/>
        <w:spacing w:before="240" w:after="120"/>
      </w:pPr>
      <w:r>
        <w:rPr>
          <w:rFonts w:ascii="Calibri" w:hAnsi="Calibri"/>
          <w:b/>
          <w:color w:val="1F3864"/>
          <w:sz w:val="26"/>
        </w:rPr>
        <w:t>ARTICLE 29.  ORDER OF PRECEDENCE, ENTIRE AGREEMENT, AND GENERAL PROVISIONS</w:t>
      </w:r>
    </w:p>
    <w:p>
      <w:pPr>
        <w:pStyle w:val="Heading2"/>
        <w:spacing w:before="160" w:after="60"/>
      </w:pPr>
      <w:r>
        <w:rPr>
          <w:rFonts w:ascii="Calibri" w:hAnsi="Calibri"/>
          <w:b/>
          <w:color w:val="000000"/>
          <w:sz w:val="22"/>
        </w:rPr>
        <w:t>29.1  Order of Precedence</w:t>
      </w:r>
    </w:p>
    <w:p>
      <w:r>
        <w:rPr>
          <w:b w:val="0"/>
          <w:i w:val="0"/>
        </w:rPr>
        <w:t>In the event of a conflict among the documents comprising the transaction, the following order of precedence controls, with federal requirements paramount:</w:t>
      </w:r>
    </w:p>
    <w:p>
      <w:pPr>
        <w:ind w:left="504"/>
      </w:pPr>
      <w:r>
        <w:rPr>
          <w:b/>
        </w:rPr>
        <w:t xml:space="preserve">(a)  </w:t>
      </w:r>
      <w:r>
        <w:rPr>
          <w:b w:val="0"/>
          <w:i w:val="0"/>
        </w:rPr>
        <w:t>first, the Award, the NTIA Standard Terms and Conditions and Specific Award Conditions, and all applicable federal statutes, regulations, and guidance (including the 2 CFR Part 200 (Uniform Administrative Requirements, Cost Principles, and Audit Requirements for Federal Awards), Build America, Buy America Act, IIJA §§ 70911–70917 (Pub. L. 117-58); 2 CFR Part 184; and NTIA BABA award terms, National Environmental Policy Act (NEPA), 42 U.S.C. § 4321 et seq., and DOC/NTIA implementing procedures, and National Historic Preservation Act § 106, 54 U.S.C. § 306108 (36 CFR Part 800)) — which control over any conflicting commercial term;</w:t>
      </w:r>
    </w:p>
    <w:p>
      <w:pPr>
        <w:ind w:left="504"/>
      </w:pPr>
      <w:r>
        <w:rPr>
          <w:b/>
        </w:rPr>
        <w:t xml:space="preserve">(b)  </w:t>
      </w:r>
      <w:r>
        <w:rPr>
          <w:b w:val="0"/>
          <w:i w:val="0"/>
        </w:rPr>
        <w:t>second, the Grant Compliance and Federal Interest Addendum (Document 02.05);</w:t>
      </w:r>
    </w:p>
    <w:p>
      <w:pPr>
        <w:ind w:left="504"/>
      </w:pPr>
      <w:r>
        <w:rPr>
          <w:b/>
        </w:rPr>
        <w:t xml:space="preserve">(c)  </w:t>
      </w:r>
      <w:r>
        <w:rPr>
          <w:b w:val="0"/>
          <w:i w:val="0"/>
        </w:rPr>
        <w:t>third, this Master Agreement (Document 02.01);</w:t>
      </w:r>
    </w:p>
    <w:p>
      <w:pPr>
        <w:ind w:left="504"/>
      </w:pPr>
      <w:r>
        <w:rPr>
          <w:b/>
        </w:rPr>
        <w:t xml:space="preserve">(d)  </w:t>
      </w:r>
      <w:r>
        <w:rPr>
          <w:b w:val="0"/>
          <w:i w:val="0"/>
        </w:rPr>
        <w:t>fourth, the IRU Agreement (Document 02.02);</w:t>
      </w:r>
    </w:p>
    <w:p>
      <w:pPr>
        <w:ind w:left="504"/>
      </w:pPr>
      <w:r>
        <w:rPr>
          <w:b/>
        </w:rPr>
        <w:t xml:space="preserve">(e)  </w:t>
      </w:r>
      <w:r>
        <w:rPr>
          <w:b w:val="0"/>
          <w:i w:val="0"/>
        </w:rPr>
        <w:t>fifth, the O&amp;M/SLA (Document 02.03), the Financial and Revenue-Sharing Schedule (Document 02.04), and the Data Privacy and Cybersecurity Addendum (Document 02.06); and</w:t>
      </w:r>
    </w:p>
    <w:p>
      <w:pPr>
        <w:ind w:left="504"/>
      </w:pPr>
      <w:r>
        <w:rPr>
          <w:b/>
        </w:rPr>
        <w:t xml:space="preserve">(f)  </w:t>
      </w:r>
      <w:r>
        <w:rPr>
          <w:b w:val="0"/>
          <w:i w:val="0"/>
        </w:rPr>
        <w:t>sixth, the Exhibits A through O and the Transition and Step-In Plan (Document 02.07), except that a more specific technical or operational requirement in an Exhibit governs over a general statement in the body as to that technical detail.</w:t>
      </w:r>
    </w:p>
    <w:p>
      <w:pPr>
        <w:ind w:left="504"/>
      </w:pPr>
      <w:r>
        <w:rPr>
          <w:b/>
          <w:color w:val="7F007F"/>
        </w:rPr>
        <w:t xml:space="preserve">[GRANT COMPLIANCE REVIEW REQUIRED]  </w:t>
      </w:r>
      <w:r>
        <w:rPr>
          <w:i/>
          <w:color w:val="595959"/>
        </w:rPr>
        <w:t>The Award and federal requirements must control over any conflicting commercial term. If any provision of this package would cause noncompliance with the Award, the Award governs and the provision is deemed modified to the minimum extent necessary to comply (2 CFR 200.339–200.343 (Remedies for noncompliance; termination)).</w:t>
      </w:r>
    </w:p>
    <w:p>
      <w:pPr>
        <w:pStyle w:val="Heading2"/>
        <w:spacing w:before="160" w:after="60"/>
      </w:pPr>
      <w:r>
        <w:rPr>
          <w:rFonts w:ascii="Calibri" w:hAnsi="Calibri"/>
          <w:b/>
          <w:color w:val="000000"/>
          <w:sz w:val="22"/>
        </w:rPr>
        <w:t>29.2  Entire Agreement</w:t>
      </w:r>
    </w:p>
    <w:p>
      <w:r>
        <w:rPr>
          <w:b w:val="0"/>
          <w:i w:val="0"/>
        </w:rPr>
        <w:t>This Agreement, together with the companion documents and Exhibits incorporated by reference, constitutes the entire agreement between the Parties on its subject matter and supersedes all prior understandings. It may be amended only by a writing signed by both Parties and, where required, approved by the appropriate federal authority.</w:t>
      </w:r>
    </w:p>
    <w:p>
      <w:pPr>
        <w:pStyle w:val="Heading2"/>
        <w:spacing w:before="160" w:after="60"/>
      </w:pPr>
      <w:r>
        <w:rPr>
          <w:rFonts w:ascii="Calibri" w:hAnsi="Calibri"/>
          <w:b/>
          <w:color w:val="000000"/>
          <w:sz w:val="22"/>
        </w:rPr>
        <w:t>29.3  Notices</w:t>
      </w:r>
    </w:p>
    <w:p>
      <w:r>
        <w:rPr>
          <w:b w:val="0"/>
          <w:i w:val="0"/>
        </w:rPr>
        <w:t xml:space="preserve">Notices shall be in writing and delivered to the addresses in </w:t>
      </w:r>
      <w:r>
        <w:rPr>
          <w:b w:val="0"/>
          <w:i w:val="0"/>
          <w:color w:val="804000"/>
          <w:highlight w:val="yellow"/>
        </w:rPr>
        <w:t>[■ notice addresses — to be inserted]</w:t>
      </w:r>
      <w:r>
        <w:rPr>
          <w:b w:val="0"/>
          <w:i w:val="0"/>
        </w:rPr>
        <w:t>, by hand, recognized courier, or certified mail (and, if the Parties agree, by email with confirmation), effective on receipt.</w:t>
      </w:r>
    </w:p>
    <w:p>
      <w:pPr>
        <w:pStyle w:val="Heading2"/>
        <w:spacing w:before="160" w:after="60"/>
      </w:pPr>
      <w:r>
        <w:rPr>
          <w:rFonts w:ascii="Calibri" w:hAnsi="Calibri"/>
          <w:b/>
          <w:color w:val="000000"/>
          <w:sz w:val="22"/>
        </w:rPr>
        <w:t>29.4  Miscellaneous</w:t>
      </w:r>
    </w:p>
    <w:p>
      <w:r>
        <w:rPr>
          <w:b w:val="0"/>
          <w:i w:val="0"/>
        </w:rPr>
        <w:t>The following standard provisions apply: severability (an invalid provision is reformed or severed without affecting the remainder); no waiver (a waiver must be in writing and is not a continuing waiver); survival (provisions that by their nature survive — including records, audit, indemnity, confidentiality, Federal Interest, and transition — survive expiration or termination); counterparts and electronic signatures; further assurances; and no third-party beneficiaries, except that the United States/NTIA is an intended beneficiary of the Federal Interest and Award-compliance provisions.</w:t>
      </w:r>
    </w:p>
    <w:p>
      <w:pPr>
        <w:pStyle w:val="Heading1"/>
        <w:spacing w:before="240" w:after="120"/>
      </w:pPr>
      <w:r>
        <w:rPr>
          <w:rFonts w:ascii="Calibri" w:hAnsi="Calibri"/>
          <w:b/>
          <w:color w:val="1F3864"/>
          <w:sz w:val="26"/>
        </w:rPr>
        <w:t>ARTICLE 30.  SIGNATURES</w:t>
      </w:r>
    </w:p>
    <w:p>
      <w:r>
        <w:rPr>
          <w:b w:val="0"/>
          <w:i w:val="0"/>
        </w:rPr>
        <w:t>The Parties execute this Agreement, subject to the outstanding legal, grant-compliance, and financial review flagged throughout, as of the Effective Date.</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Signatory authority for the Tribe (including any required Tribal Council resolution) and for RIVR Tech must be confirmed before execution; if a designated Tribal instrumentality is the contracting party, conform the signature block accordingly.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Master Agreement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