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B4D"/>
          <w:sz w:val="80"/>
        </w:rPr>
        <w:t>RIVR TECH</w:t>
      </w:r>
    </w:p>
    <w:p>
      <w:pPr>
        <w:jc w:val="center"/>
      </w:pPr>
      <w:r>
        <w:rPr>
          <w:color w:val="2E7D8A"/>
          <w:sz w:val="30"/>
        </w:rPr>
        <w:t>LREMC Technologies, LLC</w:t>
      </w:r>
    </w:p>
    <w:p>
      <w:pPr>
        <w:jc w:val="center"/>
      </w:pPr>
      <w:r>
        <w:rPr>
          <w:b/>
          <w:sz w:val="36"/>
        </w:rPr>
        <w:t>Five-Year Business Plan  ·  FY2027–FY2031</w:t>
      </w:r>
    </w:p>
    <w:p>
      <w:pPr>
        <w:jc w:val="center"/>
      </w:pPr>
      <w:r>
        <w:rPr>
          <w:i/>
          <w:color w:val="606060"/>
          <w:sz w:val="24"/>
        </w:rPr>
        <w:t>Fiber-Optic Broadband for Southeastern North Carolina</w:t>
      </w:r>
    </w:p>
    <w:p/>
    <w:p/>
    <w:p/>
    <w:p/>
    <w:p/>
    <w:p/>
    <w:p>
      <w:pPr>
        <w:jc w:val="center"/>
      </w:pPr>
      <w:r>
        <w:rPr>
          <w:color w:val="1F3B4D"/>
          <w:sz w:val="22"/>
        </w:rPr>
        <w:t>Prepared for the Chief Executive Officer, Executive Leadership Team, and Board of Directors</w:t>
      </w:r>
    </w:p>
    <w:p>
      <w:pPr>
        <w:jc w:val="center"/>
      </w:pPr>
      <w:r>
        <w:rPr>
          <w:color w:val="606060"/>
          <w:sz w:val="20"/>
        </w:rPr>
        <w:t>Prepared: July 21, 2026  ·  Version 1.0</w:t>
      </w:r>
    </w:p>
    <w:p>
      <w:pPr>
        <w:jc w:val="center"/>
      </w:pPr>
      <w:r>
        <w:rPr>
          <w:i/>
          <w:color w:val="606060"/>
          <w:sz w:val="18"/>
        </w:rPr>
        <w:t>CONFIDENTIAL — Contains management assumptions and clearly-labeled placeholders</w:t>
      </w:r>
    </w:p>
    <w:p>
      <w:r>
        <w:br w:type="page"/>
      </w:r>
    </w:p>
    <w:p>
      <w:pPr>
        <w:pStyle w:val="Heading1"/>
      </w:pPr>
      <w:r>
        <w:rPr>
          <w:rFonts w:ascii="Calibri" w:hAnsi="Calibri"/>
          <w:color w:val="1F3B4D"/>
          <w:sz w:val="32"/>
        </w:rPr>
        <w:t>Table of Contents</w:t>
      </w:r>
    </w:p>
    <w:p>
      <w:pPr>
        <w:spacing w:after="120"/>
      </w:pPr>
      <w:r>
        <w:rPr>
          <w:i/>
          <w:color w:val="606060"/>
          <w:sz w:val="19"/>
        </w:rPr>
        <w:t>This document is organized into the sections below. To refresh page numbers in Microsoft Word, select the table and press F9.</w:t>
      </w:r>
    </w:p>
    <w:p>
      <w:r>
        <w:fldChar w:fldCharType="begin"/>
        <w:instrText xml:space="preserve">TOC \o "1-2" \h \z \u</w:instrText>
        <w:fldChar w:fldCharType="separate"/>
        <w:t>Right-click and Update Field to populate the table of contents.</w:t>
        <w:fldChar w:fldCharType="end"/>
      </w:r>
    </w:p>
    <w:p>
      <w:r>
        <w:br w:type="page"/>
      </w:r>
    </w:p>
    <w:p>
      <w:pPr>
        <w:pStyle w:val="Heading1"/>
      </w:pPr>
      <w:r>
        <w:rPr>
          <w:rFonts w:ascii="Calibri" w:hAnsi="Calibri"/>
          <w:color w:val="1F3B4D"/>
          <w:sz w:val="32"/>
        </w:rPr>
        <w:t>1. Executive Summary</w:t>
      </w:r>
    </w:p>
    <w:p>
      <w:pPr>
        <w:spacing w:after="120"/>
      </w:pPr>
      <w:r>
        <w:rPr>
          <w:i w:val="0"/>
          <w:sz w:val="21"/>
        </w:rPr>
        <w:t>RIVR Tech (LREMC Technologies, LLC) is a fiber-optic broadband provider serving Robeson, Hoke, Scotland, Cumberland, and surrounding counties in southeastern North Carolina. This five-year business plan (FY2027–FY2031) integrates strategy, network expansion, staffing, operations, revenue, operating expense, capital investment, and financial performance into a single, board-ready plan.</w:t>
      </w:r>
    </w:p>
    <w:tbl>
      <w:tblPr>
        <w:tblStyle w:val="TableGrid"/>
        <w:tblW w:type="auto" w:w="0"/>
        <w:tblLook w:firstColumn="1" w:firstRow="1" w:lastColumn="0" w:lastRow="0" w:noHBand="0" w:noVBand="1" w:val="04A0"/>
      </w:tblPr>
      <w:tblGrid>
        <w:gridCol w:w="8640"/>
      </w:tblGrid>
      <w:tr>
        <w:tc>
          <w:tcPr>
            <w:tcW w:type="dxa" w:w="8640"/>
            <w:shd w:val="clear" w:color="auto" w:fill="FBE9D6"/>
          </w:tcPr>
          <w:p>
            <w:pPr>
              <w:spacing w:after="40" w:before="40"/>
            </w:pPr>
            <w:r/>
            <w:r>
              <w:rPr>
                <w:rFonts w:ascii="Calibri" w:hAnsi="Calibri"/>
                <w:b w:val="0"/>
                <w:color w:val="8A4B00"/>
                <w:sz w:val="19"/>
              </w:rPr>
              <w:t>Data integrity: This plan incorporates RIVR Tech's actual Q2-2026 financial results (quarter ended 6/30/2026, from the Board of Directors deck) as the baseline — operating revenue, the full expense structure, depreciation, interest, grant income, and grant awards. Forward projections build on that actual baseline plus clearly-labeled assumptions. Actual data, management assumptions, calculated projections, and recommended targets are distinguished throughout. Subscriber counts, ARPU, and labor rates remain partly estimated; see the Source-Data Inventory &amp; Assumption Log for the conflict log and remaining placeholders.</w:t>
            </w:r>
          </w:p>
        </w:tc>
      </w:tr>
    </w:tbl>
    <w:p>
      <w:pPr>
        <w:spacing w:after="40"/>
      </w:pPr>
    </w:p>
    <w:p>
      <w:pPr>
        <w:pStyle w:val="Heading3"/>
      </w:pPr>
      <w:r>
        <w:rPr>
          <w:rFonts w:ascii="Calibri" w:hAnsi="Calibri"/>
          <w:b/>
          <w:color w:val="1F3B4D"/>
          <w:sz w:val="22"/>
        </w:rPr>
        <w:t>The plan at a glance (Base Case)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456"/>
            <w:shd w:val="clear" w:color="auto" w:fill="1F3B4D"/>
          </w:tcPr>
          <w:p>
            <w:pPr>
              <w:spacing w:after="40" w:before="40"/>
            </w:pPr>
            <w:r/>
            <w:r>
              <w:rPr>
                <w:rFonts w:ascii="Calibri" w:hAnsi="Calibri"/>
                <w:b/>
                <w:color w:val="FFFFFF"/>
                <w:sz w:val="19"/>
              </w:rPr>
              <w:t>Metric</w:t>
            </w:r>
          </w:p>
        </w:tc>
        <w:tc>
          <w:tcPr>
            <w:tcW w:type="dxa" w:w="1440"/>
            <w:shd w:val="clear" w:color="auto" w:fill="1F3B4D"/>
          </w:tcPr>
          <w:p>
            <w:pPr>
              <w:spacing w:after="40" w:before="40"/>
              <w:jc w:val="center"/>
            </w:pPr>
            <w:r/>
            <w:r>
              <w:rPr>
                <w:rFonts w:ascii="Calibri" w:hAnsi="Calibri"/>
                <w:b/>
                <w:color w:val="FFFFFF"/>
                <w:sz w:val="19"/>
              </w:rPr>
              <w:t>2027</w:t>
            </w:r>
          </w:p>
        </w:tc>
        <w:tc>
          <w:tcPr>
            <w:tcW w:type="dxa" w:w="1440"/>
            <w:shd w:val="clear" w:color="auto" w:fill="1F3B4D"/>
          </w:tcPr>
          <w:p>
            <w:pPr>
              <w:spacing w:after="40" w:before="40"/>
              <w:jc w:val="center"/>
            </w:pPr>
            <w:r/>
            <w:r>
              <w:rPr>
                <w:rFonts w:ascii="Calibri" w:hAnsi="Calibri"/>
                <w:b/>
                <w:color w:val="FFFFFF"/>
                <w:sz w:val="19"/>
              </w:rPr>
              <w:t>2028</w:t>
            </w:r>
          </w:p>
        </w:tc>
        <w:tc>
          <w:tcPr>
            <w:tcW w:type="dxa" w:w="1440"/>
            <w:shd w:val="clear" w:color="auto" w:fill="1F3B4D"/>
          </w:tcPr>
          <w:p>
            <w:pPr>
              <w:spacing w:after="40" w:before="40"/>
              <w:jc w:val="center"/>
            </w:pPr>
            <w:r/>
            <w:r>
              <w:rPr>
                <w:rFonts w:ascii="Calibri" w:hAnsi="Calibri"/>
                <w:b/>
                <w:color w:val="FFFFFF"/>
                <w:sz w:val="19"/>
              </w:rPr>
              <w:t>2029</w:t>
            </w:r>
          </w:p>
        </w:tc>
        <w:tc>
          <w:tcPr>
            <w:tcW w:type="dxa" w:w="1440"/>
            <w:shd w:val="clear" w:color="auto" w:fill="1F3B4D"/>
          </w:tcPr>
          <w:p>
            <w:pPr>
              <w:spacing w:after="40" w:before="40"/>
              <w:jc w:val="center"/>
            </w:pPr>
            <w:r/>
            <w:r>
              <w:rPr>
                <w:rFonts w:ascii="Calibri" w:hAnsi="Calibri"/>
                <w:b/>
                <w:color w:val="FFFFFF"/>
                <w:sz w:val="19"/>
              </w:rPr>
              <w:t>2030</w:t>
            </w:r>
          </w:p>
        </w:tc>
        <w:tc>
          <w:tcPr>
            <w:tcW w:type="dxa" w:w="1440"/>
            <w:shd w:val="clear" w:color="auto" w:fill="1F3B4D"/>
          </w:tcPr>
          <w:p>
            <w:pPr>
              <w:spacing w:after="40" w:before="40"/>
              <w:jc w:val="center"/>
            </w:pPr>
            <w:r/>
            <w:r>
              <w:rPr>
                <w:rFonts w:ascii="Calibri" w:hAnsi="Calibri"/>
                <w:b/>
                <w:color w:val="FFFFFF"/>
                <w:sz w:val="19"/>
              </w:rPr>
              <w:t>2031</w:t>
            </w:r>
          </w:p>
        </w:tc>
      </w:tr>
      <w:tr>
        <w:tc>
          <w:tcPr>
            <w:tcW w:type="dxa" w:w="3456"/>
          </w:tcPr>
          <w:p>
            <w:pPr>
              <w:spacing w:after="40" w:before="40"/>
            </w:pPr>
            <w:r/>
            <w:r>
              <w:rPr>
                <w:rFonts w:ascii="Calibri" w:hAnsi="Calibri"/>
                <w:b w:val="0"/>
                <w:sz w:val="19"/>
              </w:rPr>
              <w:t>Ending subscribers (internet)</w:t>
            </w:r>
          </w:p>
        </w:tc>
        <w:tc>
          <w:tcPr>
            <w:tcW w:type="dxa" w:w="1440"/>
          </w:tcPr>
          <w:p>
            <w:pPr>
              <w:spacing w:after="40" w:before="40"/>
              <w:jc w:val="right"/>
            </w:pPr>
            <w:r/>
            <w:r>
              <w:rPr>
                <w:rFonts w:ascii="Calibri" w:hAnsi="Calibri"/>
                <w:b w:val="0"/>
                <w:sz w:val="19"/>
              </w:rPr>
              <w:t>6,180</w:t>
            </w:r>
          </w:p>
        </w:tc>
        <w:tc>
          <w:tcPr>
            <w:tcW w:type="dxa" w:w="1440"/>
          </w:tcPr>
          <w:p>
            <w:pPr>
              <w:spacing w:after="40" w:before="40"/>
              <w:jc w:val="right"/>
            </w:pPr>
            <w:r/>
            <w:r>
              <w:rPr>
                <w:rFonts w:ascii="Calibri" w:hAnsi="Calibri"/>
                <w:b w:val="0"/>
                <w:sz w:val="19"/>
              </w:rPr>
              <w:t>7,733</w:t>
            </w:r>
          </w:p>
        </w:tc>
        <w:tc>
          <w:tcPr>
            <w:tcW w:type="dxa" w:w="1440"/>
          </w:tcPr>
          <w:p>
            <w:pPr>
              <w:spacing w:after="40" w:before="40"/>
              <w:jc w:val="right"/>
            </w:pPr>
            <w:r/>
            <w:r>
              <w:rPr>
                <w:rFonts w:ascii="Calibri" w:hAnsi="Calibri"/>
                <w:b w:val="0"/>
                <w:sz w:val="19"/>
              </w:rPr>
              <w:t>9,236</w:t>
            </w:r>
          </w:p>
        </w:tc>
        <w:tc>
          <w:tcPr>
            <w:tcW w:type="dxa" w:w="1440"/>
          </w:tcPr>
          <w:p>
            <w:pPr>
              <w:spacing w:after="40" w:before="40"/>
              <w:jc w:val="right"/>
            </w:pPr>
            <w:r/>
            <w:r>
              <w:rPr>
                <w:rFonts w:ascii="Calibri" w:hAnsi="Calibri"/>
                <w:b w:val="0"/>
                <w:sz w:val="19"/>
              </w:rPr>
              <w:t>10,477</w:t>
            </w:r>
          </w:p>
        </w:tc>
        <w:tc>
          <w:tcPr>
            <w:tcW w:type="dxa" w:w="1440"/>
          </w:tcPr>
          <w:p>
            <w:pPr>
              <w:spacing w:after="40" w:before="40"/>
              <w:jc w:val="right"/>
            </w:pPr>
            <w:r/>
            <w:r>
              <w:rPr>
                <w:rFonts w:ascii="Calibri" w:hAnsi="Calibri"/>
                <w:b w:val="0"/>
                <w:sz w:val="19"/>
              </w:rPr>
              <w:t>11,425</w:t>
            </w:r>
          </w:p>
        </w:tc>
      </w:tr>
      <w:tr>
        <w:tc>
          <w:tcPr>
            <w:tcW w:type="dxa" w:w="3456"/>
            <w:shd w:val="clear" w:color="auto" w:fill="F2F6FA"/>
          </w:tcPr>
          <w:p>
            <w:pPr>
              <w:spacing w:after="40" w:before="40"/>
            </w:pPr>
            <w:r/>
            <w:r>
              <w:rPr>
                <w:rFonts w:ascii="Calibri" w:hAnsi="Calibri"/>
                <w:b w:val="0"/>
                <w:sz w:val="19"/>
              </w:rPr>
              <w:t>Total revenue</w:t>
            </w:r>
          </w:p>
        </w:tc>
        <w:tc>
          <w:tcPr>
            <w:tcW w:type="dxa" w:w="1440"/>
            <w:shd w:val="clear" w:color="auto" w:fill="F2F6FA"/>
          </w:tcPr>
          <w:p>
            <w:pPr>
              <w:spacing w:after="40" w:before="40"/>
              <w:jc w:val="right"/>
            </w:pPr>
            <w:r/>
            <w:r>
              <w:rPr>
                <w:rFonts w:ascii="Calibri" w:hAnsi="Calibri"/>
                <w:b w:val="0"/>
                <w:sz w:val="19"/>
              </w:rPr>
              <w:t>$5.1M</w:t>
            </w:r>
          </w:p>
        </w:tc>
        <w:tc>
          <w:tcPr>
            <w:tcW w:type="dxa" w:w="1440"/>
            <w:shd w:val="clear" w:color="auto" w:fill="F2F6FA"/>
          </w:tcPr>
          <w:p>
            <w:pPr>
              <w:spacing w:after="40" w:before="40"/>
              <w:jc w:val="right"/>
            </w:pPr>
            <w:r/>
            <w:r>
              <w:rPr>
                <w:rFonts w:ascii="Calibri" w:hAnsi="Calibri"/>
                <w:b w:val="0"/>
                <w:sz w:val="19"/>
              </w:rPr>
              <w:t>$6.6M</w:t>
            </w:r>
          </w:p>
        </w:tc>
        <w:tc>
          <w:tcPr>
            <w:tcW w:type="dxa" w:w="1440"/>
            <w:shd w:val="clear" w:color="auto" w:fill="F2F6FA"/>
          </w:tcPr>
          <w:p>
            <w:pPr>
              <w:spacing w:after="40" w:before="40"/>
              <w:jc w:val="right"/>
            </w:pPr>
            <w:r/>
            <w:r>
              <w:rPr>
                <w:rFonts w:ascii="Calibri" w:hAnsi="Calibri"/>
                <w:b w:val="0"/>
                <w:sz w:val="19"/>
              </w:rPr>
              <w:t>$8.1M</w:t>
            </w:r>
          </w:p>
        </w:tc>
        <w:tc>
          <w:tcPr>
            <w:tcW w:type="dxa" w:w="1440"/>
            <w:shd w:val="clear" w:color="auto" w:fill="F2F6FA"/>
          </w:tcPr>
          <w:p>
            <w:pPr>
              <w:spacing w:after="40" w:before="40"/>
              <w:jc w:val="right"/>
            </w:pPr>
            <w:r/>
            <w:r>
              <w:rPr>
                <w:rFonts w:ascii="Calibri" w:hAnsi="Calibri"/>
                <w:b w:val="0"/>
                <w:sz w:val="19"/>
              </w:rPr>
              <w:t>$9.6M</w:t>
            </w:r>
          </w:p>
        </w:tc>
        <w:tc>
          <w:tcPr>
            <w:tcW w:type="dxa" w:w="1440"/>
            <w:shd w:val="clear" w:color="auto" w:fill="F2F6FA"/>
          </w:tcPr>
          <w:p>
            <w:pPr>
              <w:spacing w:after="40" w:before="40"/>
              <w:jc w:val="right"/>
            </w:pPr>
            <w:r/>
            <w:r>
              <w:rPr>
                <w:rFonts w:ascii="Calibri" w:hAnsi="Calibri"/>
                <w:b w:val="0"/>
                <w:sz w:val="19"/>
              </w:rPr>
              <w:t>$10.9M</w:t>
            </w:r>
          </w:p>
        </w:tc>
      </w:tr>
      <w:tr>
        <w:tc>
          <w:tcPr>
            <w:tcW w:type="dxa" w:w="3456"/>
          </w:tcPr>
          <w:p>
            <w:pPr>
              <w:spacing w:after="40" w:before="40"/>
            </w:pPr>
            <w:r/>
            <w:r>
              <w:rPr>
                <w:rFonts w:ascii="Calibri" w:hAnsi="Calibri"/>
                <w:b w:val="0"/>
                <w:sz w:val="19"/>
              </w:rPr>
              <w:t>EBITDA</w:t>
            </w:r>
          </w:p>
        </w:tc>
        <w:tc>
          <w:tcPr>
            <w:tcW w:type="dxa" w:w="1440"/>
          </w:tcPr>
          <w:p>
            <w:pPr>
              <w:spacing w:after="40" w:before="40"/>
              <w:jc w:val="right"/>
            </w:pPr>
            <w:r/>
            <w:r>
              <w:rPr>
                <w:rFonts w:ascii="Calibri" w:hAnsi="Calibri"/>
                <w:b w:val="0"/>
                <w:sz w:val="19"/>
              </w:rPr>
              <w:t>$0.3M</w:t>
            </w:r>
          </w:p>
        </w:tc>
        <w:tc>
          <w:tcPr>
            <w:tcW w:type="dxa" w:w="1440"/>
          </w:tcPr>
          <w:p>
            <w:pPr>
              <w:spacing w:after="40" w:before="40"/>
              <w:jc w:val="right"/>
            </w:pPr>
            <w:r/>
            <w:r>
              <w:rPr>
                <w:rFonts w:ascii="Calibri" w:hAnsi="Calibri"/>
                <w:b w:val="0"/>
                <w:sz w:val="19"/>
              </w:rPr>
              <w:t>$0.9M</w:t>
            </w:r>
          </w:p>
        </w:tc>
        <w:tc>
          <w:tcPr>
            <w:tcW w:type="dxa" w:w="1440"/>
          </w:tcPr>
          <w:p>
            <w:pPr>
              <w:spacing w:after="40" w:before="40"/>
              <w:jc w:val="right"/>
            </w:pPr>
            <w:r/>
            <w:r>
              <w:rPr>
                <w:rFonts w:ascii="Calibri" w:hAnsi="Calibri"/>
                <w:b w:val="0"/>
                <w:sz w:val="19"/>
              </w:rPr>
              <w:t>$1.6M</w:t>
            </w:r>
          </w:p>
        </w:tc>
        <w:tc>
          <w:tcPr>
            <w:tcW w:type="dxa" w:w="1440"/>
          </w:tcPr>
          <w:p>
            <w:pPr>
              <w:spacing w:after="40" w:before="40"/>
              <w:jc w:val="right"/>
            </w:pPr>
            <w:r/>
            <w:r>
              <w:rPr>
                <w:rFonts w:ascii="Calibri" w:hAnsi="Calibri"/>
                <w:b w:val="0"/>
                <w:sz w:val="19"/>
              </w:rPr>
              <w:t>$2.2M</w:t>
            </w:r>
          </w:p>
        </w:tc>
        <w:tc>
          <w:tcPr>
            <w:tcW w:type="dxa" w:w="1440"/>
          </w:tcPr>
          <w:p>
            <w:pPr>
              <w:spacing w:after="40" w:before="40"/>
              <w:jc w:val="right"/>
            </w:pPr>
            <w:r/>
            <w:r>
              <w:rPr>
                <w:rFonts w:ascii="Calibri" w:hAnsi="Calibri"/>
                <w:b w:val="0"/>
                <w:sz w:val="19"/>
              </w:rPr>
              <w:t>$2.6M</w:t>
            </w:r>
          </w:p>
        </w:tc>
      </w:tr>
      <w:tr>
        <w:tc>
          <w:tcPr>
            <w:tcW w:type="dxa" w:w="3456"/>
            <w:shd w:val="clear" w:color="auto" w:fill="F2F6FA"/>
          </w:tcPr>
          <w:p>
            <w:pPr>
              <w:spacing w:after="40" w:before="40"/>
            </w:pPr>
            <w:r/>
            <w:r>
              <w:rPr>
                <w:rFonts w:ascii="Calibri" w:hAnsi="Calibri"/>
                <w:b w:val="0"/>
                <w:sz w:val="19"/>
              </w:rPr>
              <w:t>EBITDA margin</w:t>
            </w:r>
          </w:p>
        </w:tc>
        <w:tc>
          <w:tcPr>
            <w:tcW w:type="dxa" w:w="1440"/>
            <w:shd w:val="clear" w:color="auto" w:fill="F2F6FA"/>
          </w:tcPr>
          <w:p>
            <w:pPr>
              <w:spacing w:after="40" w:before="40"/>
              <w:jc w:val="right"/>
            </w:pPr>
            <w:r/>
            <w:r>
              <w:rPr>
                <w:rFonts w:ascii="Calibri" w:hAnsi="Calibri"/>
                <w:b w:val="0"/>
                <w:sz w:val="19"/>
              </w:rPr>
              <w:t>5.2%</w:t>
            </w:r>
          </w:p>
        </w:tc>
        <w:tc>
          <w:tcPr>
            <w:tcW w:type="dxa" w:w="1440"/>
            <w:shd w:val="clear" w:color="auto" w:fill="F2F6FA"/>
          </w:tcPr>
          <w:p>
            <w:pPr>
              <w:spacing w:after="40" w:before="40"/>
              <w:jc w:val="right"/>
            </w:pPr>
            <w:r/>
            <w:r>
              <w:rPr>
                <w:rFonts w:ascii="Calibri" w:hAnsi="Calibri"/>
                <w:b w:val="0"/>
                <w:sz w:val="19"/>
              </w:rPr>
              <w:t>13.5%</w:t>
            </w:r>
          </w:p>
        </w:tc>
        <w:tc>
          <w:tcPr>
            <w:tcW w:type="dxa" w:w="1440"/>
            <w:shd w:val="clear" w:color="auto" w:fill="F2F6FA"/>
          </w:tcPr>
          <w:p>
            <w:pPr>
              <w:spacing w:after="40" w:before="40"/>
              <w:jc w:val="right"/>
            </w:pPr>
            <w:r/>
            <w:r>
              <w:rPr>
                <w:rFonts w:ascii="Calibri" w:hAnsi="Calibri"/>
                <w:b w:val="0"/>
                <w:sz w:val="19"/>
              </w:rPr>
              <w:t>19.1%</w:t>
            </w:r>
          </w:p>
        </w:tc>
        <w:tc>
          <w:tcPr>
            <w:tcW w:type="dxa" w:w="1440"/>
            <w:shd w:val="clear" w:color="auto" w:fill="F2F6FA"/>
          </w:tcPr>
          <w:p>
            <w:pPr>
              <w:spacing w:after="40" w:before="40"/>
              <w:jc w:val="right"/>
            </w:pPr>
            <w:r/>
            <w:r>
              <w:rPr>
                <w:rFonts w:ascii="Calibri" w:hAnsi="Calibri"/>
                <w:b w:val="0"/>
                <w:sz w:val="19"/>
              </w:rPr>
              <w:t>22.7%</w:t>
            </w:r>
          </w:p>
        </w:tc>
        <w:tc>
          <w:tcPr>
            <w:tcW w:type="dxa" w:w="1440"/>
            <w:shd w:val="clear" w:color="auto" w:fill="F2F6FA"/>
          </w:tcPr>
          <w:p>
            <w:pPr>
              <w:spacing w:after="40" w:before="40"/>
              <w:jc w:val="right"/>
            </w:pPr>
            <w:r/>
            <w:r>
              <w:rPr>
                <w:rFonts w:ascii="Calibri" w:hAnsi="Calibri"/>
                <w:b w:val="0"/>
                <w:sz w:val="19"/>
              </w:rPr>
              <w:t>24.4%</w:t>
            </w:r>
          </w:p>
        </w:tc>
      </w:tr>
      <w:tr>
        <w:tc>
          <w:tcPr>
            <w:tcW w:type="dxa" w:w="3456"/>
          </w:tcPr>
          <w:p>
            <w:pPr>
              <w:spacing w:after="40" w:before="40"/>
            </w:pPr>
            <w:r/>
            <w:r>
              <w:rPr>
                <w:rFonts w:ascii="Calibri" w:hAnsi="Calibri"/>
                <w:b w:val="0"/>
                <w:sz w:val="19"/>
              </w:rPr>
              <w:t>Capital deployed</w:t>
            </w:r>
          </w:p>
        </w:tc>
        <w:tc>
          <w:tcPr>
            <w:tcW w:type="dxa" w:w="1440"/>
          </w:tcPr>
          <w:p>
            <w:pPr>
              <w:spacing w:after="40" w:before="40"/>
              <w:jc w:val="right"/>
            </w:pPr>
            <w:r/>
            <w:r>
              <w:rPr>
                <w:rFonts w:ascii="Calibri" w:hAnsi="Calibri"/>
                <w:b w:val="0"/>
                <w:sz w:val="19"/>
              </w:rPr>
              <w:t>$9.6M</w:t>
            </w:r>
          </w:p>
        </w:tc>
        <w:tc>
          <w:tcPr>
            <w:tcW w:type="dxa" w:w="1440"/>
          </w:tcPr>
          <w:p>
            <w:pPr>
              <w:spacing w:after="40" w:before="40"/>
              <w:jc w:val="right"/>
            </w:pPr>
            <w:r/>
            <w:r>
              <w:rPr>
                <w:rFonts w:ascii="Calibri" w:hAnsi="Calibri"/>
                <w:b w:val="0"/>
                <w:sz w:val="19"/>
              </w:rPr>
              <w:t>$9.8M</w:t>
            </w:r>
          </w:p>
        </w:tc>
        <w:tc>
          <w:tcPr>
            <w:tcW w:type="dxa" w:w="1440"/>
          </w:tcPr>
          <w:p>
            <w:pPr>
              <w:spacing w:after="40" w:before="40"/>
              <w:jc w:val="right"/>
            </w:pPr>
            <w:r/>
            <w:r>
              <w:rPr>
                <w:rFonts w:ascii="Calibri" w:hAnsi="Calibri"/>
                <w:b w:val="0"/>
                <w:sz w:val="19"/>
              </w:rPr>
              <w:t>$10.0M</w:t>
            </w:r>
          </w:p>
        </w:tc>
        <w:tc>
          <w:tcPr>
            <w:tcW w:type="dxa" w:w="1440"/>
          </w:tcPr>
          <w:p>
            <w:pPr>
              <w:spacing w:after="40" w:before="40"/>
              <w:jc w:val="right"/>
            </w:pPr>
            <w:r/>
            <w:r>
              <w:rPr>
                <w:rFonts w:ascii="Calibri" w:hAnsi="Calibri"/>
                <w:b w:val="0"/>
                <w:sz w:val="19"/>
              </w:rPr>
              <w:t>$9.8M</w:t>
            </w:r>
          </w:p>
        </w:tc>
        <w:tc>
          <w:tcPr>
            <w:tcW w:type="dxa" w:w="1440"/>
          </w:tcPr>
          <w:p>
            <w:pPr>
              <w:spacing w:after="40" w:before="40"/>
              <w:jc w:val="right"/>
            </w:pPr>
            <w:r/>
            <w:r>
              <w:rPr>
                <w:rFonts w:ascii="Calibri" w:hAnsi="Calibri"/>
                <w:b w:val="0"/>
                <w:sz w:val="19"/>
              </w:rPr>
              <w:t>$9.7M</w:t>
            </w:r>
          </w:p>
        </w:tc>
      </w:tr>
      <w:tr>
        <w:tc>
          <w:tcPr>
            <w:tcW w:type="dxa" w:w="3456"/>
            <w:shd w:val="clear" w:color="auto" w:fill="F2F6FA"/>
          </w:tcPr>
          <w:p>
            <w:pPr>
              <w:spacing w:after="40" w:before="40"/>
            </w:pPr>
            <w:r/>
            <w:r>
              <w:rPr>
                <w:rFonts w:ascii="Calibri" w:hAnsi="Calibri"/>
                <w:b w:val="0"/>
                <w:sz w:val="19"/>
              </w:rPr>
              <w:t>Headcount (EOY)</w:t>
            </w:r>
          </w:p>
        </w:tc>
        <w:tc>
          <w:tcPr>
            <w:tcW w:type="dxa" w:w="1440"/>
            <w:shd w:val="clear" w:color="auto" w:fill="F2F6FA"/>
          </w:tcPr>
          <w:p>
            <w:pPr>
              <w:spacing w:after="40" w:before="40"/>
              <w:jc w:val="right"/>
            </w:pPr>
            <w:r/>
            <w:r>
              <w:rPr>
                <w:rFonts w:ascii="Calibri" w:hAnsi="Calibri"/>
                <w:b w:val="0"/>
                <w:sz w:val="19"/>
              </w:rPr>
              <w:t>21</w:t>
            </w:r>
          </w:p>
        </w:tc>
        <w:tc>
          <w:tcPr>
            <w:tcW w:type="dxa" w:w="1440"/>
            <w:shd w:val="clear" w:color="auto" w:fill="F2F6FA"/>
          </w:tcPr>
          <w:p>
            <w:pPr>
              <w:spacing w:after="40" w:before="40"/>
              <w:jc w:val="right"/>
            </w:pPr>
            <w:r/>
            <w:r>
              <w:rPr>
                <w:rFonts w:ascii="Calibri" w:hAnsi="Calibri"/>
                <w:b w:val="0"/>
                <w:sz w:val="19"/>
              </w:rPr>
              <w:t>26</w:t>
            </w:r>
          </w:p>
        </w:tc>
        <w:tc>
          <w:tcPr>
            <w:tcW w:type="dxa" w:w="1440"/>
            <w:shd w:val="clear" w:color="auto" w:fill="F2F6FA"/>
          </w:tcPr>
          <w:p>
            <w:pPr>
              <w:spacing w:after="40" w:before="40"/>
              <w:jc w:val="right"/>
            </w:pPr>
            <w:r/>
            <w:r>
              <w:rPr>
                <w:rFonts w:ascii="Calibri" w:hAnsi="Calibri"/>
                <w:b w:val="0"/>
                <w:sz w:val="19"/>
              </w:rPr>
              <w:t>31</w:t>
            </w:r>
          </w:p>
        </w:tc>
        <w:tc>
          <w:tcPr>
            <w:tcW w:type="dxa" w:w="1440"/>
            <w:shd w:val="clear" w:color="auto" w:fill="F2F6FA"/>
          </w:tcPr>
          <w:p>
            <w:pPr>
              <w:spacing w:after="40" w:before="40"/>
              <w:jc w:val="right"/>
            </w:pPr>
            <w:r/>
            <w:r>
              <w:rPr>
                <w:rFonts w:ascii="Calibri" w:hAnsi="Calibri"/>
                <w:b w:val="0"/>
                <w:sz w:val="19"/>
              </w:rPr>
              <w:t>35</w:t>
            </w:r>
          </w:p>
        </w:tc>
        <w:tc>
          <w:tcPr>
            <w:tcW w:type="dxa" w:w="1440"/>
            <w:shd w:val="clear" w:color="auto" w:fill="F2F6FA"/>
          </w:tcPr>
          <w:p>
            <w:pPr>
              <w:spacing w:after="40" w:before="40"/>
              <w:jc w:val="right"/>
            </w:pPr>
            <w:r/>
            <w:r>
              <w:rPr>
                <w:rFonts w:ascii="Calibri" w:hAnsi="Calibri"/>
                <w:b w:val="0"/>
                <w:sz w:val="19"/>
              </w:rPr>
              <w:t>39</w:t>
            </w:r>
          </w:p>
        </w:tc>
      </w:tr>
    </w:tbl>
    <w:p>
      <w:pPr>
        <w:spacing w:after="40"/>
      </w:pPr>
    </w:p>
    <w:p>
      <w:pPr>
        <w:spacing w:after="120"/>
      </w:pPr>
      <w:r>
        <w:rPr>
          <w:i w:val="0"/>
          <w:sz w:val="21"/>
        </w:rPr>
        <w:t>Over the plan, the Base Case grows the internet subscriber base from roughly 4,800 at the start of 2027 to 11,425 by year-end 2031, lifts revenue from $5.1M to $10.9M, and expands EBITDA margin from 5.2% to 24.4%. The company is EBITDA-positive in every year of the plan.</w:t>
      </w:r>
    </w:p>
    <w:p>
      <w:pPr>
        <w:pStyle w:val="Heading3"/>
      </w:pPr>
      <w:r>
        <w:rPr>
          <w:rFonts w:ascii="Calibri" w:hAnsi="Calibri"/>
          <w:b/>
          <w:color w:val="1F3B4D"/>
          <w:sz w:val="22"/>
        </w:rPr>
        <w:t>Capital and funding</w:t>
      </w:r>
    </w:p>
    <w:p>
      <w:pPr>
        <w:pStyle w:val="ListBullet"/>
        <w:spacing w:after="60"/>
      </w:pPr>
      <w:r>
        <w:rPr>
          <w:b/>
        </w:rPr>
        <w:t>Capital program:</w:t>
      </w:r>
      <w:r>
        <w:t xml:space="preserve"> $10.0M available each year and $50.0M over five years, deployed against 16 capital categories.</w:t>
      </w:r>
    </w:p>
    <w:p>
      <w:pPr>
        <w:pStyle w:val="ListBullet"/>
        <w:spacing w:after="60"/>
      </w:pPr>
      <w:r>
        <w:rPr>
          <w:b/>
        </w:rPr>
        <w:t>Discipline:</w:t>
      </w:r>
      <w:r>
        <w:t xml:space="preserve"> The Base Case deploys $48.9M of the $50.0M available (97.9%), holding the balance as reserve/carryforward rather than forcing full deployment.</w:t>
      </w:r>
    </w:p>
    <w:p>
      <w:pPr>
        <w:pStyle w:val="ListBullet"/>
        <w:spacing w:after="60"/>
      </w:pPr>
      <w:r>
        <w:rPr>
          <w:b/>
        </w:rPr>
        <w:t>Equipment refresh:</w:t>
      </w:r>
      <w:r>
        <w:t xml:space="preserve"> $400,000 per year and $2.0M over five years, treated as part of the $10M in the base model, with an adjustable setting to fund it outside the $10M.</w:t>
      </w:r>
    </w:p>
    <w:p>
      <w:pPr>
        <w:pStyle w:val="ListBullet"/>
        <w:spacing w:after="60"/>
      </w:pPr>
      <w:r>
        <w:rPr>
          <w:b/>
        </w:rPr>
        <w:t>Cash requirement:</w:t>
      </w:r>
      <w:r>
        <w:t xml:space="preserve"> Free cash flow before financing is negative during the build (cumulative cash requirement peaks near $-34.1M), comfortably inside the $50M funding envelope. The business funds a heavy fiber build; FCF turns positive beyond the plan horizon.</w:t>
      </w:r>
    </w:p>
    <w:p>
      <w:pPr>
        <w:pStyle w:val="Heading3"/>
      </w:pPr>
      <w:r>
        <w:rPr>
          <w:rFonts w:ascii="Calibri" w:hAnsi="Calibri"/>
          <w:b/>
          <w:color w:val="1F3B4D"/>
          <w:sz w:val="22"/>
        </w:rPr>
        <w:t>What leadership is asked to approve</w:t>
      </w:r>
    </w:p>
    <w:p>
      <w:pPr>
        <w:pStyle w:val="ListBullet"/>
        <w:spacing w:after="60"/>
      </w:pPr>
      <w:r>
        <w:t xml:space="preserve"> Adopt the Base Case as the operating plan.</w:t>
      </w:r>
    </w:p>
    <w:p>
      <w:pPr>
        <w:pStyle w:val="ListBullet"/>
        <w:spacing w:after="60"/>
      </w:pPr>
      <w:r>
        <w:t xml:space="preserve"> Approve the five-year capital allocation and capital-governance process.</w:t>
      </w:r>
    </w:p>
    <w:p>
      <w:pPr>
        <w:pStyle w:val="ListBullet"/>
        <w:spacing w:after="60"/>
      </w:pPr>
      <w:r>
        <w:t xml:space="preserve"> Authorize filling the three open positions and the trigger-based five-year staffing plan.</w:t>
      </w:r>
    </w:p>
    <w:p>
      <w:pPr>
        <w:pStyle w:val="ListBullet"/>
        <w:spacing w:after="60"/>
      </w:pPr>
      <w:r>
        <w:t xml:space="preserve"> Endorse the KPI, forecast-update, and project-ROI disciplines in Section 12.</w:t>
      </w:r>
    </w:p>
    <w:p>
      <w:r>
        <w:br w:type="page"/>
      </w:r>
    </w:p>
    <w:p>
      <w:pPr>
        <w:pStyle w:val="Heading1"/>
      </w:pPr>
      <w:r>
        <w:rPr>
          <w:rFonts w:ascii="Calibri" w:hAnsi="Calibri"/>
          <w:color w:val="1F3B4D"/>
          <w:sz w:val="32"/>
        </w:rPr>
        <w:t>2. Company Overview</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1F3B4D"/>
          </w:tcPr>
          <w:p>
            <w:pPr>
              <w:spacing w:after="40" w:before="40"/>
            </w:pPr>
            <w:r/>
            <w:r>
              <w:rPr>
                <w:rFonts w:ascii="Calibri" w:hAnsi="Calibri"/>
                <w:b/>
                <w:color w:val="FFFFFF"/>
                <w:sz w:val="19"/>
              </w:rPr>
              <w:t>Item</w:t>
            </w:r>
          </w:p>
        </w:tc>
        <w:tc>
          <w:tcPr>
            <w:tcW w:type="dxa" w:w="6912"/>
            <w:shd w:val="clear" w:color="auto" w:fill="1F3B4D"/>
          </w:tcPr>
          <w:p>
            <w:pPr>
              <w:spacing w:after="40" w:before="40"/>
              <w:jc w:val="center"/>
            </w:pPr>
            <w:r/>
            <w:r>
              <w:rPr>
                <w:rFonts w:ascii="Calibri" w:hAnsi="Calibri"/>
                <w:b/>
                <w:color w:val="FFFFFF"/>
                <w:sz w:val="19"/>
              </w:rPr>
              <w:t>Detail</w:t>
            </w:r>
          </w:p>
        </w:tc>
      </w:tr>
      <w:tr>
        <w:tc>
          <w:tcPr>
            <w:tcW w:type="dxa" w:w="2880"/>
          </w:tcPr>
          <w:p>
            <w:pPr>
              <w:spacing w:after="40" w:before="40"/>
            </w:pPr>
            <w:r/>
            <w:r>
              <w:rPr>
                <w:rFonts w:ascii="Calibri" w:hAnsi="Calibri"/>
                <w:b w:val="0"/>
                <w:sz w:val="19"/>
              </w:rPr>
              <w:t>Legal entity</w:t>
            </w:r>
          </w:p>
        </w:tc>
        <w:tc>
          <w:tcPr>
            <w:tcW w:type="dxa" w:w="6912"/>
          </w:tcPr>
          <w:p>
            <w:pPr>
              <w:spacing w:after="40" w:before="40"/>
              <w:jc w:val="right"/>
            </w:pPr>
            <w:r/>
            <w:r>
              <w:rPr>
                <w:rFonts w:ascii="Calibri" w:hAnsi="Calibri"/>
                <w:b w:val="0"/>
                <w:sz w:val="19"/>
              </w:rPr>
              <w:t>LREMC Technologies, LLC</w:t>
            </w:r>
          </w:p>
        </w:tc>
      </w:tr>
      <w:tr>
        <w:tc>
          <w:tcPr>
            <w:tcW w:type="dxa" w:w="2880"/>
            <w:shd w:val="clear" w:color="auto" w:fill="F2F6FA"/>
          </w:tcPr>
          <w:p>
            <w:pPr>
              <w:spacing w:after="40" w:before="40"/>
            </w:pPr>
            <w:r/>
            <w:r>
              <w:rPr>
                <w:rFonts w:ascii="Calibri" w:hAnsi="Calibri"/>
                <w:b w:val="0"/>
                <w:sz w:val="19"/>
              </w:rPr>
              <w:t>Trade name</w:t>
            </w:r>
          </w:p>
        </w:tc>
        <w:tc>
          <w:tcPr>
            <w:tcW w:type="dxa" w:w="6912"/>
            <w:shd w:val="clear" w:color="auto" w:fill="F2F6FA"/>
          </w:tcPr>
          <w:p>
            <w:pPr>
              <w:spacing w:after="40" w:before="40"/>
              <w:jc w:val="right"/>
            </w:pPr>
            <w:r/>
            <w:r>
              <w:rPr>
                <w:rFonts w:ascii="Calibri" w:hAnsi="Calibri"/>
                <w:b w:val="0"/>
                <w:sz w:val="19"/>
              </w:rPr>
              <w:t>RIVR Tech</w:t>
            </w:r>
          </w:p>
        </w:tc>
      </w:tr>
      <w:tr>
        <w:tc>
          <w:tcPr>
            <w:tcW w:type="dxa" w:w="2880"/>
          </w:tcPr>
          <w:p>
            <w:pPr>
              <w:spacing w:after="40" w:before="40"/>
            </w:pPr>
            <w:r/>
            <w:r>
              <w:rPr>
                <w:rFonts w:ascii="Calibri" w:hAnsi="Calibri"/>
                <w:b w:val="0"/>
                <w:sz w:val="19"/>
              </w:rPr>
              <w:t>Business</w:t>
            </w:r>
          </w:p>
        </w:tc>
        <w:tc>
          <w:tcPr>
            <w:tcW w:type="dxa" w:w="6912"/>
          </w:tcPr>
          <w:p>
            <w:pPr>
              <w:spacing w:after="40" w:before="40"/>
              <w:jc w:val="right"/>
            </w:pPr>
            <w:r/>
            <w:r>
              <w:rPr>
                <w:rFonts w:ascii="Calibri" w:hAnsi="Calibri"/>
                <w:b w:val="0"/>
                <w:sz w:val="19"/>
              </w:rPr>
              <w:t>Fiber-optic internet, voice, business &amp; enterprise connectivity, managed Wi-Fi, and related broadband services</w:t>
            </w:r>
          </w:p>
        </w:tc>
      </w:tr>
      <w:tr>
        <w:tc>
          <w:tcPr>
            <w:tcW w:type="dxa" w:w="2880"/>
            <w:shd w:val="clear" w:color="auto" w:fill="F2F6FA"/>
          </w:tcPr>
          <w:p>
            <w:pPr>
              <w:spacing w:after="40" w:before="40"/>
            </w:pPr>
            <w:r/>
            <w:r>
              <w:rPr>
                <w:rFonts w:ascii="Calibri" w:hAnsi="Calibri"/>
                <w:b w:val="0"/>
                <w:sz w:val="19"/>
              </w:rPr>
              <w:t>Primary service area</w:t>
            </w:r>
          </w:p>
        </w:tc>
        <w:tc>
          <w:tcPr>
            <w:tcW w:type="dxa" w:w="6912"/>
            <w:shd w:val="clear" w:color="auto" w:fill="F2F6FA"/>
          </w:tcPr>
          <w:p>
            <w:pPr>
              <w:spacing w:after="40" w:before="40"/>
              <w:jc w:val="right"/>
            </w:pPr>
            <w:r/>
            <w:r>
              <w:rPr>
                <w:rFonts w:ascii="Calibri" w:hAnsi="Calibri"/>
                <w:b w:val="0"/>
                <w:sz w:val="19"/>
              </w:rPr>
              <w:t>Robeson, Hoke, Scotland, Cumberland, and surrounding counties, southeastern North Carolina</w:t>
            </w:r>
          </w:p>
        </w:tc>
      </w:tr>
      <w:tr>
        <w:tc>
          <w:tcPr>
            <w:tcW w:type="dxa" w:w="2880"/>
          </w:tcPr>
          <w:p>
            <w:pPr>
              <w:spacing w:after="40" w:before="40"/>
            </w:pPr>
            <w:r/>
            <w:r>
              <w:rPr>
                <w:rFonts w:ascii="Calibri" w:hAnsi="Calibri"/>
                <w:b w:val="0"/>
                <w:sz w:val="19"/>
              </w:rPr>
              <w:t>Network model</w:t>
            </w:r>
          </w:p>
        </w:tc>
        <w:tc>
          <w:tcPr>
            <w:tcW w:type="dxa" w:w="6912"/>
          </w:tcPr>
          <w:p>
            <w:pPr>
              <w:spacing w:after="40" w:before="40"/>
              <w:jc w:val="right"/>
            </w:pPr>
            <w:r/>
            <w:r>
              <w:rPr>
                <w:rFonts w:ascii="Calibri" w:hAnsi="Calibri"/>
                <w:b w:val="0"/>
                <w:sz w:val="19"/>
              </w:rPr>
              <w:t>Fiber-to-the-home, business fiber, enterprise circuits, middle-mile fiber, and grant-funded expansion</w:t>
            </w:r>
          </w:p>
        </w:tc>
      </w:tr>
      <w:tr>
        <w:tc>
          <w:tcPr>
            <w:tcW w:type="dxa" w:w="2880"/>
            <w:shd w:val="clear" w:color="auto" w:fill="F2F6FA"/>
          </w:tcPr>
          <w:p>
            <w:pPr>
              <w:spacing w:after="40" w:before="40"/>
            </w:pPr>
            <w:r/>
            <w:r>
              <w:rPr>
                <w:rFonts w:ascii="Calibri" w:hAnsi="Calibri"/>
                <w:b w:val="0"/>
                <w:sz w:val="19"/>
              </w:rPr>
              <w:t>Starting internet subscribers</w:t>
            </w:r>
          </w:p>
        </w:tc>
        <w:tc>
          <w:tcPr>
            <w:tcW w:type="dxa" w:w="6912"/>
            <w:shd w:val="clear" w:color="auto" w:fill="F2F6FA"/>
          </w:tcPr>
          <w:p>
            <w:pPr>
              <w:spacing w:after="40" w:before="40"/>
              <w:jc w:val="right"/>
            </w:pPr>
            <w:r/>
            <w:r>
              <w:rPr>
                <w:rFonts w:ascii="Calibri" w:hAnsi="Calibri"/>
                <w:b w:val="0"/>
                <w:sz w:val="19"/>
              </w:rPr>
              <w:t>4,686 (June 2026 month-end) — supplied, unaudited</w:t>
            </w:r>
          </w:p>
        </w:tc>
      </w:tr>
      <w:tr>
        <w:tc>
          <w:tcPr>
            <w:tcW w:type="dxa" w:w="2880"/>
          </w:tcPr>
          <w:p>
            <w:pPr>
              <w:spacing w:after="40" w:before="40"/>
            </w:pPr>
            <w:r/>
            <w:r>
              <w:rPr>
                <w:rFonts w:ascii="Calibri" w:hAnsi="Calibri"/>
                <w:b w:val="0"/>
                <w:sz w:val="19"/>
              </w:rPr>
              <w:t>Starting voice subscribers</w:t>
            </w:r>
          </w:p>
        </w:tc>
        <w:tc>
          <w:tcPr>
            <w:tcW w:type="dxa" w:w="6912"/>
          </w:tcPr>
          <w:p>
            <w:pPr>
              <w:spacing w:after="40" w:before="40"/>
              <w:jc w:val="right"/>
            </w:pPr>
            <w:r/>
            <w:r>
              <w:rPr>
                <w:rFonts w:ascii="Calibri" w:hAnsi="Calibri"/>
                <w:b w:val="0"/>
                <w:sz w:val="19"/>
              </w:rPr>
              <w:t>502 (June 2026 month-end) — supplied, unaudited</w:t>
            </w:r>
          </w:p>
        </w:tc>
      </w:tr>
      <w:tr>
        <w:tc>
          <w:tcPr>
            <w:tcW w:type="dxa" w:w="2880"/>
            <w:shd w:val="clear" w:color="auto" w:fill="F2F6FA"/>
          </w:tcPr>
          <w:p>
            <w:pPr>
              <w:spacing w:after="40" w:before="40"/>
            </w:pPr>
            <w:r/>
            <w:r>
              <w:rPr>
                <w:rFonts w:ascii="Calibri" w:hAnsi="Calibri"/>
                <w:b w:val="0"/>
                <w:sz w:val="19"/>
              </w:rPr>
              <w:t>Starting workforce</w:t>
            </w:r>
          </w:p>
        </w:tc>
        <w:tc>
          <w:tcPr>
            <w:tcW w:type="dxa" w:w="6912"/>
            <w:shd w:val="clear" w:color="auto" w:fill="F2F6FA"/>
          </w:tcPr>
          <w:p>
            <w:pPr>
              <w:spacing w:after="40" w:before="40"/>
              <w:jc w:val="right"/>
            </w:pPr>
            <w:r/>
            <w:r>
              <w:rPr>
                <w:rFonts w:ascii="Calibri" w:hAnsi="Calibri"/>
                <w:b w:val="0"/>
                <w:sz w:val="19"/>
              </w:rPr>
              <w:t>15 filled + 3 open = 18 authorized positions</w:t>
            </w:r>
          </w:p>
        </w:tc>
      </w:tr>
    </w:tbl>
    <w:p>
      <w:pPr>
        <w:spacing w:after="40"/>
      </w:pPr>
    </w:p>
    <w:p>
      <w:pPr>
        <w:spacing w:after="120"/>
      </w:pPr>
      <w:r>
        <w:rPr>
          <w:i w:val="0"/>
          <w:sz w:val="21"/>
        </w:rPr>
        <w:t>RIVR Tech operates as the broadband subsidiary of Lumbee River EMC, giving it operational maturity, community trust, and existing plant. Its strategic objective is to grow into a financially sustainable regional broadband provider while maintaining strong service reliability, customer experience, and disciplined capital deployment.</w:t>
      </w:r>
    </w:p>
    <w:p>
      <w:pPr>
        <w:pStyle w:val="Heading2"/>
      </w:pPr>
      <w:r>
        <w:rPr>
          <w:rFonts w:ascii="Calibri" w:hAnsi="Calibri"/>
          <w:color w:val="2E7D8A"/>
          <w:sz w:val="25"/>
        </w:rPr>
        <w:t>Current financial position (Q2-2026 actual)</w:t>
      </w:r>
    </w:p>
    <w:p>
      <w:pPr>
        <w:spacing w:after="120"/>
      </w:pPr>
      <w:r>
        <w:rPr>
          <w:i w:val="0"/>
          <w:sz w:val="21"/>
        </w:rPr>
        <w:t>Actual results for the quarter ended June 30, 2026 (annualized on a year-to-date basis) establish the plan's baseline:</w:t>
      </w:r>
    </w:p>
    <w:tbl>
      <w:tblPr>
        <w:tblStyle w:val="TableGrid"/>
        <w:tblW w:type="auto" w:w="0"/>
        <w:jc w:val="center"/>
        <w:tblLook w:firstColumn="1" w:firstRow="1" w:lastColumn="0" w:lastRow="0" w:noHBand="0" w:noVBand="1" w:val="04A0"/>
      </w:tblPr>
      <w:tblGrid>
        <w:gridCol w:w="4320"/>
        <w:gridCol w:w="4320"/>
      </w:tblGrid>
      <w:tr>
        <w:tc>
          <w:tcPr>
            <w:tcW w:type="dxa" w:w="5184"/>
            <w:shd w:val="clear" w:color="auto" w:fill="1F3B4D"/>
          </w:tcPr>
          <w:p>
            <w:pPr>
              <w:spacing w:after="40" w:before="40"/>
            </w:pPr>
            <w:r/>
            <w:r>
              <w:rPr>
                <w:rFonts w:ascii="Calibri" w:hAnsi="Calibri"/>
                <w:b/>
                <w:color w:val="FFFFFF"/>
                <w:sz w:val="19"/>
              </w:rPr>
              <w:t>Financial baseline (annualized YTD)</w:t>
            </w:r>
          </w:p>
        </w:tc>
        <w:tc>
          <w:tcPr>
            <w:tcW w:type="dxa" w:w="2880"/>
            <w:shd w:val="clear" w:color="auto" w:fill="1F3B4D"/>
          </w:tcPr>
          <w:p>
            <w:pPr>
              <w:spacing w:after="40" w:before="40"/>
              <w:jc w:val="center"/>
            </w:pPr>
            <w:r/>
            <w:r>
              <w:rPr>
                <w:rFonts w:ascii="Calibri" w:hAnsi="Calibri"/>
                <w:b/>
                <w:color w:val="FFFFFF"/>
                <w:sz w:val="19"/>
              </w:rPr>
              <w:t>Amount</w:t>
            </w:r>
          </w:p>
        </w:tc>
      </w:tr>
      <w:tr>
        <w:tc>
          <w:tcPr>
            <w:tcW w:type="dxa" w:w="5184"/>
          </w:tcPr>
          <w:p>
            <w:pPr>
              <w:spacing w:after="40" w:before="40"/>
            </w:pPr>
            <w:r/>
            <w:r>
              <w:rPr>
                <w:rFonts w:ascii="Calibri" w:hAnsi="Calibri"/>
                <w:b w:val="0"/>
                <w:sz w:val="19"/>
              </w:rPr>
              <w:t>Total operating revenue</w:t>
            </w:r>
          </w:p>
        </w:tc>
        <w:tc>
          <w:tcPr>
            <w:tcW w:type="dxa" w:w="2880"/>
          </w:tcPr>
          <w:p>
            <w:pPr>
              <w:spacing w:after="40" w:before="40"/>
              <w:jc w:val="right"/>
            </w:pPr>
            <w:r/>
            <w:r>
              <w:rPr>
                <w:rFonts w:ascii="Calibri" w:hAnsi="Calibri"/>
                <w:b w:val="0"/>
                <w:sz w:val="19"/>
              </w:rPr>
              <w:t>$4,130,718</w:t>
            </w:r>
          </w:p>
        </w:tc>
      </w:tr>
      <w:tr>
        <w:tc>
          <w:tcPr>
            <w:tcW w:type="dxa" w:w="5184"/>
            <w:shd w:val="clear" w:color="auto" w:fill="F2F6FA"/>
          </w:tcPr>
          <w:p>
            <w:pPr>
              <w:spacing w:after="40" w:before="40"/>
            </w:pPr>
            <w:r/>
            <w:r>
              <w:rPr>
                <w:rFonts w:ascii="Calibri" w:hAnsi="Calibri"/>
                <w:b w:val="0"/>
                <w:sz w:val="19"/>
              </w:rPr>
              <w:t>Total operating expense (excl. D&amp;A)</w:t>
            </w:r>
          </w:p>
        </w:tc>
        <w:tc>
          <w:tcPr>
            <w:tcW w:type="dxa" w:w="2880"/>
            <w:shd w:val="clear" w:color="auto" w:fill="F2F6FA"/>
          </w:tcPr>
          <w:p>
            <w:pPr>
              <w:spacing w:after="40" w:before="40"/>
              <w:jc w:val="right"/>
            </w:pPr>
            <w:r/>
            <w:r>
              <w:rPr>
                <w:rFonts w:ascii="Calibri" w:hAnsi="Calibri"/>
                <w:b w:val="0"/>
                <w:sz w:val="19"/>
              </w:rPr>
              <w:t>$4,271,408</w:t>
            </w:r>
          </w:p>
        </w:tc>
      </w:tr>
      <w:tr>
        <w:tc>
          <w:tcPr>
            <w:tcW w:type="dxa" w:w="5184"/>
          </w:tcPr>
          <w:p>
            <w:pPr>
              <w:spacing w:after="40" w:before="40"/>
            </w:pPr>
            <w:r/>
            <w:r>
              <w:rPr>
                <w:rFonts w:ascii="Calibri" w:hAnsi="Calibri"/>
                <w:b w:val="0"/>
                <w:sz w:val="19"/>
              </w:rPr>
              <w:t>EBITDA (operating income + D&amp;A)</w:t>
            </w:r>
          </w:p>
        </w:tc>
        <w:tc>
          <w:tcPr>
            <w:tcW w:type="dxa" w:w="2880"/>
          </w:tcPr>
          <w:p>
            <w:pPr>
              <w:spacing w:after="40" w:before="40"/>
              <w:jc w:val="right"/>
            </w:pPr>
            <w:r/>
            <w:r>
              <w:rPr>
                <w:rFonts w:ascii="Calibri" w:hAnsi="Calibri"/>
                <w:b w:val="0"/>
                <w:sz w:val="19"/>
              </w:rPr>
              <w:t>($140,688)</w:t>
            </w:r>
          </w:p>
        </w:tc>
      </w:tr>
      <w:tr>
        <w:tc>
          <w:tcPr>
            <w:tcW w:type="dxa" w:w="5184"/>
            <w:shd w:val="clear" w:color="auto" w:fill="F2F6FA"/>
          </w:tcPr>
          <w:p>
            <w:pPr>
              <w:spacing w:after="40" w:before="40"/>
            </w:pPr>
            <w:r/>
            <w:r>
              <w:rPr>
                <w:rFonts w:ascii="Calibri" w:hAnsi="Calibri"/>
                <w:b w:val="0"/>
                <w:sz w:val="19"/>
              </w:rPr>
              <w:t>Depreciation &amp; amortization</w:t>
            </w:r>
          </w:p>
        </w:tc>
        <w:tc>
          <w:tcPr>
            <w:tcW w:type="dxa" w:w="2880"/>
            <w:shd w:val="clear" w:color="auto" w:fill="F2F6FA"/>
          </w:tcPr>
          <w:p>
            <w:pPr>
              <w:spacing w:after="40" w:before="40"/>
              <w:jc w:val="right"/>
            </w:pPr>
            <w:r/>
            <w:r>
              <w:rPr>
                <w:rFonts w:ascii="Calibri" w:hAnsi="Calibri"/>
                <w:b w:val="0"/>
                <w:sz w:val="19"/>
              </w:rPr>
              <w:t>$362,804</w:t>
            </w:r>
          </w:p>
        </w:tc>
      </w:tr>
      <w:tr>
        <w:tc>
          <w:tcPr>
            <w:tcW w:type="dxa" w:w="5184"/>
          </w:tcPr>
          <w:p>
            <w:pPr>
              <w:spacing w:after="40" w:before="40"/>
            </w:pPr>
            <w:r/>
            <w:r>
              <w:rPr>
                <w:rFonts w:ascii="Calibri" w:hAnsi="Calibri"/>
                <w:b w:val="0"/>
                <w:sz w:val="19"/>
              </w:rPr>
              <w:t>Operating income (loss)</w:t>
            </w:r>
          </w:p>
        </w:tc>
        <w:tc>
          <w:tcPr>
            <w:tcW w:type="dxa" w:w="2880"/>
          </w:tcPr>
          <w:p>
            <w:pPr>
              <w:spacing w:after="40" w:before="40"/>
              <w:jc w:val="right"/>
            </w:pPr>
            <w:r/>
            <w:r>
              <w:rPr>
                <w:rFonts w:ascii="Calibri" w:hAnsi="Calibri"/>
                <w:b w:val="0"/>
                <w:sz w:val="19"/>
              </w:rPr>
              <w:t>($503,492)</w:t>
            </w:r>
          </w:p>
        </w:tc>
      </w:tr>
      <w:tr>
        <w:tc>
          <w:tcPr>
            <w:tcW w:type="dxa" w:w="5184"/>
            <w:shd w:val="clear" w:color="auto" w:fill="F2F6FA"/>
          </w:tcPr>
          <w:p>
            <w:pPr>
              <w:spacing w:after="40" w:before="40"/>
            </w:pPr>
            <w:r/>
            <w:r>
              <w:rPr>
                <w:rFonts w:ascii="Calibri" w:hAnsi="Calibri"/>
                <w:b w:val="0"/>
                <w:sz w:val="19"/>
              </w:rPr>
              <w:t>Interest expense (existing debt)</w:t>
            </w:r>
          </w:p>
        </w:tc>
        <w:tc>
          <w:tcPr>
            <w:tcW w:type="dxa" w:w="2880"/>
            <w:shd w:val="clear" w:color="auto" w:fill="F2F6FA"/>
          </w:tcPr>
          <w:p>
            <w:pPr>
              <w:spacing w:after="40" w:before="40"/>
              <w:jc w:val="right"/>
            </w:pPr>
            <w:r/>
            <w:r>
              <w:rPr>
                <w:rFonts w:ascii="Calibri" w:hAnsi="Calibri"/>
                <w:b w:val="0"/>
                <w:sz w:val="19"/>
              </w:rPr>
              <w:t>($464,220)</w:t>
            </w:r>
          </w:p>
        </w:tc>
      </w:tr>
      <w:tr>
        <w:tc>
          <w:tcPr>
            <w:tcW w:type="dxa" w:w="5184"/>
          </w:tcPr>
          <w:p>
            <w:pPr>
              <w:spacing w:after="40" w:before="40"/>
            </w:pPr>
            <w:r/>
            <w:r>
              <w:rPr>
                <w:rFonts w:ascii="Calibri" w:hAnsi="Calibri"/>
                <w:b w:val="0"/>
                <w:sz w:val="19"/>
              </w:rPr>
              <w:t>Grant income (nonoperating)</w:t>
            </w:r>
          </w:p>
        </w:tc>
        <w:tc>
          <w:tcPr>
            <w:tcW w:type="dxa" w:w="2880"/>
          </w:tcPr>
          <w:p>
            <w:pPr>
              <w:spacing w:after="40" w:before="40"/>
              <w:jc w:val="right"/>
            </w:pPr>
            <w:r/>
            <w:r>
              <w:rPr>
                <w:rFonts w:ascii="Calibri" w:hAnsi="Calibri"/>
                <w:b w:val="0"/>
                <w:sz w:val="19"/>
              </w:rPr>
              <w:t>$1,063,160</w:t>
            </w:r>
          </w:p>
        </w:tc>
      </w:tr>
      <w:tr>
        <w:tc>
          <w:tcPr>
            <w:tcW w:type="dxa" w:w="5184"/>
            <w:shd w:val="clear" w:color="auto" w:fill="F2F6FA"/>
          </w:tcPr>
          <w:p>
            <w:pPr>
              <w:spacing w:after="40" w:before="40"/>
            </w:pPr>
            <w:r/>
            <w:r>
              <w:rPr>
                <w:rFonts w:ascii="Calibri" w:hAnsi="Calibri"/>
                <w:b w:val="0"/>
                <w:sz w:val="19"/>
              </w:rPr>
              <w:t>Net income (grant-supported)</w:t>
            </w:r>
          </w:p>
        </w:tc>
        <w:tc>
          <w:tcPr>
            <w:tcW w:type="dxa" w:w="2880"/>
            <w:shd w:val="clear" w:color="auto" w:fill="F2F6FA"/>
          </w:tcPr>
          <w:p>
            <w:pPr>
              <w:spacing w:after="40" w:before="40"/>
              <w:jc w:val="right"/>
            </w:pPr>
            <w:r/>
            <w:r>
              <w:rPr>
                <w:rFonts w:ascii="Calibri" w:hAnsi="Calibri"/>
                <w:b w:val="0"/>
                <w:sz w:val="19"/>
              </w:rPr>
              <w:t>$512,854</w:t>
            </w:r>
          </w:p>
        </w:tc>
      </w:tr>
    </w:tbl>
    <w:p>
      <w:pPr>
        <w:spacing w:after="40"/>
      </w:pPr>
    </w:p>
    <w:p>
      <w:pPr>
        <w:spacing w:after="120"/>
      </w:pPr>
      <w:r>
        <w:rPr>
          <w:i w:val="0"/>
          <w:sz w:val="20"/>
        </w:rPr>
        <w:t>RIVR Tech currently operates at roughly EBITDA break-even (a slight operating loss) on about $4.1M of annualized revenue, and is net-income-positive because of substantial grant funding. The five-year plan's central task is to scale subscribers and revenue to durable EBITDA profitability while managing existing debt service (~$0.46M/yr interest).</w:t>
      </w:r>
    </w:p>
    <w:p>
      <w:pPr>
        <w:pStyle w:val="Heading2"/>
      </w:pPr>
      <w:r>
        <w:rPr>
          <w:rFonts w:ascii="Calibri" w:hAnsi="Calibri"/>
          <w:color w:val="2E7D8A"/>
          <w:sz w:val="25"/>
        </w:rPr>
        <w:t>Grant awards</w:t>
      </w:r>
    </w:p>
    <w:p>
      <w:pPr>
        <w:spacing w:after="120"/>
      </w:pPr>
      <w:r>
        <w:rPr>
          <w:i w:val="0"/>
          <w:sz w:val="21"/>
        </w:rPr>
        <w:t>RIVR Tech has been awarded approximately $11.6M in construction grants that fund network expansion into unserved and underserved areas:</w:t>
      </w:r>
    </w:p>
    <w:tbl>
      <w:tblPr>
        <w:tblStyle w:val="TableGrid"/>
        <w:tblW w:type="auto" w:w="0"/>
        <w:jc w:val="center"/>
        <w:tblLook w:firstColumn="1" w:firstRow="1" w:lastColumn="0" w:lastRow="0" w:noHBand="0" w:noVBand="1" w:val="04A0"/>
      </w:tblPr>
      <w:tblGrid>
        <w:gridCol w:w="4320"/>
        <w:gridCol w:w="4320"/>
      </w:tblGrid>
      <w:tr>
        <w:tc>
          <w:tcPr>
            <w:tcW w:type="dxa" w:w="5184"/>
            <w:shd w:val="clear" w:color="auto" w:fill="1F3B4D"/>
          </w:tcPr>
          <w:p>
            <w:pPr>
              <w:spacing w:after="40" w:before="40"/>
            </w:pPr>
            <w:r/>
            <w:r>
              <w:rPr>
                <w:rFonts w:ascii="Calibri" w:hAnsi="Calibri"/>
                <w:b/>
                <w:color w:val="FFFFFF"/>
                <w:sz w:val="19"/>
              </w:rPr>
              <w:t>Grant program</w:t>
            </w:r>
          </w:p>
        </w:tc>
        <w:tc>
          <w:tcPr>
            <w:tcW w:type="dxa" w:w="2880"/>
            <w:shd w:val="clear" w:color="auto" w:fill="1F3B4D"/>
          </w:tcPr>
          <w:p>
            <w:pPr>
              <w:spacing w:after="40" w:before="40"/>
              <w:jc w:val="center"/>
            </w:pPr>
            <w:r/>
            <w:r>
              <w:rPr>
                <w:rFonts w:ascii="Calibri" w:hAnsi="Calibri"/>
                <w:b/>
                <w:color w:val="FFFFFF"/>
                <w:sz w:val="19"/>
              </w:rPr>
              <w:t>Award</w:t>
            </w:r>
          </w:p>
        </w:tc>
      </w:tr>
      <w:tr>
        <w:tc>
          <w:tcPr>
            <w:tcW w:type="dxa" w:w="5184"/>
          </w:tcPr>
          <w:p>
            <w:pPr>
              <w:spacing w:after="40" w:before="40"/>
            </w:pPr>
            <w:r/>
            <w:r>
              <w:rPr>
                <w:rFonts w:ascii="Calibri" w:hAnsi="Calibri"/>
                <w:b w:val="0"/>
                <w:sz w:val="19"/>
              </w:rPr>
              <w:t>CAB 2.0 — Hoke County</w:t>
            </w:r>
          </w:p>
        </w:tc>
        <w:tc>
          <w:tcPr>
            <w:tcW w:type="dxa" w:w="2880"/>
          </w:tcPr>
          <w:p>
            <w:pPr>
              <w:spacing w:after="40" w:before="40"/>
              <w:jc w:val="right"/>
            </w:pPr>
            <w:r/>
            <w:r>
              <w:rPr>
                <w:rFonts w:ascii="Calibri" w:hAnsi="Calibri"/>
                <w:b w:val="0"/>
                <w:sz w:val="19"/>
              </w:rPr>
              <w:t>$3,295,657</w:t>
            </w:r>
          </w:p>
        </w:tc>
      </w:tr>
      <w:tr>
        <w:tc>
          <w:tcPr>
            <w:tcW w:type="dxa" w:w="5184"/>
            <w:shd w:val="clear" w:color="auto" w:fill="F2F6FA"/>
          </w:tcPr>
          <w:p>
            <w:pPr>
              <w:spacing w:after="40" w:before="40"/>
            </w:pPr>
            <w:r/>
            <w:r>
              <w:rPr>
                <w:rFonts w:ascii="Calibri" w:hAnsi="Calibri"/>
                <w:b w:val="0"/>
                <w:sz w:val="19"/>
              </w:rPr>
              <w:t>CAB 2.0 — Scotland County</w:t>
            </w:r>
          </w:p>
        </w:tc>
        <w:tc>
          <w:tcPr>
            <w:tcW w:type="dxa" w:w="2880"/>
            <w:shd w:val="clear" w:color="auto" w:fill="F2F6FA"/>
          </w:tcPr>
          <w:p>
            <w:pPr>
              <w:spacing w:after="40" w:before="40"/>
              <w:jc w:val="right"/>
            </w:pPr>
            <w:r/>
            <w:r>
              <w:rPr>
                <w:rFonts w:ascii="Calibri" w:hAnsi="Calibri"/>
                <w:b w:val="0"/>
                <w:sz w:val="19"/>
              </w:rPr>
              <w:t>$1,932,610</w:t>
            </w:r>
          </w:p>
        </w:tc>
      </w:tr>
      <w:tr>
        <w:tc>
          <w:tcPr>
            <w:tcW w:type="dxa" w:w="5184"/>
          </w:tcPr>
          <w:p>
            <w:pPr>
              <w:spacing w:after="40" w:before="40"/>
            </w:pPr>
            <w:r/>
            <w:r>
              <w:rPr>
                <w:rFonts w:ascii="Calibri" w:hAnsi="Calibri"/>
                <w:b w:val="0"/>
                <w:sz w:val="19"/>
              </w:rPr>
              <w:t>CAB 2.0 — Robeson County</w:t>
            </w:r>
          </w:p>
        </w:tc>
        <w:tc>
          <w:tcPr>
            <w:tcW w:type="dxa" w:w="2880"/>
          </w:tcPr>
          <w:p>
            <w:pPr>
              <w:spacing w:after="40" w:before="40"/>
              <w:jc w:val="right"/>
            </w:pPr>
            <w:r/>
            <w:r>
              <w:rPr>
                <w:rFonts w:ascii="Calibri" w:hAnsi="Calibri"/>
                <w:b w:val="0"/>
                <w:sz w:val="19"/>
              </w:rPr>
              <w:t>$3,116,391</w:t>
            </w:r>
          </w:p>
        </w:tc>
      </w:tr>
      <w:tr>
        <w:tc>
          <w:tcPr>
            <w:tcW w:type="dxa" w:w="5184"/>
            <w:shd w:val="clear" w:color="auto" w:fill="F2F6FA"/>
          </w:tcPr>
          <w:p>
            <w:pPr>
              <w:spacing w:after="40" w:before="40"/>
            </w:pPr>
            <w:r/>
            <w:r>
              <w:rPr>
                <w:rFonts w:ascii="Calibri" w:hAnsi="Calibri"/>
                <w:b w:val="0"/>
                <w:sz w:val="19"/>
              </w:rPr>
              <w:t>NC Stop GAP (Hoke/Scotland/Robeson)</w:t>
            </w:r>
          </w:p>
        </w:tc>
        <w:tc>
          <w:tcPr>
            <w:tcW w:type="dxa" w:w="2880"/>
            <w:shd w:val="clear" w:color="auto" w:fill="F2F6FA"/>
          </w:tcPr>
          <w:p>
            <w:pPr>
              <w:spacing w:after="40" w:before="40"/>
              <w:jc w:val="right"/>
            </w:pPr>
            <w:r/>
            <w:r>
              <w:rPr>
                <w:rFonts w:ascii="Calibri" w:hAnsi="Calibri"/>
                <w:b w:val="0"/>
                <w:sz w:val="19"/>
              </w:rPr>
              <w:t>$2,812,776 ($1.6M reimbursed)</w:t>
            </w:r>
          </w:p>
        </w:tc>
      </w:tr>
      <w:tr>
        <w:tc>
          <w:tcPr>
            <w:tcW w:type="dxa" w:w="5184"/>
          </w:tcPr>
          <w:p>
            <w:pPr>
              <w:spacing w:after="40" w:before="40"/>
            </w:pPr>
            <w:r/>
            <w:r>
              <w:rPr>
                <w:rFonts w:ascii="Calibri" w:hAnsi="Calibri"/>
                <w:b w:val="0"/>
                <w:sz w:val="19"/>
              </w:rPr>
              <w:t>BTAP (engineering grant)</w:t>
            </w:r>
          </w:p>
        </w:tc>
        <w:tc>
          <w:tcPr>
            <w:tcW w:type="dxa" w:w="2880"/>
          </w:tcPr>
          <w:p>
            <w:pPr>
              <w:spacing w:after="40" w:before="40"/>
              <w:jc w:val="right"/>
            </w:pPr>
            <w:r/>
            <w:r>
              <w:rPr>
                <w:rFonts w:ascii="Calibri" w:hAnsi="Calibri"/>
                <w:b w:val="0"/>
                <w:sz w:val="19"/>
              </w:rPr>
              <w:t>$419,000</w:t>
            </w:r>
          </w:p>
        </w:tc>
      </w:tr>
      <w:tr>
        <w:tc>
          <w:tcPr>
            <w:tcW w:type="dxa" w:w="5184"/>
            <w:shd w:val="clear" w:color="auto" w:fill="E9EFF4"/>
          </w:tcPr>
          <w:p>
            <w:pPr>
              <w:spacing w:after="40" w:before="40"/>
            </w:pPr>
            <w:r/>
            <w:r>
              <w:rPr>
                <w:rFonts w:ascii="Calibri" w:hAnsi="Calibri"/>
                <w:b/>
                <w:sz w:val="19"/>
              </w:rPr>
              <w:t>Total identified awards</w:t>
            </w:r>
          </w:p>
        </w:tc>
        <w:tc>
          <w:tcPr>
            <w:tcW w:type="dxa" w:w="2880"/>
            <w:shd w:val="clear" w:color="auto" w:fill="E9EFF4"/>
          </w:tcPr>
          <w:p>
            <w:pPr>
              <w:spacing w:after="40" w:before="40"/>
              <w:jc w:val="right"/>
            </w:pPr>
            <w:r/>
            <w:r>
              <w:rPr>
                <w:rFonts w:ascii="Calibri" w:hAnsi="Calibri"/>
                <w:b/>
                <w:sz w:val="19"/>
              </w:rPr>
              <w:t>$11,576,434</w:t>
            </w:r>
          </w:p>
        </w:tc>
      </w:tr>
    </w:tbl>
    <w:p>
      <w:pPr>
        <w:spacing w:after="40"/>
      </w:pPr>
    </w:p>
    <w:p>
      <w:pPr>
        <w:spacing w:after="120"/>
      </w:pPr>
      <w:r>
        <w:rPr>
          <w:i/>
          <w:color w:val="606060"/>
          <w:sz w:val="19"/>
        </w:rPr>
        <w:t>Grant construction reimbursement offsets a meaningful share of the capital program and is modeled as a nonoperating funding source; more than $2M of underground new-build has been identified as eligible for reimbursement.</w:t>
      </w:r>
    </w:p>
    <w:p>
      <w:pPr>
        <w:pStyle w:val="Heading1"/>
      </w:pPr>
      <w:r>
        <w:rPr>
          <w:rFonts w:ascii="Calibri" w:hAnsi="Calibri"/>
          <w:color w:val="1F3B4D"/>
          <w:sz w:val="32"/>
        </w:rPr>
        <w:t>3. Strategic Objectives</w:t>
      </w:r>
    </w:p>
    <w:p>
      <w:pPr>
        <w:pStyle w:val="ListBullet"/>
        <w:spacing w:after="60"/>
      </w:pPr>
      <w:r>
        <w:rPr>
          <w:b/>
        </w:rPr>
        <w:t xml:space="preserve">Sustainable growth: </w:t>
      </w:r>
      <w:r>
        <w:t xml:space="preserve"> Grow the internet base to ~11,425 by 2031 while holding churn low and lifting EBITDA margin above 25%.</w:t>
      </w:r>
    </w:p>
    <w:p>
      <w:pPr>
        <w:pStyle w:val="ListBullet"/>
        <w:spacing w:after="60"/>
      </w:pPr>
      <w:r>
        <w:rPr>
          <w:b/>
        </w:rPr>
        <w:t xml:space="preserve">Disciplined capital deployment: </w:t>
      </w:r>
      <w:r>
        <w:t xml:space="preserve"> Deploy the $10M/yr program against demand-led, ROI-gated projects; hold reserves rather than force spend.</w:t>
      </w:r>
    </w:p>
    <w:p>
      <w:pPr>
        <w:pStyle w:val="ListBullet"/>
        <w:spacing w:after="60"/>
      </w:pPr>
      <w:r>
        <w:rPr>
          <w:b/>
        </w:rPr>
        <w:t xml:space="preserve">Network reliability: </w:t>
      </w:r>
      <w:r>
        <w:t xml:space="preserve"> Maintain ≥99.85% availability through redundancy, monitoring, and a funded lifecycle-refresh program.</w:t>
      </w:r>
    </w:p>
    <w:p>
      <w:pPr>
        <w:pStyle w:val="ListBullet"/>
        <w:spacing w:after="60"/>
      </w:pPr>
      <w:r>
        <w:rPr>
          <w:b/>
        </w:rPr>
        <w:t xml:space="preserve">Customer experience: </w:t>
      </w:r>
      <w:r>
        <w:t xml:space="preserve"> Shorten installation intervals, reduce repeat trouble tickets, and protect retention.</w:t>
      </w:r>
    </w:p>
    <w:p>
      <w:pPr>
        <w:pStyle w:val="ListBullet"/>
        <w:spacing w:after="60"/>
      </w:pPr>
      <w:r>
        <w:rPr>
          <w:b/>
        </w:rPr>
        <w:t xml:space="preserve">Financial sustainability: </w:t>
      </w:r>
      <w:r>
        <w:t xml:space="preserve"> Reach EBITDA self-sufficiency for operations while the capital program funds expansion; converge toward free-cash-flow breakeven beyond the plan.</w:t>
      </w:r>
    </w:p>
    <w:p>
      <w:pPr>
        <w:pStyle w:val="ListBullet"/>
        <w:spacing w:after="60"/>
      </w:pPr>
      <w:r>
        <w:rPr>
          <w:b/>
        </w:rPr>
        <w:t xml:space="preserve">Community &amp; tribal partnerships: </w:t>
      </w:r>
      <w:r>
        <w:t xml:space="preserve"> Extend service to unserved and underserved areas, leveraging grants and local partnerships including the Lumbee community.</w:t>
      </w:r>
    </w:p>
    <w:p>
      <w:r>
        <w:br w:type="page"/>
      </w:r>
    </w:p>
    <w:p>
      <w:pPr>
        <w:pStyle w:val="Heading1"/>
      </w:pPr>
      <w:r>
        <w:rPr>
          <w:rFonts w:ascii="Calibri" w:hAnsi="Calibri"/>
          <w:color w:val="1F3B4D"/>
          <w:sz w:val="32"/>
        </w:rPr>
        <w:t>4. Market &amp; Growth Strategy</w:t>
      </w:r>
    </w:p>
    <w:p>
      <w:pPr>
        <w:spacing w:after="120"/>
      </w:pPr>
      <w:r>
        <w:rPr>
          <w:i w:val="0"/>
          <w:sz w:val="21"/>
        </w:rPr>
        <w:t>RIVR Tech competes primarily against DSL, fixed wireless, and incumbent cable in a rural and semi-rural footprint where fiber remains underbuilt. The company's advantages are reliability, local service, and symmetrical fiber speeds. Growth is driven by (1) extending the fiber footprint (new passings), (2) converting passings to subscribers (take rate), and (3) expanding higher-ARPU business and enterprise revenue.</w:t>
      </w:r>
    </w:p>
    <w:p>
      <w:pPr>
        <w:pStyle w:val="Heading2"/>
      </w:pPr>
      <w:r>
        <w:rPr>
          <w:rFonts w:ascii="Calibri" w:hAnsi="Calibri"/>
          <w:color w:val="2E7D8A"/>
          <w:sz w:val="25"/>
        </w:rPr>
        <w:t>Passings, take rate, and penetration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456"/>
            <w:shd w:val="clear" w:color="auto" w:fill="1F3B4D"/>
          </w:tcPr>
          <w:p>
            <w:pPr>
              <w:spacing w:after="40" w:before="40"/>
            </w:pPr>
            <w:r/>
            <w:r>
              <w:rPr>
                <w:rFonts w:ascii="Calibri" w:hAnsi="Calibri"/>
                <w:b/>
                <w:color w:val="FFFFFF"/>
                <w:sz w:val="19"/>
              </w:rPr>
              <w:t>Driver</w:t>
            </w:r>
          </w:p>
        </w:tc>
        <w:tc>
          <w:tcPr>
            <w:tcW w:type="dxa" w:w="1440"/>
            <w:shd w:val="clear" w:color="auto" w:fill="1F3B4D"/>
          </w:tcPr>
          <w:p>
            <w:pPr>
              <w:spacing w:after="40" w:before="40"/>
              <w:jc w:val="center"/>
            </w:pPr>
            <w:r/>
            <w:r>
              <w:rPr>
                <w:rFonts w:ascii="Calibri" w:hAnsi="Calibri"/>
                <w:b/>
                <w:color w:val="FFFFFF"/>
                <w:sz w:val="19"/>
              </w:rPr>
              <w:t>2027</w:t>
            </w:r>
          </w:p>
        </w:tc>
        <w:tc>
          <w:tcPr>
            <w:tcW w:type="dxa" w:w="1440"/>
            <w:shd w:val="clear" w:color="auto" w:fill="1F3B4D"/>
          </w:tcPr>
          <w:p>
            <w:pPr>
              <w:spacing w:after="40" w:before="40"/>
              <w:jc w:val="center"/>
            </w:pPr>
            <w:r/>
            <w:r>
              <w:rPr>
                <w:rFonts w:ascii="Calibri" w:hAnsi="Calibri"/>
                <w:b/>
                <w:color w:val="FFFFFF"/>
                <w:sz w:val="19"/>
              </w:rPr>
              <w:t>2028</w:t>
            </w:r>
          </w:p>
        </w:tc>
        <w:tc>
          <w:tcPr>
            <w:tcW w:type="dxa" w:w="1440"/>
            <w:shd w:val="clear" w:color="auto" w:fill="1F3B4D"/>
          </w:tcPr>
          <w:p>
            <w:pPr>
              <w:spacing w:after="40" w:before="40"/>
              <w:jc w:val="center"/>
            </w:pPr>
            <w:r/>
            <w:r>
              <w:rPr>
                <w:rFonts w:ascii="Calibri" w:hAnsi="Calibri"/>
                <w:b/>
                <w:color w:val="FFFFFF"/>
                <w:sz w:val="19"/>
              </w:rPr>
              <w:t>2029</w:t>
            </w:r>
          </w:p>
        </w:tc>
        <w:tc>
          <w:tcPr>
            <w:tcW w:type="dxa" w:w="1440"/>
            <w:shd w:val="clear" w:color="auto" w:fill="1F3B4D"/>
          </w:tcPr>
          <w:p>
            <w:pPr>
              <w:spacing w:after="40" w:before="40"/>
              <w:jc w:val="center"/>
            </w:pPr>
            <w:r/>
            <w:r>
              <w:rPr>
                <w:rFonts w:ascii="Calibri" w:hAnsi="Calibri"/>
                <w:b/>
                <w:color w:val="FFFFFF"/>
                <w:sz w:val="19"/>
              </w:rPr>
              <w:t>2030</w:t>
            </w:r>
          </w:p>
        </w:tc>
        <w:tc>
          <w:tcPr>
            <w:tcW w:type="dxa" w:w="1440"/>
            <w:shd w:val="clear" w:color="auto" w:fill="1F3B4D"/>
          </w:tcPr>
          <w:p>
            <w:pPr>
              <w:spacing w:after="40" w:before="40"/>
              <w:jc w:val="center"/>
            </w:pPr>
            <w:r/>
            <w:r>
              <w:rPr>
                <w:rFonts w:ascii="Calibri" w:hAnsi="Calibri"/>
                <w:b/>
                <w:color w:val="FFFFFF"/>
                <w:sz w:val="19"/>
              </w:rPr>
              <w:t>2031</w:t>
            </w:r>
          </w:p>
        </w:tc>
      </w:tr>
      <w:tr>
        <w:tc>
          <w:tcPr>
            <w:tcW w:type="dxa" w:w="3456"/>
          </w:tcPr>
          <w:p>
            <w:pPr>
              <w:spacing w:after="40" w:before="40"/>
            </w:pPr>
            <w:r/>
            <w:r>
              <w:rPr>
                <w:rFonts w:ascii="Calibri" w:hAnsi="Calibri"/>
                <w:b w:val="0"/>
                <w:sz w:val="19"/>
              </w:rPr>
              <w:t>Homes &amp; businesses passed</w:t>
            </w:r>
          </w:p>
        </w:tc>
        <w:tc>
          <w:tcPr>
            <w:tcW w:type="dxa" w:w="1440"/>
          </w:tcPr>
          <w:p>
            <w:pPr>
              <w:spacing w:after="40" w:before="40"/>
              <w:jc w:val="right"/>
            </w:pPr>
            <w:r/>
            <w:r>
              <w:rPr>
                <w:rFonts w:ascii="Calibri" w:hAnsi="Calibri"/>
                <w:b w:val="0"/>
                <w:sz w:val="19"/>
              </w:rPr>
              <w:t>17,050</w:t>
            </w:r>
          </w:p>
        </w:tc>
        <w:tc>
          <w:tcPr>
            <w:tcW w:type="dxa" w:w="1440"/>
          </w:tcPr>
          <w:p>
            <w:pPr>
              <w:spacing w:after="40" w:before="40"/>
              <w:jc w:val="right"/>
            </w:pPr>
            <w:r/>
            <w:r>
              <w:rPr>
                <w:rFonts w:ascii="Calibri" w:hAnsi="Calibri"/>
                <w:b w:val="0"/>
                <w:sz w:val="19"/>
              </w:rPr>
              <w:t>21,550</w:t>
            </w:r>
          </w:p>
        </w:tc>
        <w:tc>
          <w:tcPr>
            <w:tcW w:type="dxa" w:w="1440"/>
          </w:tcPr>
          <w:p>
            <w:pPr>
              <w:spacing w:after="40" w:before="40"/>
              <w:jc w:val="right"/>
            </w:pPr>
            <w:r/>
            <w:r>
              <w:rPr>
                <w:rFonts w:ascii="Calibri" w:hAnsi="Calibri"/>
                <w:b w:val="0"/>
                <w:sz w:val="19"/>
              </w:rPr>
              <w:t>25,725</w:t>
            </w:r>
          </w:p>
        </w:tc>
        <w:tc>
          <w:tcPr>
            <w:tcW w:type="dxa" w:w="1440"/>
          </w:tcPr>
          <w:p>
            <w:pPr>
              <w:spacing w:after="40" w:before="40"/>
              <w:jc w:val="right"/>
            </w:pPr>
            <w:r/>
            <w:r>
              <w:rPr>
                <w:rFonts w:ascii="Calibri" w:hAnsi="Calibri"/>
                <w:b w:val="0"/>
                <w:sz w:val="19"/>
              </w:rPr>
              <w:t>29,575</w:t>
            </w:r>
          </w:p>
        </w:tc>
        <w:tc>
          <w:tcPr>
            <w:tcW w:type="dxa" w:w="1440"/>
          </w:tcPr>
          <w:p>
            <w:pPr>
              <w:spacing w:after="40" w:before="40"/>
              <w:jc w:val="right"/>
            </w:pPr>
            <w:r/>
            <w:r>
              <w:rPr>
                <w:rFonts w:ascii="Calibri" w:hAnsi="Calibri"/>
                <w:b w:val="0"/>
                <w:sz w:val="19"/>
              </w:rPr>
              <w:t>33,100</w:t>
            </w:r>
          </w:p>
        </w:tc>
      </w:tr>
      <w:tr>
        <w:tc>
          <w:tcPr>
            <w:tcW w:type="dxa" w:w="3456"/>
            <w:shd w:val="clear" w:color="auto" w:fill="F2F6FA"/>
          </w:tcPr>
          <w:p>
            <w:pPr>
              <w:spacing w:after="40" w:before="40"/>
            </w:pPr>
            <w:r/>
            <w:r>
              <w:rPr>
                <w:rFonts w:ascii="Calibri" w:hAnsi="Calibri"/>
                <w:b w:val="0"/>
                <w:sz w:val="19"/>
              </w:rPr>
              <w:t>New passings added</w:t>
            </w:r>
          </w:p>
        </w:tc>
        <w:tc>
          <w:tcPr>
            <w:tcW w:type="dxa" w:w="1440"/>
            <w:shd w:val="clear" w:color="auto" w:fill="F2F6FA"/>
          </w:tcPr>
          <w:p>
            <w:pPr>
              <w:spacing w:after="40" w:before="40"/>
              <w:jc w:val="right"/>
            </w:pPr>
            <w:r/>
            <w:r>
              <w:rPr>
                <w:rFonts w:ascii="Calibri" w:hAnsi="Calibri"/>
                <w:b w:val="0"/>
                <w:sz w:val="19"/>
              </w:rPr>
              <w:t>4,800</w:t>
            </w:r>
          </w:p>
        </w:tc>
        <w:tc>
          <w:tcPr>
            <w:tcW w:type="dxa" w:w="1440"/>
            <w:shd w:val="clear" w:color="auto" w:fill="F2F6FA"/>
          </w:tcPr>
          <w:p>
            <w:pPr>
              <w:spacing w:after="40" w:before="40"/>
              <w:jc w:val="right"/>
            </w:pPr>
            <w:r/>
            <w:r>
              <w:rPr>
                <w:rFonts w:ascii="Calibri" w:hAnsi="Calibri"/>
                <w:b w:val="0"/>
                <w:sz w:val="19"/>
              </w:rPr>
              <w:t>4,500</w:t>
            </w:r>
          </w:p>
        </w:tc>
        <w:tc>
          <w:tcPr>
            <w:tcW w:type="dxa" w:w="1440"/>
            <w:shd w:val="clear" w:color="auto" w:fill="F2F6FA"/>
          </w:tcPr>
          <w:p>
            <w:pPr>
              <w:spacing w:after="40" w:before="40"/>
              <w:jc w:val="right"/>
            </w:pPr>
            <w:r/>
            <w:r>
              <w:rPr>
                <w:rFonts w:ascii="Calibri" w:hAnsi="Calibri"/>
                <w:b w:val="0"/>
                <w:sz w:val="19"/>
              </w:rPr>
              <w:t>4,175</w:t>
            </w:r>
          </w:p>
        </w:tc>
        <w:tc>
          <w:tcPr>
            <w:tcW w:type="dxa" w:w="1440"/>
            <w:shd w:val="clear" w:color="auto" w:fill="F2F6FA"/>
          </w:tcPr>
          <w:p>
            <w:pPr>
              <w:spacing w:after="40" w:before="40"/>
              <w:jc w:val="right"/>
            </w:pPr>
            <w:r/>
            <w:r>
              <w:rPr>
                <w:rFonts w:ascii="Calibri" w:hAnsi="Calibri"/>
                <w:b w:val="0"/>
                <w:sz w:val="19"/>
              </w:rPr>
              <w:t>3,850</w:t>
            </w:r>
          </w:p>
        </w:tc>
        <w:tc>
          <w:tcPr>
            <w:tcW w:type="dxa" w:w="1440"/>
            <w:shd w:val="clear" w:color="auto" w:fill="F2F6FA"/>
          </w:tcPr>
          <w:p>
            <w:pPr>
              <w:spacing w:after="40" w:before="40"/>
              <w:jc w:val="right"/>
            </w:pPr>
            <w:r/>
            <w:r>
              <w:rPr>
                <w:rFonts w:ascii="Calibri" w:hAnsi="Calibri"/>
                <w:b w:val="0"/>
                <w:sz w:val="19"/>
              </w:rPr>
              <w:t>3,525</w:t>
            </w:r>
          </w:p>
        </w:tc>
      </w:tr>
      <w:tr>
        <w:tc>
          <w:tcPr>
            <w:tcW w:type="dxa" w:w="3456"/>
          </w:tcPr>
          <w:p>
            <w:pPr>
              <w:spacing w:after="40" w:before="40"/>
            </w:pPr>
            <w:r/>
            <w:r>
              <w:rPr>
                <w:rFonts w:ascii="Calibri" w:hAnsi="Calibri"/>
                <w:b w:val="0"/>
                <w:sz w:val="19"/>
              </w:rPr>
              <w:t>Ending subscribers</w:t>
            </w:r>
          </w:p>
        </w:tc>
        <w:tc>
          <w:tcPr>
            <w:tcW w:type="dxa" w:w="1440"/>
          </w:tcPr>
          <w:p>
            <w:pPr>
              <w:spacing w:after="40" w:before="40"/>
              <w:jc w:val="right"/>
            </w:pPr>
            <w:r/>
            <w:r>
              <w:rPr>
                <w:rFonts w:ascii="Calibri" w:hAnsi="Calibri"/>
                <w:b w:val="0"/>
                <w:sz w:val="19"/>
              </w:rPr>
              <w:t>6,180</w:t>
            </w:r>
          </w:p>
        </w:tc>
        <w:tc>
          <w:tcPr>
            <w:tcW w:type="dxa" w:w="1440"/>
          </w:tcPr>
          <w:p>
            <w:pPr>
              <w:spacing w:after="40" w:before="40"/>
              <w:jc w:val="right"/>
            </w:pPr>
            <w:r/>
            <w:r>
              <w:rPr>
                <w:rFonts w:ascii="Calibri" w:hAnsi="Calibri"/>
                <w:b w:val="0"/>
                <w:sz w:val="19"/>
              </w:rPr>
              <w:t>7,733</w:t>
            </w:r>
          </w:p>
        </w:tc>
        <w:tc>
          <w:tcPr>
            <w:tcW w:type="dxa" w:w="1440"/>
          </w:tcPr>
          <w:p>
            <w:pPr>
              <w:spacing w:after="40" w:before="40"/>
              <w:jc w:val="right"/>
            </w:pPr>
            <w:r/>
            <w:r>
              <w:rPr>
                <w:rFonts w:ascii="Calibri" w:hAnsi="Calibri"/>
                <w:b w:val="0"/>
                <w:sz w:val="19"/>
              </w:rPr>
              <w:t>9,236</w:t>
            </w:r>
          </w:p>
        </w:tc>
        <w:tc>
          <w:tcPr>
            <w:tcW w:type="dxa" w:w="1440"/>
          </w:tcPr>
          <w:p>
            <w:pPr>
              <w:spacing w:after="40" w:before="40"/>
              <w:jc w:val="right"/>
            </w:pPr>
            <w:r/>
            <w:r>
              <w:rPr>
                <w:rFonts w:ascii="Calibri" w:hAnsi="Calibri"/>
                <w:b w:val="0"/>
                <w:sz w:val="19"/>
              </w:rPr>
              <w:t>10,477</w:t>
            </w:r>
          </w:p>
        </w:tc>
        <w:tc>
          <w:tcPr>
            <w:tcW w:type="dxa" w:w="1440"/>
          </w:tcPr>
          <w:p>
            <w:pPr>
              <w:spacing w:after="40" w:before="40"/>
              <w:jc w:val="right"/>
            </w:pPr>
            <w:r/>
            <w:r>
              <w:rPr>
                <w:rFonts w:ascii="Calibri" w:hAnsi="Calibri"/>
                <w:b w:val="0"/>
                <w:sz w:val="19"/>
              </w:rPr>
              <w:t>11,425</w:t>
            </w:r>
          </w:p>
        </w:tc>
      </w:tr>
      <w:tr>
        <w:tc>
          <w:tcPr>
            <w:tcW w:type="dxa" w:w="3456"/>
            <w:shd w:val="clear" w:color="auto" w:fill="F2F6FA"/>
          </w:tcPr>
          <w:p>
            <w:pPr>
              <w:spacing w:after="40" w:before="40"/>
            </w:pPr>
            <w:r/>
            <w:r>
              <w:rPr>
                <w:rFonts w:ascii="Calibri" w:hAnsi="Calibri"/>
                <w:b w:val="0"/>
                <w:sz w:val="19"/>
              </w:rPr>
              <w:t>Take rate</w:t>
            </w:r>
          </w:p>
        </w:tc>
        <w:tc>
          <w:tcPr>
            <w:tcW w:type="dxa" w:w="1440"/>
            <w:shd w:val="clear" w:color="auto" w:fill="F2F6FA"/>
          </w:tcPr>
          <w:p>
            <w:pPr>
              <w:spacing w:after="40" w:before="40"/>
              <w:jc w:val="right"/>
            </w:pPr>
            <w:r/>
            <w:r>
              <w:rPr>
                <w:rFonts w:ascii="Calibri" w:hAnsi="Calibri"/>
                <w:b w:val="0"/>
                <w:sz w:val="19"/>
              </w:rPr>
              <w:t>36.2%</w:t>
            </w:r>
          </w:p>
        </w:tc>
        <w:tc>
          <w:tcPr>
            <w:tcW w:type="dxa" w:w="1440"/>
            <w:shd w:val="clear" w:color="auto" w:fill="F2F6FA"/>
          </w:tcPr>
          <w:p>
            <w:pPr>
              <w:spacing w:after="40" w:before="40"/>
              <w:jc w:val="right"/>
            </w:pPr>
            <w:r/>
            <w:r>
              <w:rPr>
                <w:rFonts w:ascii="Calibri" w:hAnsi="Calibri"/>
                <w:b w:val="0"/>
                <w:sz w:val="19"/>
              </w:rPr>
              <w:t>35.9%</w:t>
            </w:r>
          </w:p>
        </w:tc>
        <w:tc>
          <w:tcPr>
            <w:tcW w:type="dxa" w:w="1440"/>
            <w:shd w:val="clear" w:color="auto" w:fill="F2F6FA"/>
          </w:tcPr>
          <w:p>
            <w:pPr>
              <w:spacing w:after="40" w:before="40"/>
              <w:jc w:val="right"/>
            </w:pPr>
            <w:r/>
            <w:r>
              <w:rPr>
                <w:rFonts w:ascii="Calibri" w:hAnsi="Calibri"/>
                <w:b w:val="0"/>
                <w:sz w:val="19"/>
              </w:rPr>
              <w:t>35.9%</w:t>
            </w:r>
          </w:p>
        </w:tc>
        <w:tc>
          <w:tcPr>
            <w:tcW w:type="dxa" w:w="1440"/>
            <w:shd w:val="clear" w:color="auto" w:fill="F2F6FA"/>
          </w:tcPr>
          <w:p>
            <w:pPr>
              <w:spacing w:after="40" w:before="40"/>
              <w:jc w:val="right"/>
            </w:pPr>
            <w:r/>
            <w:r>
              <w:rPr>
                <w:rFonts w:ascii="Calibri" w:hAnsi="Calibri"/>
                <w:b w:val="0"/>
                <w:sz w:val="19"/>
              </w:rPr>
              <w:t>35.4%</w:t>
            </w:r>
          </w:p>
        </w:tc>
        <w:tc>
          <w:tcPr>
            <w:tcW w:type="dxa" w:w="1440"/>
            <w:shd w:val="clear" w:color="auto" w:fill="F2F6FA"/>
          </w:tcPr>
          <w:p>
            <w:pPr>
              <w:spacing w:after="40" w:before="40"/>
              <w:jc w:val="right"/>
            </w:pPr>
            <w:r/>
            <w:r>
              <w:rPr>
                <w:rFonts w:ascii="Calibri" w:hAnsi="Calibri"/>
                <w:b w:val="0"/>
                <w:sz w:val="19"/>
              </w:rPr>
              <w:t>34.5%</w:t>
            </w:r>
          </w:p>
        </w:tc>
      </w:tr>
      <w:tr>
        <w:tc>
          <w:tcPr>
            <w:tcW w:type="dxa" w:w="3456"/>
          </w:tcPr>
          <w:p>
            <w:pPr>
              <w:spacing w:after="40" w:before="40"/>
            </w:pPr>
            <w:r/>
            <w:r>
              <w:rPr>
                <w:rFonts w:ascii="Calibri" w:hAnsi="Calibri"/>
                <w:b w:val="0"/>
                <w:sz w:val="19"/>
              </w:rPr>
              <w:t>Blended ARPU (recurring)</w:t>
            </w:r>
          </w:p>
        </w:tc>
        <w:tc>
          <w:tcPr>
            <w:tcW w:type="dxa" w:w="1440"/>
          </w:tcPr>
          <w:p>
            <w:pPr>
              <w:spacing w:after="40" w:before="40"/>
              <w:jc w:val="right"/>
            </w:pPr>
            <w:r/>
            <w:r>
              <w:rPr>
                <w:rFonts w:ascii="Calibri" w:hAnsi="Calibri"/>
                <w:b w:val="0"/>
                <w:sz w:val="19"/>
              </w:rPr>
              <w:t>$75.20</w:t>
            </w:r>
          </w:p>
        </w:tc>
        <w:tc>
          <w:tcPr>
            <w:tcW w:type="dxa" w:w="1440"/>
          </w:tcPr>
          <w:p>
            <w:pPr>
              <w:spacing w:after="40" w:before="40"/>
              <w:jc w:val="right"/>
            </w:pPr>
            <w:r/>
            <w:r>
              <w:rPr>
                <w:rFonts w:ascii="Calibri" w:hAnsi="Calibri"/>
                <w:b w:val="0"/>
                <w:sz w:val="19"/>
              </w:rPr>
              <w:t>$76.55</w:t>
            </w:r>
          </w:p>
        </w:tc>
        <w:tc>
          <w:tcPr>
            <w:tcW w:type="dxa" w:w="1440"/>
          </w:tcPr>
          <w:p>
            <w:pPr>
              <w:spacing w:after="40" w:before="40"/>
              <w:jc w:val="right"/>
            </w:pPr>
            <w:r/>
            <w:r>
              <w:rPr>
                <w:rFonts w:ascii="Calibri" w:hAnsi="Calibri"/>
                <w:b w:val="0"/>
                <w:sz w:val="19"/>
              </w:rPr>
              <w:t>$78.05</w:t>
            </w:r>
          </w:p>
        </w:tc>
        <w:tc>
          <w:tcPr>
            <w:tcW w:type="dxa" w:w="1440"/>
          </w:tcPr>
          <w:p>
            <w:pPr>
              <w:spacing w:after="40" w:before="40"/>
              <w:jc w:val="right"/>
            </w:pPr>
            <w:r/>
            <w:r>
              <w:rPr>
                <w:rFonts w:ascii="Calibri" w:hAnsi="Calibri"/>
                <w:b w:val="0"/>
                <w:sz w:val="19"/>
              </w:rPr>
              <w:t>$79.68</w:t>
            </w:r>
          </w:p>
        </w:tc>
        <w:tc>
          <w:tcPr>
            <w:tcW w:type="dxa" w:w="1440"/>
          </w:tcPr>
          <w:p>
            <w:pPr>
              <w:spacing w:after="40" w:before="40"/>
              <w:jc w:val="right"/>
            </w:pPr>
            <w:r/>
            <w:r>
              <w:rPr>
                <w:rFonts w:ascii="Calibri" w:hAnsi="Calibri"/>
                <w:b w:val="0"/>
                <w:sz w:val="19"/>
              </w:rPr>
              <w:t>$81.39</w:t>
            </w:r>
          </w:p>
        </w:tc>
      </w:tr>
    </w:tbl>
    <w:p>
      <w:pPr>
        <w:spacing w:after="40"/>
      </w:pPr>
    </w:p>
    <w:p>
      <w:pPr>
        <w:spacing w:after="120"/>
      </w:pPr>
      <w:r>
        <w:rPr>
          <w:i/>
          <w:color w:val="606060"/>
          <w:sz w:val="19"/>
        </w:rPr>
        <w:t>Note: take rate dips modestly mid-plan because new passings are added faster than newly-passed homes are converted — a normal lag during a heavy build. Penetration on maturing plant is a primary Year 3+ growth lever and a core focus of the sales strategy.</w:t>
      </w:r>
    </w:p>
    <w:p>
      <w:pPr>
        <w:pStyle w:val="Heading2"/>
      </w:pPr>
      <w:r>
        <w:rPr>
          <w:rFonts w:ascii="Calibri" w:hAnsi="Calibri"/>
          <w:color w:val="2E7D8A"/>
          <w:sz w:val="25"/>
        </w:rPr>
        <w:t>Growth strategy pillars</w:t>
      </w:r>
    </w:p>
    <w:p>
      <w:pPr>
        <w:pStyle w:val="ListBullet"/>
        <w:spacing w:after="60"/>
      </w:pPr>
      <w:r>
        <w:rPr>
          <w:b/>
        </w:rPr>
        <w:t xml:space="preserve">Build where demand is: </w:t>
      </w:r>
      <w:r>
        <w:t xml:space="preserve"> Sequence construction to demand and grant availability; gate each project on ROI and take-rate thresholds.</w:t>
      </w:r>
    </w:p>
    <w:p>
      <w:pPr>
        <w:pStyle w:val="ListBullet"/>
        <w:spacing w:after="60"/>
      </w:pPr>
      <w:r>
        <w:rPr>
          <w:b/>
        </w:rPr>
        <w:t xml:space="preserve">Convert faster: </w:t>
      </w:r>
      <w:r>
        <w:t xml:space="preserve"> Fund door-to-door and digital campaigns on newly-passed plant; add residential sales capacity as passings grow.</w:t>
      </w:r>
    </w:p>
    <w:p>
      <w:pPr>
        <w:pStyle w:val="ListBullet"/>
        <w:spacing w:after="60"/>
      </w:pPr>
      <w:r>
        <w:rPr>
          <w:b/>
        </w:rPr>
        <w:t xml:space="preserve">Move up-market: </w:t>
      </w:r>
      <w:r>
        <w:t xml:space="preserve"> Grow business fiber, enterprise/DIA circuits, and wholesale/dark-fiber revenue at higher ARPU and margin.</w:t>
      </w:r>
    </w:p>
    <w:p>
      <w:pPr>
        <w:pStyle w:val="ListBullet"/>
        <w:spacing w:after="60"/>
      </w:pPr>
      <w:r>
        <w:rPr>
          <w:b/>
        </w:rPr>
        <w:t xml:space="preserve">Leverage grants: </w:t>
      </w:r>
      <w:r>
        <w:t xml:space="preserve"> Use grant-funded builds to extend into unserved areas with external capital leverage.</w:t>
      </w:r>
    </w:p>
    <w:p>
      <w:r>
        <w:br w:type="page"/>
      </w:r>
    </w:p>
    <w:p>
      <w:pPr>
        <w:pStyle w:val="Heading1"/>
      </w:pPr>
      <w:r>
        <w:rPr>
          <w:rFonts w:ascii="Calibri" w:hAnsi="Calibri"/>
          <w:color w:val="1F3B4D"/>
          <w:sz w:val="32"/>
        </w:rPr>
        <w:t>5. Capital Plan</w:t>
      </w:r>
    </w:p>
    <w:p>
      <w:pPr>
        <w:spacing w:after="120"/>
      </w:pPr>
      <w:r>
        <w:rPr>
          <w:i w:val="0"/>
          <w:sz w:val="21"/>
        </w:rPr>
        <w:t>The capital program provides $10.0M per year and $50.0M over five years, allocated across 16 categories. The plan does not force full deployment: capital is deployed against demand-led, ROI-gated projects, and any balance is held as reserve or carryforward.</w:t>
      </w:r>
    </w:p>
    <w:p>
      <w:pPr>
        <w:pStyle w:val="Heading2"/>
      </w:pPr>
      <w:r>
        <w:rPr>
          <w:rFonts w:ascii="Calibri" w:hAnsi="Calibri"/>
          <w:color w:val="2E7D8A"/>
          <w:sz w:val="25"/>
        </w:rPr>
        <w:t>Five-year capital allocation by category (base allocation)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752"/>
            <w:shd w:val="clear" w:color="auto" w:fill="1F3B4D"/>
          </w:tcPr>
          <w:p>
            <w:pPr>
              <w:spacing w:after="40" w:before="40"/>
            </w:pPr>
            <w:r/>
            <w:r>
              <w:rPr>
                <w:rFonts w:ascii="Calibri" w:hAnsi="Calibri"/>
                <w:b/>
                <w:color w:val="FFFFFF"/>
                <w:sz w:val="18"/>
              </w:rPr>
              <w:t>Capital category</w:t>
            </w:r>
          </w:p>
        </w:tc>
        <w:tc>
          <w:tcPr>
            <w:tcW w:type="dxa" w:w="1656"/>
            <w:shd w:val="clear" w:color="auto" w:fill="1F3B4D"/>
          </w:tcPr>
          <w:p>
            <w:pPr>
              <w:spacing w:after="40" w:before="40"/>
              <w:jc w:val="center"/>
            </w:pPr>
            <w:r/>
            <w:r>
              <w:rPr>
                <w:rFonts w:ascii="Calibri" w:hAnsi="Calibri"/>
                <w:b/>
                <w:color w:val="FFFFFF"/>
                <w:sz w:val="18"/>
              </w:rPr>
              <w:t>Annual $</w:t>
            </w:r>
          </w:p>
        </w:tc>
        <w:tc>
          <w:tcPr>
            <w:tcW w:type="dxa" w:w="1656"/>
            <w:shd w:val="clear" w:color="auto" w:fill="1F3B4D"/>
          </w:tcPr>
          <w:p>
            <w:pPr>
              <w:spacing w:after="40" w:before="40"/>
              <w:jc w:val="center"/>
            </w:pPr>
            <w:r/>
            <w:r>
              <w:rPr>
                <w:rFonts w:ascii="Calibri" w:hAnsi="Calibri"/>
                <w:b/>
                <w:color w:val="FFFFFF"/>
                <w:sz w:val="18"/>
              </w:rPr>
              <w:t>5-Yr $</w:t>
            </w:r>
          </w:p>
        </w:tc>
        <w:tc>
          <w:tcPr>
            <w:tcW w:type="dxa" w:w="1296"/>
            <w:shd w:val="clear" w:color="auto" w:fill="1F3B4D"/>
          </w:tcPr>
          <w:p>
            <w:pPr>
              <w:spacing w:after="40" w:before="40"/>
              <w:jc w:val="center"/>
            </w:pPr>
            <w:r/>
            <w:r>
              <w:rPr>
                <w:rFonts w:ascii="Calibri" w:hAnsi="Calibri"/>
                <w:b/>
                <w:color w:val="FFFFFF"/>
                <w:sz w:val="18"/>
              </w:rPr>
              <w:t>% of $10M</w:t>
            </w:r>
          </w:p>
        </w:tc>
      </w:tr>
      <w:tr>
        <w:tc>
          <w:tcPr>
            <w:tcW w:type="dxa" w:w="4752"/>
          </w:tcPr>
          <w:p>
            <w:pPr>
              <w:spacing w:after="40" w:before="40"/>
            </w:pPr>
            <w:r/>
            <w:r>
              <w:rPr>
                <w:rFonts w:ascii="Calibri" w:hAnsi="Calibri"/>
                <w:b w:val="0"/>
                <w:sz w:val="18"/>
              </w:rPr>
              <w:t>1. Fiber backbone construction</w:t>
            </w:r>
          </w:p>
        </w:tc>
        <w:tc>
          <w:tcPr>
            <w:tcW w:type="dxa" w:w="1656"/>
          </w:tcPr>
          <w:p>
            <w:pPr>
              <w:spacing w:after="40" w:before="40"/>
              <w:jc w:val="right"/>
            </w:pPr>
            <w:r/>
            <w:r>
              <w:rPr>
                <w:rFonts w:ascii="Calibri" w:hAnsi="Calibri"/>
                <w:b w:val="0"/>
                <w:sz w:val="18"/>
              </w:rPr>
              <w:t>$800,000</w:t>
            </w:r>
          </w:p>
        </w:tc>
        <w:tc>
          <w:tcPr>
            <w:tcW w:type="dxa" w:w="1656"/>
          </w:tcPr>
          <w:p>
            <w:pPr>
              <w:spacing w:after="40" w:before="40"/>
              <w:jc w:val="right"/>
            </w:pPr>
            <w:r/>
            <w:r>
              <w:rPr>
                <w:rFonts w:ascii="Calibri" w:hAnsi="Calibri"/>
                <w:b w:val="0"/>
                <w:sz w:val="18"/>
              </w:rPr>
              <w:t>$3,912,000</w:t>
            </w:r>
          </w:p>
        </w:tc>
        <w:tc>
          <w:tcPr>
            <w:tcW w:type="dxa" w:w="1296"/>
          </w:tcPr>
          <w:p>
            <w:pPr>
              <w:spacing w:after="40" w:before="40"/>
              <w:jc w:val="right"/>
            </w:pPr>
            <w:r/>
            <w:r>
              <w:rPr>
                <w:rFonts w:ascii="Calibri" w:hAnsi="Calibri"/>
                <w:b w:val="0"/>
                <w:sz w:val="18"/>
              </w:rPr>
              <w:t>8.0%</w:t>
            </w:r>
          </w:p>
        </w:tc>
      </w:tr>
      <w:tr>
        <w:tc>
          <w:tcPr>
            <w:tcW w:type="dxa" w:w="4752"/>
            <w:shd w:val="clear" w:color="auto" w:fill="F2F6FA"/>
          </w:tcPr>
          <w:p>
            <w:pPr>
              <w:spacing w:after="40" w:before="40"/>
            </w:pPr>
            <w:r/>
            <w:r>
              <w:rPr>
                <w:rFonts w:ascii="Calibri" w:hAnsi="Calibri"/>
                <w:b w:val="0"/>
                <w:sz w:val="18"/>
              </w:rPr>
              <w:t>2. Distribution fiber construction</w:t>
            </w:r>
          </w:p>
        </w:tc>
        <w:tc>
          <w:tcPr>
            <w:tcW w:type="dxa" w:w="1656"/>
            <w:shd w:val="clear" w:color="auto" w:fill="F2F6FA"/>
          </w:tcPr>
          <w:p>
            <w:pPr>
              <w:spacing w:after="40" w:before="40"/>
              <w:jc w:val="right"/>
            </w:pPr>
            <w:r/>
            <w:r>
              <w:rPr>
                <w:rFonts w:ascii="Calibri" w:hAnsi="Calibri"/>
                <w:b w:val="0"/>
                <w:sz w:val="18"/>
              </w:rPr>
              <w:t>$1,300,000</w:t>
            </w:r>
          </w:p>
        </w:tc>
        <w:tc>
          <w:tcPr>
            <w:tcW w:type="dxa" w:w="1656"/>
            <w:shd w:val="clear" w:color="auto" w:fill="F2F6FA"/>
          </w:tcPr>
          <w:p>
            <w:pPr>
              <w:spacing w:after="40" w:before="40"/>
              <w:jc w:val="right"/>
            </w:pPr>
            <w:r/>
            <w:r>
              <w:rPr>
                <w:rFonts w:ascii="Calibri" w:hAnsi="Calibri"/>
                <w:b w:val="0"/>
                <w:sz w:val="18"/>
              </w:rPr>
              <w:t>$6,357,000</w:t>
            </w:r>
          </w:p>
        </w:tc>
        <w:tc>
          <w:tcPr>
            <w:tcW w:type="dxa" w:w="1296"/>
            <w:shd w:val="clear" w:color="auto" w:fill="F2F6FA"/>
          </w:tcPr>
          <w:p>
            <w:pPr>
              <w:spacing w:after="40" w:before="40"/>
              <w:jc w:val="right"/>
            </w:pPr>
            <w:r/>
            <w:r>
              <w:rPr>
                <w:rFonts w:ascii="Calibri" w:hAnsi="Calibri"/>
                <w:b w:val="0"/>
                <w:sz w:val="18"/>
              </w:rPr>
              <w:t>13.0%</w:t>
            </w:r>
          </w:p>
        </w:tc>
      </w:tr>
      <w:tr>
        <w:tc>
          <w:tcPr>
            <w:tcW w:type="dxa" w:w="4752"/>
          </w:tcPr>
          <w:p>
            <w:pPr>
              <w:spacing w:after="40" w:before="40"/>
            </w:pPr>
            <w:r/>
            <w:r>
              <w:rPr>
                <w:rFonts w:ascii="Calibri" w:hAnsi="Calibri"/>
                <w:b w:val="0"/>
                <w:sz w:val="18"/>
              </w:rPr>
              <w:t>3. Fiber-to-the-home expansion</w:t>
            </w:r>
          </w:p>
        </w:tc>
        <w:tc>
          <w:tcPr>
            <w:tcW w:type="dxa" w:w="1656"/>
          </w:tcPr>
          <w:p>
            <w:pPr>
              <w:spacing w:after="40" w:before="40"/>
              <w:jc w:val="right"/>
            </w:pPr>
            <w:r/>
            <w:r>
              <w:rPr>
                <w:rFonts w:ascii="Calibri" w:hAnsi="Calibri"/>
                <w:b w:val="0"/>
                <w:sz w:val="18"/>
              </w:rPr>
              <w:t>$2,350,000</w:t>
            </w:r>
          </w:p>
        </w:tc>
        <w:tc>
          <w:tcPr>
            <w:tcW w:type="dxa" w:w="1656"/>
          </w:tcPr>
          <w:p>
            <w:pPr>
              <w:spacing w:after="40" w:before="40"/>
              <w:jc w:val="right"/>
            </w:pPr>
            <w:r/>
            <w:r>
              <w:rPr>
                <w:rFonts w:ascii="Calibri" w:hAnsi="Calibri"/>
                <w:b w:val="0"/>
                <w:sz w:val="18"/>
              </w:rPr>
              <w:t>$11,491,500</w:t>
            </w:r>
          </w:p>
        </w:tc>
        <w:tc>
          <w:tcPr>
            <w:tcW w:type="dxa" w:w="1296"/>
          </w:tcPr>
          <w:p>
            <w:pPr>
              <w:spacing w:after="40" w:before="40"/>
              <w:jc w:val="right"/>
            </w:pPr>
            <w:r/>
            <w:r>
              <w:rPr>
                <w:rFonts w:ascii="Calibri" w:hAnsi="Calibri"/>
                <w:b w:val="0"/>
                <w:sz w:val="18"/>
              </w:rPr>
              <w:t>23.5%</w:t>
            </w:r>
          </w:p>
        </w:tc>
      </w:tr>
      <w:tr>
        <w:tc>
          <w:tcPr>
            <w:tcW w:type="dxa" w:w="4752"/>
            <w:shd w:val="clear" w:color="auto" w:fill="F2F6FA"/>
          </w:tcPr>
          <w:p>
            <w:pPr>
              <w:spacing w:after="40" w:before="40"/>
            </w:pPr>
            <w:r/>
            <w:r>
              <w:rPr>
                <w:rFonts w:ascii="Calibri" w:hAnsi="Calibri"/>
                <w:b w:val="0"/>
                <w:sz w:val="18"/>
              </w:rPr>
              <w:t>4. Business &amp; enterprise expansion</w:t>
            </w:r>
          </w:p>
        </w:tc>
        <w:tc>
          <w:tcPr>
            <w:tcW w:type="dxa" w:w="1656"/>
            <w:shd w:val="clear" w:color="auto" w:fill="F2F6FA"/>
          </w:tcPr>
          <w:p>
            <w:pPr>
              <w:spacing w:after="40" w:before="40"/>
              <w:jc w:val="right"/>
            </w:pPr>
            <w:r/>
            <w:r>
              <w:rPr>
                <w:rFonts w:ascii="Calibri" w:hAnsi="Calibri"/>
                <w:b w:val="0"/>
                <w:sz w:val="18"/>
              </w:rPr>
              <w:t>$700,000</w:t>
            </w:r>
          </w:p>
        </w:tc>
        <w:tc>
          <w:tcPr>
            <w:tcW w:type="dxa" w:w="1656"/>
            <w:shd w:val="clear" w:color="auto" w:fill="F2F6FA"/>
          </w:tcPr>
          <w:p>
            <w:pPr>
              <w:spacing w:after="40" w:before="40"/>
              <w:jc w:val="right"/>
            </w:pPr>
            <w:r/>
            <w:r>
              <w:rPr>
                <w:rFonts w:ascii="Calibri" w:hAnsi="Calibri"/>
                <w:b w:val="0"/>
                <w:sz w:val="18"/>
              </w:rPr>
              <w:t>$3,423,000</w:t>
            </w:r>
          </w:p>
        </w:tc>
        <w:tc>
          <w:tcPr>
            <w:tcW w:type="dxa" w:w="1296"/>
            <w:shd w:val="clear" w:color="auto" w:fill="F2F6FA"/>
          </w:tcPr>
          <w:p>
            <w:pPr>
              <w:spacing w:after="40" w:before="40"/>
              <w:jc w:val="right"/>
            </w:pPr>
            <w:r/>
            <w:r>
              <w:rPr>
                <w:rFonts w:ascii="Calibri" w:hAnsi="Calibri"/>
                <w:b w:val="0"/>
                <w:sz w:val="18"/>
              </w:rPr>
              <w:t>7.0%</w:t>
            </w:r>
          </w:p>
        </w:tc>
      </w:tr>
      <w:tr>
        <w:tc>
          <w:tcPr>
            <w:tcW w:type="dxa" w:w="4752"/>
          </w:tcPr>
          <w:p>
            <w:pPr>
              <w:spacing w:after="40" w:before="40"/>
            </w:pPr>
            <w:r/>
            <w:r>
              <w:rPr>
                <w:rFonts w:ascii="Calibri" w:hAnsi="Calibri"/>
                <w:b w:val="0"/>
                <w:sz w:val="18"/>
              </w:rPr>
              <w:t>5. Grant matching funds</w:t>
            </w:r>
          </w:p>
        </w:tc>
        <w:tc>
          <w:tcPr>
            <w:tcW w:type="dxa" w:w="1656"/>
          </w:tcPr>
          <w:p>
            <w:pPr>
              <w:spacing w:after="40" w:before="40"/>
              <w:jc w:val="right"/>
            </w:pPr>
            <w:r/>
            <w:r>
              <w:rPr>
                <w:rFonts w:ascii="Calibri" w:hAnsi="Calibri"/>
                <w:b w:val="0"/>
                <w:sz w:val="18"/>
              </w:rPr>
              <w:t>$1,000,000</w:t>
            </w:r>
          </w:p>
        </w:tc>
        <w:tc>
          <w:tcPr>
            <w:tcW w:type="dxa" w:w="1656"/>
          </w:tcPr>
          <w:p>
            <w:pPr>
              <w:spacing w:after="40" w:before="40"/>
              <w:jc w:val="right"/>
            </w:pPr>
            <w:r/>
            <w:r>
              <w:rPr>
                <w:rFonts w:ascii="Calibri" w:hAnsi="Calibri"/>
                <w:b w:val="0"/>
                <w:sz w:val="18"/>
              </w:rPr>
              <w:t>$4,890,000</w:t>
            </w:r>
          </w:p>
        </w:tc>
        <w:tc>
          <w:tcPr>
            <w:tcW w:type="dxa" w:w="1296"/>
          </w:tcPr>
          <w:p>
            <w:pPr>
              <w:spacing w:after="40" w:before="40"/>
              <w:jc w:val="right"/>
            </w:pPr>
            <w:r/>
            <w:r>
              <w:rPr>
                <w:rFonts w:ascii="Calibri" w:hAnsi="Calibri"/>
                <w:b w:val="0"/>
                <w:sz w:val="18"/>
              </w:rPr>
              <w:t>10.0%</w:t>
            </w:r>
          </w:p>
        </w:tc>
      </w:tr>
      <w:tr>
        <w:tc>
          <w:tcPr>
            <w:tcW w:type="dxa" w:w="4752"/>
            <w:shd w:val="clear" w:color="auto" w:fill="F2F6FA"/>
          </w:tcPr>
          <w:p>
            <w:pPr>
              <w:spacing w:after="40" w:before="40"/>
            </w:pPr>
            <w:r/>
            <w:r>
              <w:rPr>
                <w:rFonts w:ascii="Calibri" w:hAnsi="Calibri"/>
                <w:b w:val="0"/>
                <w:sz w:val="18"/>
              </w:rPr>
              <w:t>6. Core network &amp; transport equipment</w:t>
            </w:r>
          </w:p>
        </w:tc>
        <w:tc>
          <w:tcPr>
            <w:tcW w:type="dxa" w:w="1656"/>
            <w:shd w:val="clear" w:color="auto" w:fill="F2F6FA"/>
          </w:tcPr>
          <w:p>
            <w:pPr>
              <w:spacing w:after="40" w:before="40"/>
              <w:jc w:val="right"/>
            </w:pPr>
            <w:r/>
            <w:r>
              <w:rPr>
                <w:rFonts w:ascii="Calibri" w:hAnsi="Calibri"/>
                <w:b w:val="0"/>
                <w:sz w:val="18"/>
              </w:rPr>
              <w:t>$500,000</w:t>
            </w:r>
          </w:p>
        </w:tc>
        <w:tc>
          <w:tcPr>
            <w:tcW w:type="dxa" w:w="1656"/>
            <w:shd w:val="clear" w:color="auto" w:fill="F2F6FA"/>
          </w:tcPr>
          <w:p>
            <w:pPr>
              <w:spacing w:after="40" w:before="40"/>
              <w:jc w:val="right"/>
            </w:pPr>
            <w:r/>
            <w:r>
              <w:rPr>
                <w:rFonts w:ascii="Calibri" w:hAnsi="Calibri"/>
                <w:b w:val="0"/>
                <w:sz w:val="18"/>
              </w:rPr>
              <w:t>$2,445,000</w:t>
            </w:r>
          </w:p>
        </w:tc>
        <w:tc>
          <w:tcPr>
            <w:tcW w:type="dxa" w:w="1296"/>
            <w:shd w:val="clear" w:color="auto" w:fill="F2F6FA"/>
          </w:tcPr>
          <w:p>
            <w:pPr>
              <w:spacing w:after="40" w:before="40"/>
              <w:jc w:val="right"/>
            </w:pPr>
            <w:r/>
            <w:r>
              <w:rPr>
                <w:rFonts w:ascii="Calibri" w:hAnsi="Calibri"/>
                <w:b w:val="0"/>
                <w:sz w:val="18"/>
              </w:rPr>
              <w:t>5.0%</w:t>
            </w:r>
          </w:p>
        </w:tc>
      </w:tr>
      <w:tr>
        <w:tc>
          <w:tcPr>
            <w:tcW w:type="dxa" w:w="4752"/>
          </w:tcPr>
          <w:p>
            <w:pPr>
              <w:spacing w:after="40" w:before="40"/>
            </w:pPr>
            <w:r/>
            <w:r>
              <w:rPr>
                <w:rFonts w:ascii="Calibri" w:hAnsi="Calibri"/>
                <w:b w:val="0"/>
                <w:sz w:val="18"/>
              </w:rPr>
              <w:t>7. OLT, cabinet &amp; access-network equipment</w:t>
            </w:r>
          </w:p>
        </w:tc>
        <w:tc>
          <w:tcPr>
            <w:tcW w:type="dxa" w:w="1656"/>
          </w:tcPr>
          <w:p>
            <w:pPr>
              <w:spacing w:after="40" w:before="40"/>
              <w:jc w:val="right"/>
            </w:pPr>
            <w:r/>
            <w:r>
              <w:rPr>
                <w:rFonts w:ascii="Calibri" w:hAnsi="Calibri"/>
                <w:b w:val="0"/>
                <w:sz w:val="18"/>
              </w:rPr>
              <w:t>$650,000</w:t>
            </w:r>
          </w:p>
        </w:tc>
        <w:tc>
          <w:tcPr>
            <w:tcW w:type="dxa" w:w="1656"/>
          </w:tcPr>
          <w:p>
            <w:pPr>
              <w:spacing w:after="40" w:before="40"/>
              <w:jc w:val="right"/>
            </w:pPr>
            <w:r/>
            <w:r>
              <w:rPr>
                <w:rFonts w:ascii="Calibri" w:hAnsi="Calibri"/>
                <w:b w:val="0"/>
                <w:sz w:val="18"/>
              </w:rPr>
              <w:t>$3,178,500</w:t>
            </w:r>
          </w:p>
        </w:tc>
        <w:tc>
          <w:tcPr>
            <w:tcW w:type="dxa" w:w="1296"/>
          </w:tcPr>
          <w:p>
            <w:pPr>
              <w:spacing w:after="40" w:before="40"/>
              <w:jc w:val="right"/>
            </w:pPr>
            <w:r/>
            <w:r>
              <w:rPr>
                <w:rFonts w:ascii="Calibri" w:hAnsi="Calibri"/>
                <w:b w:val="0"/>
                <w:sz w:val="18"/>
              </w:rPr>
              <w:t>6.5%</w:t>
            </w:r>
          </w:p>
        </w:tc>
      </w:tr>
      <w:tr>
        <w:tc>
          <w:tcPr>
            <w:tcW w:type="dxa" w:w="4752"/>
            <w:shd w:val="clear" w:color="auto" w:fill="F2F6FA"/>
          </w:tcPr>
          <w:p>
            <w:pPr>
              <w:spacing w:after="40" w:before="40"/>
            </w:pPr>
            <w:r/>
            <w:r>
              <w:rPr>
                <w:rFonts w:ascii="Calibri" w:hAnsi="Calibri"/>
                <w:b w:val="0"/>
                <w:sz w:val="18"/>
              </w:rPr>
              <w:t>8. CPE &amp; ONTs</w:t>
            </w:r>
          </w:p>
        </w:tc>
        <w:tc>
          <w:tcPr>
            <w:tcW w:type="dxa" w:w="1656"/>
            <w:shd w:val="clear" w:color="auto" w:fill="F2F6FA"/>
          </w:tcPr>
          <w:p>
            <w:pPr>
              <w:spacing w:after="40" w:before="40"/>
              <w:jc w:val="right"/>
            </w:pPr>
            <w:r/>
            <w:r>
              <w:rPr>
                <w:rFonts w:ascii="Calibri" w:hAnsi="Calibri"/>
                <w:b w:val="0"/>
                <w:sz w:val="18"/>
              </w:rPr>
              <w:t>$600,000</w:t>
            </w:r>
          </w:p>
        </w:tc>
        <w:tc>
          <w:tcPr>
            <w:tcW w:type="dxa" w:w="1656"/>
            <w:shd w:val="clear" w:color="auto" w:fill="F2F6FA"/>
          </w:tcPr>
          <w:p>
            <w:pPr>
              <w:spacing w:after="40" w:before="40"/>
              <w:jc w:val="right"/>
            </w:pPr>
            <w:r/>
            <w:r>
              <w:rPr>
                <w:rFonts w:ascii="Calibri" w:hAnsi="Calibri"/>
                <w:b w:val="0"/>
                <w:sz w:val="18"/>
              </w:rPr>
              <w:t>$2,934,000</w:t>
            </w:r>
          </w:p>
        </w:tc>
        <w:tc>
          <w:tcPr>
            <w:tcW w:type="dxa" w:w="1296"/>
            <w:shd w:val="clear" w:color="auto" w:fill="F2F6FA"/>
          </w:tcPr>
          <w:p>
            <w:pPr>
              <w:spacing w:after="40" w:before="40"/>
              <w:jc w:val="right"/>
            </w:pPr>
            <w:r/>
            <w:r>
              <w:rPr>
                <w:rFonts w:ascii="Calibri" w:hAnsi="Calibri"/>
                <w:b w:val="0"/>
                <w:sz w:val="18"/>
              </w:rPr>
              <w:t>6.0%</w:t>
            </w:r>
          </w:p>
        </w:tc>
      </w:tr>
      <w:tr>
        <w:tc>
          <w:tcPr>
            <w:tcW w:type="dxa" w:w="4752"/>
          </w:tcPr>
          <w:p>
            <w:pPr>
              <w:spacing w:after="40" w:before="40"/>
            </w:pPr>
            <w:r/>
            <w:r>
              <w:rPr>
                <w:rFonts w:ascii="Calibri" w:hAnsi="Calibri"/>
                <w:b w:val="0"/>
                <w:sz w:val="18"/>
              </w:rPr>
              <w:t>9. Vehicles &amp; fleet</w:t>
            </w:r>
          </w:p>
        </w:tc>
        <w:tc>
          <w:tcPr>
            <w:tcW w:type="dxa" w:w="1656"/>
          </w:tcPr>
          <w:p>
            <w:pPr>
              <w:spacing w:after="40" w:before="40"/>
              <w:jc w:val="right"/>
            </w:pPr>
            <w:r/>
            <w:r>
              <w:rPr>
                <w:rFonts w:ascii="Calibri" w:hAnsi="Calibri"/>
                <w:b w:val="0"/>
                <w:sz w:val="18"/>
              </w:rPr>
              <w:t>$250,000</w:t>
            </w:r>
          </w:p>
        </w:tc>
        <w:tc>
          <w:tcPr>
            <w:tcW w:type="dxa" w:w="1656"/>
          </w:tcPr>
          <w:p>
            <w:pPr>
              <w:spacing w:after="40" w:before="40"/>
              <w:jc w:val="right"/>
            </w:pPr>
            <w:r/>
            <w:r>
              <w:rPr>
                <w:rFonts w:ascii="Calibri" w:hAnsi="Calibri"/>
                <w:b w:val="0"/>
                <w:sz w:val="18"/>
              </w:rPr>
              <w:t>$1,222,500</w:t>
            </w:r>
          </w:p>
        </w:tc>
        <w:tc>
          <w:tcPr>
            <w:tcW w:type="dxa" w:w="1296"/>
          </w:tcPr>
          <w:p>
            <w:pPr>
              <w:spacing w:after="40" w:before="40"/>
              <w:jc w:val="right"/>
            </w:pPr>
            <w:r/>
            <w:r>
              <w:rPr>
                <w:rFonts w:ascii="Calibri" w:hAnsi="Calibri"/>
                <w:b w:val="0"/>
                <w:sz w:val="18"/>
              </w:rPr>
              <w:t>2.5%</w:t>
            </w:r>
          </w:p>
        </w:tc>
      </w:tr>
      <w:tr>
        <w:tc>
          <w:tcPr>
            <w:tcW w:type="dxa" w:w="4752"/>
            <w:shd w:val="clear" w:color="auto" w:fill="F2F6FA"/>
          </w:tcPr>
          <w:p>
            <w:pPr>
              <w:spacing w:after="40" w:before="40"/>
            </w:pPr>
            <w:r/>
            <w:r>
              <w:rPr>
                <w:rFonts w:ascii="Calibri" w:hAnsi="Calibri"/>
                <w:b w:val="0"/>
                <w:sz w:val="18"/>
              </w:rPr>
              <w:t>10. Construction &amp; maintenance equipment</w:t>
            </w:r>
          </w:p>
        </w:tc>
        <w:tc>
          <w:tcPr>
            <w:tcW w:type="dxa" w:w="1656"/>
            <w:shd w:val="clear" w:color="auto" w:fill="F2F6FA"/>
          </w:tcPr>
          <w:p>
            <w:pPr>
              <w:spacing w:after="40" w:before="40"/>
              <w:jc w:val="right"/>
            </w:pPr>
            <w:r/>
            <w:r>
              <w:rPr>
                <w:rFonts w:ascii="Calibri" w:hAnsi="Calibri"/>
                <w:b w:val="0"/>
                <w:sz w:val="18"/>
              </w:rPr>
              <w:t>$280,000</w:t>
            </w:r>
          </w:p>
        </w:tc>
        <w:tc>
          <w:tcPr>
            <w:tcW w:type="dxa" w:w="1656"/>
            <w:shd w:val="clear" w:color="auto" w:fill="F2F6FA"/>
          </w:tcPr>
          <w:p>
            <w:pPr>
              <w:spacing w:after="40" w:before="40"/>
              <w:jc w:val="right"/>
            </w:pPr>
            <w:r/>
            <w:r>
              <w:rPr>
                <w:rFonts w:ascii="Calibri" w:hAnsi="Calibri"/>
                <w:b w:val="0"/>
                <w:sz w:val="18"/>
              </w:rPr>
              <w:t>$1,369,200</w:t>
            </w:r>
          </w:p>
        </w:tc>
        <w:tc>
          <w:tcPr>
            <w:tcW w:type="dxa" w:w="1296"/>
            <w:shd w:val="clear" w:color="auto" w:fill="F2F6FA"/>
          </w:tcPr>
          <w:p>
            <w:pPr>
              <w:spacing w:after="40" w:before="40"/>
              <w:jc w:val="right"/>
            </w:pPr>
            <w:r/>
            <w:r>
              <w:rPr>
                <w:rFonts w:ascii="Calibri" w:hAnsi="Calibri"/>
                <w:b w:val="0"/>
                <w:sz w:val="18"/>
              </w:rPr>
              <w:t>2.8%</w:t>
            </w:r>
          </w:p>
        </w:tc>
      </w:tr>
      <w:tr>
        <w:tc>
          <w:tcPr>
            <w:tcW w:type="dxa" w:w="4752"/>
          </w:tcPr>
          <w:p>
            <w:pPr>
              <w:spacing w:after="40" w:before="40"/>
            </w:pPr>
            <w:r/>
            <w:r>
              <w:rPr>
                <w:rFonts w:ascii="Calibri" w:hAnsi="Calibri"/>
                <w:b w:val="0"/>
                <w:sz w:val="18"/>
              </w:rPr>
              <w:t>11. IT &amp; cybersecurity</w:t>
            </w:r>
          </w:p>
        </w:tc>
        <w:tc>
          <w:tcPr>
            <w:tcW w:type="dxa" w:w="1656"/>
          </w:tcPr>
          <w:p>
            <w:pPr>
              <w:spacing w:after="40" w:before="40"/>
              <w:jc w:val="right"/>
            </w:pPr>
            <w:r/>
            <w:r>
              <w:rPr>
                <w:rFonts w:ascii="Calibri" w:hAnsi="Calibri"/>
                <w:b w:val="0"/>
                <w:sz w:val="18"/>
              </w:rPr>
              <w:t>$300,000</w:t>
            </w:r>
          </w:p>
        </w:tc>
        <w:tc>
          <w:tcPr>
            <w:tcW w:type="dxa" w:w="1656"/>
          </w:tcPr>
          <w:p>
            <w:pPr>
              <w:spacing w:after="40" w:before="40"/>
              <w:jc w:val="right"/>
            </w:pPr>
            <w:r/>
            <w:r>
              <w:rPr>
                <w:rFonts w:ascii="Calibri" w:hAnsi="Calibri"/>
                <w:b w:val="0"/>
                <w:sz w:val="18"/>
              </w:rPr>
              <w:t>$1,467,000</w:t>
            </w:r>
          </w:p>
        </w:tc>
        <w:tc>
          <w:tcPr>
            <w:tcW w:type="dxa" w:w="1296"/>
          </w:tcPr>
          <w:p>
            <w:pPr>
              <w:spacing w:after="40" w:before="40"/>
              <w:jc w:val="right"/>
            </w:pPr>
            <w:r/>
            <w:r>
              <w:rPr>
                <w:rFonts w:ascii="Calibri" w:hAnsi="Calibri"/>
                <w:b w:val="0"/>
                <w:sz w:val="18"/>
              </w:rPr>
              <w:t>3.0%</w:t>
            </w:r>
          </w:p>
        </w:tc>
      </w:tr>
      <w:tr>
        <w:tc>
          <w:tcPr>
            <w:tcW w:type="dxa" w:w="4752"/>
            <w:shd w:val="clear" w:color="auto" w:fill="F2F6FA"/>
          </w:tcPr>
          <w:p>
            <w:pPr>
              <w:spacing w:after="40" w:before="40"/>
            </w:pPr>
            <w:r/>
            <w:r>
              <w:rPr>
                <w:rFonts w:ascii="Calibri" w:hAnsi="Calibri"/>
                <w:b w:val="0"/>
                <w:sz w:val="18"/>
              </w:rPr>
              <w:t>12. OSS/BSS/CRM/billing/GIS/WFM systems</w:t>
            </w:r>
          </w:p>
        </w:tc>
        <w:tc>
          <w:tcPr>
            <w:tcW w:type="dxa" w:w="1656"/>
            <w:shd w:val="clear" w:color="auto" w:fill="F2F6FA"/>
          </w:tcPr>
          <w:p>
            <w:pPr>
              <w:spacing w:after="40" w:before="40"/>
              <w:jc w:val="right"/>
            </w:pPr>
            <w:r/>
            <w:r>
              <w:rPr>
                <w:rFonts w:ascii="Calibri" w:hAnsi="Calibri"/>
                <w:b w:val="0"/>
                <w:sz w:val="18"/>
              </w:rPr>
              <w:t>$340,000</w:t>
            </w:r>
          </w:p>
        </w:tc>
        <w:tc>
          <w:tcPr>
            <w:tcW w:type="dxa" w:w="1656"/>
            <w:shd w:val="clear" w:color="auto" w:fill="F2F6FA"/>
          </w:tcPr>
          <w:p>
            <w:pPr>
              <w:spacing w:after="40" w:before="40"/>
              <w:jc w:val="right"/>
            </w:pPr>
            <w:r/>
            <w:r>
              <w:rPr>
                <w:rFonts w:ascii="Calibri" w:hAnsi="Calibri"/>
                <w:b w:val="0"/>
                <w:sz w:val="18"/>
              </w:rPr>
              <w:t>$1,662,600</w:t>
            </w:r>
          </w:p>
        </w:tc>
        <w:tc>
          <w:tcPr>
            <w:tcW w:type="dxa" w:w="1296"/>
            <w:shd w:val="clear" w:color="auto" w:fill="F2F6FA"/>
          </w:tcPr>
          <w:p>
            <w:pPr>
              <w:spacing w:after="40" w:before="40"/>
              <w:jc w:val="right"/>
            </w:pPr>
            <w:r/>
            <w:r>
              <w:rPr>
                <w:rFonts w:ascii="Calibri" w:hAnsi="Calibri"/>
                <w:b w:val="0"/>
                <w:sz w:val="18"/>
              </w:rPr>
              <w:t>3.4%</w:t>
            </w:r>
          </w:p>
        </w:tc>
      </w:tr>
      <w:tr>
        <w:tc>
          <w:tcPr>
            <w:tcW w:type="dxa" w:w="4752"/>
          </w:tcPr>
          <w:p>
            <w:pPr>
              <w:spacing w:after="40" w:before="40"/>
            </w:pPr>
            <w:r/>
            <w:r>
              <w:rPr>
                <w:rFonts w:ascii="Calibri" w:hAnsi="Calibri"/>
                <w:b w:val="0"/>
                <w:sz w:val="18"/>
              </w:rPr>
              <w:t>13. Buildings, warehouses &amp; facilities</w:t>
            </w:r>
          </w:p>
        </w:tc>
        <w:tc>
          <w:tcPr>
            <w:tcW w:type="dxa" w:w="1656"/>
          </w:tcPr>
          <w:p>
            <w:pPr>
              <w:spacing w:after="40" w:before="40"/>
              <w:jc w:val="right"/>
            </w:pPr>
            <w:r/>
            <w:r>
              <w:rPr>
                <w:rFonts w:ascii="Calibri" w:hAnsi="Calibri"/>
                <w:b w:val="0"/>
                <w:sz w:val="18"/>
              </w:rPr>
              <w:t>$230,000</w:t>
            </w:r>
          </w:p>
        </w:tc>
        <w:tc>
          <w:tcPr>
            <w:tcW w:type="dxa" w:w="1656"/>
          </w:tcPr>
          <w:p>
            <w:pPr>
              <w:spacing w:after="40" w:before="40"/>
              <w:jc w:val="right"/>
            </w:pPr>
            <w:r/>
            <w:r>
              <w:rPr>
                <w:rFonts w:ascii="Calibri" w:hAnsi="Calibri"/>
                <w:b w:val="0"/>
                <w:sz w:val="18"/>
              </w:rPr>
              <w:t>$1,124,700</w:t>
            </w:r>
          </w:p>
        </w:tc>
        <w:tc>
          <w:tcPr>
            <w:tcW w:type="dxa" w:w="1296"/>
          </w:tcPr>
          <w:p>
            <w:pPr>
              <w:spacing w:after="40" w:before="40"/>
              <w:jc w:val="right"/>
            </w:pPr>
            <w:r/>
            <w:r>
              <w:rPr>
                <w:rFonts w:ascii="Calibri" w:hAnsi="Calibri"/>
                <w:b w:val="0"/>
                <w:sz w:val="18"/>
              </w:rPr>
              <w:t>2.3%</w:t>
            </w:r>
          </w:p>
        </w:tc>
      </w:tr>
      <w:tr>
        <w:tc>
          <w:tcPr>
            <w:tcW w:type="dxa" w:w="4752"/>
            <w:shd w:val="clear" w:color="auto" w:fill="F2F6FA"/>
          </w:tcPr>
          <w:p>
            <w:pPr>
              <w:spacing w:after="40" w:before="40"/>
            </w:pPr>
            <w:r/>
            <w:r>
              <w:rPr>
                <w:rFonts w:ascii="Calibri" w:hAnsi="Calibri"/>
                <w:b w:val="0"/>
                <w:sz w:val="18"/>
              </w:rPr>
              <w:t>14. Emergency restoration &amp; resiliency</w:t>
            </w:r>
          </w:p>
        </w:tc>
        <w:tc>
          <w:tcPr>
            <w:tcW w:type="dxa" w:w="1656"/>
            <w:shd w:val="clear" w:color="auto" w:fill="F2F6FA"/>
          </w:tcPr>
          <w:p>
            <w:pPr>
              <w:spacing w:after="40" w:before="40"/>
              <w:jc w:val="right"/>
            </w:pPr>
            <w:r/>
            <w:r>
              <w:rPr>
                <w:rFonts w:ascii="Calibri" w:hAnsi="Calibri"/>
                <w:b w:val="0"/>
                <w:sz w:val="18"/>
              </w:rPr>
              <w:t>$200,000</w:t>
            </w:r>
          </w:p>
        </w:tc>
        <w:tc>
          <w:tcPr>
            <w:tcW w:type="dxa" w:w="1656"/>
            <w:shd w:val="clear" w:color="auto" w:fill="F2F6FA"/>
          </w:tcPr>
          <w:p>
            <w:pPr>
              <w:spacing w:after="40" w:before="40"/>
              <w:jc w:val="right"/>
            </w:pPr>
            <w:r/>
            <w:r>
              <w:rPr>
                <w:rFonts w:ascii="Calibri" w:hAnsi="Calibri"/>
                <w:b w:val="0"/>
                <w:sz w:val="18"/>
              </w:rPr>
              <w:t>$978,000</w:t>
            </w:r>
          </w:p>
        </w:tc>
        <w:tc>
          <w:tcPr>
            <w:tcW w:type="dxa" w:w="1296"/>
            <w:shd w:val="clear" w:color="auto" w:fill="F2F6FA"/>
          </w:tcPr>
          <w:p>
            <w:pPr>
              <w:spacing w:after="40" w:before="40"/>
              <w:jc w:val="right"/>
            </w:pPr>
            <w:r/>
            <w:r>
              <w:rPr>
                <w:rFonts w:ascii="Calibri" w:hAnsi="Calibri"/>
                <w:b w:val="0"/>
                <w:sz w:val="18"/>
              </w:rPr>
              <w:t>2.0%</w:t>
            </w:r>
          </w:p>
        </w:tc>
      </w:tr>
      <w:tr>
        <w:tc>
          <w:tcPr>
            <w:tcW w:type="dxa" w:w="4752"/>
          </w:tcPr>
          <w:p>
            <w:pPr>
              <w:spacing w:after="40" w:before="40"/>
            </w:pPr>
            <w:r/>
            <w:r>
              <w:rPr>
                <w:rFonts w:ascii="Calibri" w:hAnsi="Calibri"/>
                <w:b w:val="0"/>
                <w:sz w:val="18"/>
              </w:rPr>
              <w:t>15. Annual equipment refresh program</w:t>
            </w:r>
          </w:p>
        </w:tc>
        <w:tc>
          <w:tcPr>
            <w:tcW w:type="dxa" w:w="1656"/>
          </w:tcPr>
          <w:p>
            <w:pPr>
              <w:spacing w:after="40" w:before="40"/>
              <w:jc w:val="right"/>
            </w:pPr>
            <w:r/>
            <w:r>
              <w:rPr>
                <w:rFonts w:ascii="Calibri" w:hAnsi="Calibri"/>
                <w:b w:val="0"/>
                <w:sz w:val="18"/>
              </w:rPr>
              <w:t>$400,000</w:t>
            </w:r>
          </w:p>
        </w:tc>
        <w:tc>
          <w:tcPr>
            <w:tcW w:type="dxa" w:w="1656"/>
          </w:tcPr>
          <w:p>
            <w:pPr>
              <w:spacing w:after="40" w:before="40"/>
              <w:jc w:val="right"/>
            </w:pPr>
            <w:r/>
            <w:r>
              <w:rPr>
                <w:rFonts w:ascii="Calibri" w:hAnsi="Calibri"/>
                <w:b w:val="0"/>
                <w:sz w:val="18"/>
              </w:rPr>
              <w:t>$2,000,000</w:t>
            </w:r>
          </w:p>
        </w:tc>
        <w:tc>
          <w:tcPr>
            <w:tcW w:type="dxa" w:w="1296"/>
          </w:tcPr>
          <w:p>
            <w:pPr>
              <w:spacing w:after="40" w:before="40"/>
              <w:jc w:val="right"/>
            </w:pPr>
            <w:r/>
            <w:r>
              <w:rPr>
                <w:rFonts w:ascii="Calibri" w:hAnsi="Calibri"/>
                <w:b w:val="0"/>
                <w:sz w:val="18"/>
              </w:rPr>
              <w:t>4.0%</w:t>
            </w:r>
          </w:p>
        </w:tc>
      </w:tr>
      <w:tr>
        <w:tc>
          <w:tcPr>
            <w:tcW w:type="dxa" w:w="4752"/>
            <w:shd w:val="clear" w:color="auto" w:fill="F2F6FA"/>
          </w:tcPr>
          <w:p>
            <w:pPr>
              <w:spacing w:after="40" w:before="40"/>
            </w:pPr>
            <w:r/>
            <w:r>
              <w:rPr>
                <w:rFonts w:ascii="Calibri" w:hAnsi="Calibri"/>
                <w:b w:val="0"/>
                <w:sz w:val="18"/>
              </w:rPr>
              <w:t>16. Capital contingency reserve</w:t>
            </w:r>
          </w:p>
        </w:tc>
        <w:tc>
          <w:tcPr>
            <w:tcW w:type="dxa" w:w="1656"/>
            <w:shd w:val="clear" w:color="auto" w:fill="F2F6FA"/>
          </w:tcPr>
          <w:p>
            <w:pPr>
              <w:spacing w:after="40" w:before="40"/>
              <w:jc w:val="right"/>
            </w:pPr>
            <w:r/>
            <w:r>
              <w:rPr>
                <w:rFonts w:ascii="Calibri" w:hAnsi="Calibri"/>
                <w:b w:val="0"/>
                <w:sz w:val="18"/>
              </w:rPr>
              <w:t>$100,000</w:t>
            </w:r>
          </w:p>
        </w:tc>
        <w:tc>
          <w:tcPr>
            <w:tcW w:type="dxa" w:w="1656"/>
            <w:shd w:val="clear" w:color="auto" w:fill="F2F6FA"/>
          </w:tcPr>
          <w:p>
            <w:pPr>
              <w:spacing w:after="40" w:before="40"/>
              <w:jc w:val="right"/>
            </w:pPr>
            <w:r/>
            <w:r>
              <w:rPr>
                <w:rFonts w:ascii="Calibri" w:hAnsi="Calibri"/>
                <w:b w:val="0"/>
                <w:sz w:val="18"/>
              </w:rPr>
              <w:t>$489,000</w:t>
            </w:r>
          </w:p>
        </w:tc>
        <w:tc>
          <w:tcPr>
            <w:tcW w:type="dxa" w:w="1296"/>
            <w:shd w:val="clear" w:color="auto" w:fill="F2F6FA"/>
          </w:tcPr>
          <w:p>
            <w:pPr>
              <w:spacing w:after="40" w:before="40"/>
              <w:jc w:val="right"/>
            </w:pPr>
            <w:r/>
            <w:r>
              <w:rPr>
                <w:rFonts w:ascii="Calibri" w:hAnsi="Calibri"/>
                <w:b w:val="0"/>
                <w:sz w:val="18"/>
              </w:rPr>
              <w:t>1.0%</w:t>
            </w:r>
          </w:p>
        </w:tc>
      </w:tr>
      <w:tr>
        <w:tc>
          <w:tcPr>
            <w:tcW w:type="dxa" w:w="4752"/>
            <w:shd w:val="clear" w:color="auto" w:fill="E9EFF4"/>
          </w:tcPr>
          <w:p>
            <w:pPr>
              <w:spacing w:after="40" w:before="40"/>
            </w:pPr>
            <w:r/>
            <w:r>
              <w:rPr>
                <w:rFonts w:ascii="Calibri" w:hAnsi="Calibri"/>
                <w:b/>
                <w:sz w:val="18"/>
              </w:rPr>
              <w:t>TOTAL</w:t>
            </w:r>
          </w:p>
        </w:tc>
        <w:tc>
          <w:tcPr>
            <w:tcW w:type="dxa" w:w="1656"/>
            <w:shd w:val="clear" w:color="auto" w:fill="E9EFF4"/>
          </w:tcPr>
          <w:p>
            <w:pPr>
              <w:spacing w:after="40" w:before="40"/>
              <w:jc w:val="right"/>
            </w:pPr>
            <w:r/>
            <w:r>
              <w:rPr>
                <w:rFonts w:ascii="Calibri" w:hAnsi="Calibri"/>
                <w:b/>
                <w:sz w:val="18"/>
              </w:rPr>
              <w:t>$10,000,000</w:t>
            </w:r>
          </w:p>
        </w:tc>
        <w:tc>
          <w:tcPr>
            <w:tcW w:type="dxa" w:w="1656"/>
            <w:shd w:val="clear" w:color="auto" w:fill="E9EFF4"/>
          </w:tcPr>
          <w:p>
            <w:pPr>
              <w:spacing w:after="40" w:before="40"/>
              <w:jc w:val="right"/>
            </w:pPr>
            <w:r/>
            <w:r>
              <w:rPr>
                <w:rFonts w:ascii="Calibri" w:hAnsi="Calibri"/>
                <w:b/>
                <w:sz w:val="18"/>
              </w:rPr>
              <w:t>$48,944,000</w:t>
            </w:r>
          </w:p>
        </w:tc>
        <w:tc>
          <w:tcPr>
            <w:tcW w:type="dxa" w:w="1296"/>
            <w:shd w:val="clear" w:color="auto" w:fill="E9EFF4"/>
          </w:tcPr>
          <w:p>
            <w:pPr>
              <w:spacing w:after="40" w:before="40"/>
              <w:jc w:val="right"/>
            </w:pPr>
            <w:r/>
            <w:r>
              <w:rPr>
                <w:rFonts w:ascii="Calibri" w:hAnsi="Calibri"/>
                <w:b/>
                <w:sz w:val="18"/>
              </w:rPr>
              <w:t>100.0%</w:t>
            </w:r>
          </w:p>
        </w:tc>
      </w:tr>
    </w:tbl>
    <w:p>
      <w:pPr>
        <w:spacing w:after="40"/>
      </w:pPr>
    </w:p>
    <w:p>
      <w:pPr>
        <w:pStyle w:val="Heading2"/>
      </w:pPr>
      <w:r>
        <w:rPr>
          <w:rFonts w:ascii="Calibri" w:hAnsi="Calibri"/>
          <w:color w:val="2E7D8A"/>
          <w:sz w:val="25"/>
        </w:rPr>
        <w:t>Annual deployment, reserve, and cumulative (base case)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744"/>
            <w:shd w:val="clear" w:color="auto" w:fill="1F3B4D"/>
          </w:tcPr>
          <w:p>
            <w:pPr>
              <w:spacing w:after="40" w:before="40"/>
            </w:pPr>
            <w:r/>
            <w:r>
              <w:rPr>
                <w:rFonts w:ascii="Calibri" w:hAnsi="Calibri"/>
                <w:b/>
                <w:color w:val="FFFFFF"/>
                <w:sz w:val="19"/>
              </w:rPr>
              <w:t>Capital</w:t>
            </w:r>
          </w:p>
        </w:tc>
        <w:tc>
          <w:tcPr>
            <w:tcW w:type="dxa" w:w="1368"/>
            <w:shd w:val="clear" w:color="auto" w:fill="1F3B4D"/>
          </w:tcPr>
          <w:p>
            <w:pPr>
              <w:spacing w:after="40" w:before="40"/>
              <w:jc w:val="center"/>
            </w:pPr>
            <w:r/>
            <w:r>
              <w:rPr>
                <w:rFonts w:ascii="Calibri" w:hAnsi="Calibri"/>
                <w:b/>
                <w:color w:val="FFFFFF"/>
                <w:sz w:val="19"/>
              </w:rPr>
              <w:t>2027</w:t>
            </w:r>
          </w:p>
        </w:tc>
        <w:tc>
          <w:tcPr>
            <w:tcW w:type="dxa" w:w="1368"/>
            <w:shd w:val="clear" w:color="auto" w:fill="1F3B4D"/>
          </w:tcPr>
          <w:p>
            <w:pPr>
              <w:spacing w:after="40" w:before="40"/>
              <w:jc w:val="center"/>
            </w:pPr>
            <w:r/>
            <w:r>
              <w:rPr>
                <w:rFonts w:ascii="Calibri" w:hAnsi="Calibri"/>
                <w:b/>
                <w:color w:val="FFFFFF"/>
                <w:sz w:val="19"/>
              </w:rPr>
              <w:t>2028</w:t>
            </w:r>
          </w:p>
        </w:tc>
        <w:tc>
          <w:tcPr>
            <w:tcW w:type="dxa" w:w="1368"/>
            <w:shd w:val="clear" w:color="auto" w:fill="1F3B4D"/>
          </w:tcPr>
          <w:p>
            <w:pPr>
              <w:spacing w:after="40" w:before="40"/>
              <w:jc w:val="center"/>
            </w:pPr>
            <w:r/>
            <w:r>
              <w:rPr>
                <w:rFonts w:ascii="Calibri" w:hAnsi="Calibri"/>
                <w:b/>
                <w:color w:val="FFFFFF"/>
                <w:sz w:val="19"/>
              </w:rPr>
              <w:t>2029</w:t>
            </w:r>
          </w:p>
        </w:tc>
        <w:tc>
          <w:tcPr>
            <w:tcW w:type="dxa" w:w="1368"/>
            <w:shd w:val="clear" w:color="auto" w:fill="1F3B4D"/>
          </w:tcPr>
          <w:p>
            <w:pPr>
              <w:spacing w:after="40" w:before="40"/>
              <w:jc w:val="center"/>
            </w:pPr>
            <w:r/>
            <w:r>
              <w:rPr>
                <w:rFonts w:ascii="Calibri" w:hAnsi="Calibri"/>
                <w:b/>
                <w:color w:val="FFFFFF"/>
                <w:sz w:val="19"/>
              </w:rPr>
              <w:t>2030</w:t>
            </w:r>
          </w:p>
        </w:tc>
        <w:tc>
          <w:tcPr>
            <w:tcW w:type="dxa" w:w="1368"/>
            <w:shd w:val="clear" w:color="auto" w:fill="1F3B4D"/>
          </w:tcPr>
          <w:p>
            <w:pPr>
              <w:spacing w:after="40" w:before="40"/>
              <w:jc w:val="center"/>
            </w:pPr>
            <w:r/>
            <w:r>
              <w:rPr>
                <w:rFonts w:ascii="Calibri" w:hAnsi="Calibri"/>
                <w:b/>
                <w:color w:val="FFFFFF"/>
                <w:sz w:val="19"/>
              </w:rPr>
              <w:t>2031</w:t>
            </w:r>
          </w:p>
        </w:tc>
      </w:tr>
      <w:tr>
        <w:tc>
          <w:tcPr>
            <w:tcW w:type="dxa" w:w="3744"/>
          </w:tcPr>
          <w:p>
            <w:pPr>
              <w:spacing w:after="40" w:before="40"/>
            </w:pPr>
            <w:r/>
            <w:r>
              <w:rPr>
                <w:rFonts w:ascii="Calibri" w:hAnsi="Calibri"/>
                <w:b w:val="0"/>
                <w:sz w:val="19"/>
              </w:rPr>
              <w:t>Available</w:t>
            </w:r>
          </w:p>
        </w:tc>
        <w:tc>
          <w:tcPr>
            <w:tcW w:type="dxa" w:w="1368"/>
          </w:tcPr>
          <w:p>
            <w:pPr>
              <w:spacing w:after="40" w:before="40"/>
              <w:jc w:val="right"/>
            </w:pPr>
            <w:r/>
            <w:r>
              <w:rPr>
                <w:rFonts w:ascii="Calibri" w:hAnsi="Calibri"/>
                <w:b w:val="0"/>
                <w:sz w:val="19"/>
              </w:rPr>
              <w:t>$10.0M</w:t>
            </w:r>
          </w:p>
        </w:tc>
        <w:tc>
          <w:tcPr>
            <w:tcW w:type="dxa" w:w="1368"/>
          </w:tcPr>
          <w:p>
            <w:pPr>
              <w:spacing w:after="40" w:before="40"/>
              <w:jc w:val="right"/>
            </w:pPr>
            <w:r/>
            <w:r>
              <w:rPr>
                <w:rFonts w:ascii="Calibri" w:hAnsi="Calibri"/>
                <w:b w:val="0"/>
                <w:sz w:val="19"/>
              </w:rPr>
              <w:t>$10.0M</w:t>
            </w:r>
          </w:p>
        </w:tc>
        <w:tc>
          <w:tcPr>
            <w:tcW w:type="dxa" w:w="1368"/>
          </w:tcPr>
          <w:p>
            <w:pPr>
              <w:spacing w:after="40" w:before="40"/>
              <w:jc w:val="right"/>
            </w:pPr>
            <w:r/>
            <w:r>
              <w:rPr>
                <w:rFonts w:ascii="Calibri" w:hAnsi="Calibri"/>
                <w:b w:val="0"/>
                <w:sz w:val="19"/>
              </w:rPr>
              <w:t>$10.0M</w:t>
            </w:r>
          </w:p>
        </w:tc>
        <w:tc>
          <w:tcPr>
            <w:tcW w:type="dxa" w:w="1368"/>
          </w:tcPr>
          <w:p>
            <w:pPr>
              <w:spacing w:after="40" w:before="40"/>
              <w:jc w:val="right"/>
            </w:pPr>
            <w:r/>
            <w:r>
              <w:rPr>
                <w:rFonts w:ascii="Calibri" w:hAnsi="Calibri"/>
                <w:b w:val="0"/>
                <w:sz w:val="19"/>
              </w:rPr>
              <w:t>$10.0M</w:t>
            </w:r>
          </w:p>
        </w:tc>
        <w:tc>
          <w:tcPr>
            <w:tcW w:type="dxa" w:w="1368"/>
          </w:tcPr>
          <w:p>
            <w:pPr>
              <w:spacing w:after="40" w:before="40"/>
              <w:jc w:val="right"/>
            </w:pPr>
            <w:r/>
            <w:r>
              <w:rPr>
                <w:rFonts w:ascii="Calibri" w:hAnsi="Calibri"/>
                <w:b w:val="0"/>
                <w:sz w:val="19"/>
              </w:rPr>
              <w:t>$10.0M</w:t>
            </w:r>
          </w:p>
        </w:tc>
      </w:tr>
      <w:tr>
        <w:tc>
          <w:tcPr>
            <w:tcW w:type="dxa" w:w="3744"/>
            <w:shd w:val="clear" w:color="auto" w:fill="F2F6FA"/>
          </w:tcPr>
          <w:p>
            <w:pPr>
              <w:spacing w:after="40" w:before="40"/>
            </w:pPr>
            <w:r/>
            <w:r>
              <w:rPr>
                <w:rFonts w:ascii="Calibri" w:hAnsi="Calibri"/>
                <w:b w:val="0"/>
                <w:sz w:val="19"/>
              </w:rPr>
              <w:t>Deployed</w:t>
            </w:r>
          </w:p>
        </w:tc>
        <w:tc>
          <w:tcPr>
            <w:tcW w:type="dxa" w:w="1368"/>
            <w:shd w:val="clear" w:color="auto" w:fill="F2F6FA"/>
          </w:tcPr>
          <w:p>
            <w:pPr>
              <w:spacing w:after="40" w:before="40"/>
              <w:jc w:val="right"/>
            </w:pPr>
            <w:r/>
            <w:r>
              <w:rPr>
                <w:rFonts w:ascii="Calibri" w:hAnsi="Calibri"/>
                <w:b w:val="0"/>
                <w:sz w:val="19"/>
              </w:rPr>
              <w:t>$9.6M</w:t>
            </w:r>
          </w:p>
        </w:tc>
        <w:tc>
          <w:tcPr>
            <w:tcW w:type="dxa" w:w="1368"/>
            <w:shd w:val="clear" w:color="auto" w:fill="F2F6FA"/>
          </w:tcPr>
          <w:p>
            <w:pPr>
              <w:spacing w:after="40" w:before="40"/>
              <w:jc w:val="right"/>
            </w:pPr>
            <w:r/>
            <w:r>
              <w:rPr>
                <w:rFonts w:ascii="Calibri" w:hAnsi="Calibri"/>
                <w:b w:val="0"/>
                <w:sz w:val="19"/>
              </w:rPr>
              <w:t>$9.8M</w:t>
            </w:r>
          </w:p>
        </w:tc>
        <w:tc>
          <w:tcPr>
            <w:tcW w:type="dxa" w:w="1368"/>
            <w:shd w:val="clear" w:color="auto" w:fill="F2F6FA"/>
          </w:tcPr>
          <w:p>
            <w:pPr>
              <w:spacing w:after="40" w:before="40"/>
              <w:jc w:val="right"/>
            </w:pPr>
            <w:r/>
            <w:r>
              <w:rPr>
                <w:rFonts w:ascii="Calibri" w:hAnsi="Calibri"/>
                <w:b w:val="0"/>
                <w:sz w:val="19"/>
              </w:rPr>
              <w:t>$10.0M</w:t>
            </w:r>
          </w:p>
        </w:tc>
        <w:tc>
          <w:tcPr>
            <w:tcW w:type="dxa" w:w="1368"/>
            <w:shd w:val="clear" w:color="auto" w:fill="F2F6FA"/>
          </w:tcPr>
          <w:p>
            <w:pPr>
              <w:spacing w:after="40" w:before="40"/>
              <w:jc w:val="right"/>
            </w:pPr>
            <w:r/>
            <w:r>
              <w:rPr>
                <w:rFonts w:ascii="Calibri" w:hAnsi="Calibri"/>
                <w:b w:val="0"/>
                <w:sz w:val="19"/>
              </w:rPr>
              <w:t>$9.8M</w:t>
            </w:r>
          </w:p>
        </w:tc>
        <w:tc>
          <w:tcPr>
            <w:tcW w:type="dxa" w:w="1368"/>
            <w:shd w:val="clear" w:color="auto" w:fill="F2F6FA"/>
          </w:tcPr>
          <w:p>
            <w:pPr>
              <w:spacing w:after="40" w:before="40"/>
              <w:jc w:val="right"/>
            </w:pPr>
            <w:r/>
            <w:r>
              <w:rPr>
                <w:rFonts w:ascii="Calibri" w:hAnsi="Calibri"/>
                <w:b w:val="0"/>
                <w:sz w:val="19"/>
              </w:rPr>
              <w:t>$9.7M</w:t>
            </w:r>
          </w:p>
        </w:tc>
      </w:tr>
      <w:tr>
        <w:tc>
          <w:tcPr>
            <w:tcW w:type="dxa" w:w="3744"/>
          </w:tcPr>
          <w:p>
            <w:pPr>
              <w:spacing w:after="40" w:before="40"/>
            </w:pPr>
            <w:r/>
            <w:r>
              <w:rPr>
                <w:rFonts w:ascii="Calibri" w:hAnsi="Calibri"/>
                <w:b w:val="0"/>
                <w:sz w:val="19"/>
              </w:rPr>
              <w:t>Uncommitted (reserve/carryforward)</w:t>
            </w:r>
          </w:p>
        </w:tc>
        <w:tc>
          <w:tcPr>
            <w:tcW w:type="dxa" w:w="1368"/>
          </w:tcPr>
          <w:p>
            <w:pPr>
              <w:spacing w:after="40" w:before="40"/>
              <w:jc w:val="right"/>
            </w:pPr>
            <w:r/>
            <w:r>
              <w:rPr>
                <w:rFonts w:ascii="Calibri" w:hAnsi="Calibri"/>
                <w:b w:val="0"/>
                <w:sz w:val="19"/>
              </w:rPr>
              <w:t>$384,000</w:t>
            </w:r>
          </w:p>
        </w:tc>
        <w:tc>
          <w:tcPr>
            <w:tcW w:type="dxa" w:w="1368"/>
          </w:tcPr>
          <w:p>
            <w:pPr>
              <w:spacing w:after="40" w:before="40"/>
              <w:jc w:val="right"/>
            </w:pPr>
            <w:r/>
            <w:r>
              <w:rPr>
                <w:rFonts w:ascii="Calibri" w:hAnsi="Calibri"/>
                <w:b w:val="0"/>
                <w:sz w:val="19"/>
              </w:rPr>
              <w:t>$192,000</w:t>
            </w:r>
          </w:p>
        </w:tc>
        <w:tc>
          <w:tcPr>
            <w:tcW w:type="dxa" w:w="1368"/>
          </w:tcPr>
          <w:p>
            <w:pPr>
              <w:spacing w:after="40" w:before="40"/>
              <w:jc w:val="right"/>
            </w:pPr>
            <w:r/>
            <w:r>
              <w:rPr>
                <w:rFonts w:ascii="Calibri" w:hAnsi="Calibri"/>
                <w:b w:val="0"/>
                <w:sz w:val="19"/>
              </w:rPr>
              <w:t>$0</w:t>
            </w:r>
          </w:p>
        </w:tc>
        <w:tc>
          <w:tcPr>
            <w:tcW w:type="dxa" w:w="1368"/>
          </w:tcPr>
          <w:p>
            <w:pPr>
              <w:spacing w:after="40" w:before="40"/>
              <w:jc w:val="right"/>
            </w:pPr>
            <w:r/>
            <w:r>
              <w:rPr>
                <w:rFonts w:ascii="Calibri" w:hAnsi="Calibri"/>
                <w:b w:val="0"/>
                <w:sz w:val="19"/>
              </w:rPr>
              <w:t>$192,000</w:t>
            </w:r>
          </w:p>
        </w:tc>
        <w:tc>
          <w:tcPr>
            <w:tcW w:type="dxa" w:w="1368"/>
          </w:tcPr>
          <w:p>
            <w:pPr>
              <w:spacing w:after="40" w:before="40"/>
              <w:jc w:val="right"/>
            </w:pPr>
            <w:r/>
            <w:r>
              <w:rPr>
                <w:rFonts w:ascii="Calibri" w:hAnsi="Calibri"/>
                <w:b w:val="0"/>
                <w:sz w:val="19"/>
              </w:rPr>
              <w:t>$288,000</w:t>
            </w:r>
          </w:p>
        </w:tc>
      </w:tr>
      <w:tr>
        <w:tc>
          <w:tcPr>
            <w:tcW w:type="dxa" w:w="3744"/>
            <w:shd w:val="clear" w:color="auto" w:fill="F2F6FA"/>
          </w:tcPr>
          <w:p>
            <w:pPr>
              <w:spacing w:after="40" w:before="40"/>
            </w:pPr>
            <w:r/>
            <w:r>
              <w:rPr>
                <w:rFonts w:ascii="Calibri" w:hAnsi="Calibri"/>
                <w:b w:val="0"/>
                <w:sz w:val="19"/>
              </w:rPr>
              <w:t>Cumulative deployed</w:t>
            </w:r>
          </w:p>
        </w:tc>
        <w:tc>
          <w:tcPr>
            <w:tcW w:type="dxa" w:w="1368"/>
            <w:shd w:val="clear" w:color="auto" w:fill="F2F6FA"/>
          </w:tcPr>
          <w:p>
            <w:pPr>
              <w:spacing w:after="40" w:before="40"/>
              <w:jc w:val="right"/>
            </w:pPr>
            <w:r/>
            <w:r>
              <w:rPr>
                <w:rFonts w:ascii="Calibri" w:hAnsi="Calibri"/>
                <w:b w:val="0"/>
                <w:sz w:val="19"/>
              </w:rPr>
              <w:t>$9.6M</w:t>
            </w:r>
          </w:p>
        </w:tc>
        <w:tc>
          <w:tcPr>
            <w:tcW w:type="dxa" w:w="1368"/>
            <w:shd w:val="clear" w:color="auto" w:fill="F2F6FA"/>
          </w:tcPr>
          <w:p>
            <w:pPr>
              <w:spacing w:after="40" w:before="40"/>
              <w:jc w:val="right"/>
            </w:pPr>
            <w:r/>
            <w:r>
              <w:rPr>
                <w:rFonts w:ascii="Calibri" w:hAnsi="Calibri"/>
                <w:b w:val="0"/>
                <w:sz w:val="19"/>
              </w:rPr>
              <w:t>$19.4M</w:t>
            </w:r>
          </w:p>
        </w:tc>
        <w:tc>
          <w:tcPr>
            <w:tcW w:type="dxa" w:w="1368"/>
            <w:shd w:val="clear" w:color="auto" w:fill="F2F6FA"/>
          </w:tcPr>
          <w:p>
            <w:pPr>
              <w:spacing w:after="40" w:before="40"/>
              <w:jc w:val="right"/>
            </w:pPr>
            <w:r/>
            <w:r>
              <w:rPr>
                <w:rFonts w:ascii="Calibri" w:hAnsi="Calibri"/>
                <w:b w:val="0"/>
                <w:sz w:val="19"/>
              </w:rPr>
              <w:t>$29.4M</w:t>
            </w:r>
          </w:p>
        </w:tc>
        <w:tc>
          <w:tcPr>
            <w:tcW w:type="dxa" w:w="1368"/>
            <w:shd w:val="clear" w:color="auto" w:fill="F2F6FA"/>
          </w:tcPr>
          <w:p>
            <w:pPr>
              <w:spacing w:after="40" w:before="40"/>
              <w:jc w:val="right"/>
            </w:pPr>
            <w:r/>
            <w:r>
              <w:rPr>
                <w:rFonts w:ascii="Calibri" w:hAnsi="Calibri"/>
                <w:b w:val="0"/>
                <w:sz w:val="19"/>
              </w:rPr>
              <w:t>$39.2M</w:t>
            </w:r>
          </w:p>
        </w:tc>
        <w:tc>
          <w:tcPr>
            <w:tcW w:type="dxa" w:w="1368"/>
            <w:shd w:val="clear" w:color="auto" w:fill="F2F6FA"/>
          </w:tcPr>
          <w:p>
            <w:pPr>
              <w:spacing w:after="40" w:before="40"/>
              <w:jc w:val="right"/>
            </w:pPr>
            <w:r/>
            <w:r>
              <w:rPr>
                <w:rFonts w:ascii="Calibri" w:hAnsi="Calibri"/>
                <w:b w:val="0"/>
                <w:sz w:val="19"/>
              </w:rPr>
              <w:t>$48.9M</w:t>
            </w:r>
          </w:p>
        </w:tc>
      </w:tr>
    </w:tbl>
    <w:p>
      <w:pPr>
        <w:spacing w:after="40"/>
      </w:pPr>
    </w:p>
    <w:p>
      <w:pPr>
        <w:spacing w:after="120"/>
      </w:pPr>
      <w:r>
        <w:rPr>
          <w:i/>
          <w:color w:val="606060"/>
          <w:sz w:val="19"/>
        </w:rPr>
        <w:t>Each category in the Excel model carries a business purpose, expected operational benefit, expected revenue/cost impact, recommended timing, key dependency, responsible executive, and a depreciation-period placeholder. Depreciation periods are placeholders pending a fixed-asset study.</w:t>
      </w:r>
    </w:p>
    <w:tbl>
      <w:tblPr>
        <w:tblStyle w:val="TableGrid"/>
        <w:tblW w:type="auto" w:w="0"/>
        <w:tblLook w:firstColumn="1" w:firstRow="1" w:lastColumn="0" w:lastRow="0" w:noHBand="0" w:noVBand="1" w:val="04A0"/>
      </w:tblPr>
      <w:tblGrid>
        <w:gridCol w:w="8640"/>
      </w:tblGrid>
      <w:tr>
        <w:tc>
          <w:tcPr>
            <w:tcW w:type="dxa" w:w="8640"/>
            <w:shd w:val="clear" w:color="auto" w:fill="FBE9D6"/>
          </w:tcPr>
          <w:p>
            <w:pPr>
              <w:spacing w:after="40" w:before="40"/>
            </w:pPr>
            <w:r/>
            <w:r>
              <w:rPr>
                <w:rFonts w:ascii="Calibri" w:hAnsi="Calibri"/>
                <w:b w:val="0"/>
                <w:color w:val="8A4B00"/>
                <w:sz w:val="19"/>
              </w:rPr>
              <w:t>The $10.0M annual allocation reconciles exactly (check cell = 0). The equipment-refresh program (category 15) is fixed at $400,000/yr and $2.0M over five years and is not scaled by deployment pace, preventing double-counting.</w:t>
            </w:r>
          </w:p>
        </w:tc>
      </w:tr>
    </w:tbl>
    <w:p>
      <w:pPr>
        <w:spacing w:after="40"/>
      </w:pPr>
    </w:p>
    <w:p>
      <w:r>
        <w:br w:type="page"/>
      </w:r>
    </w:p>
    <w:p>
      <w:pPr>
        <w:pStyle w:val="Heading1"/>
      </w:pPr>
      <w:r>
        <w:rPr>
          <w:rFonts w:ascii="Calibri" w:hAnsi="Calibri"/>
          <w:color w:val="1F3B4D"/>
          <w:sz w:val="32"/>
        </w:rPr>
        <w:t>6. Equipment-Refresh Plan</w:t>
      </w:r>
    </w:p>
    <w:p>
      <w:pPr>
        <w:spacing w:after="120"/>
      </w:pPr>
      <w:r>
        <w:rPr>
          <w:i w:val="0"/>
          <w:sz w:val="21"/>
        </w:rPr>
        <w:t>A funded lifecycle-refresh program replaces aging core, access, test, fleet, IT, and security equipment on a scheduled basis, preventing emergency capital spend and the churn that accompanies aging-plant failures.</w:t>
      </w:r>
    </w:p>
    <w:tbl>
      <w:tblPr>
        <w:tblStyle w:val="TableGrid"/>
        <w:tblW w:type="auto" w:w="0"/>
        <w:jc w:val="center"/>
        <w:tblLook w:firstColumn="1" w:firstRow="1" w:lastColumn="0" w:lastRow="0" w:noHBand="0" w:noVBand="1" w:val="04A0"/>
      </w:tblPr>
      <w:tblGrid>
        <w:gridCol w:w="4320"/>
        <w:gridCol w:w="4320"/>
      </w:tblGrid>
      <w:tr>
        <w:tc>
          <w:tcPr>
            <w:tcW w:type="dxa" w:w="3456"/>
            <w:shd w:val="clear" w:color="auto" w:fill="1F3B4D"/>
          </w:tcPr>
          <w:p>
            <w:pPr>
              <w:spacing w:after="40" w:before="40"/>
            </w:pPr>
            <w:r/>
            <w:r>
              <w:rPr>
                <w:rFonts w:ascii="Calibri" w:hAnsi="Calibri"/>
                <w:b/>
                <w:color w:val="FFFFFF"/>
                <w:sz w:val="19"/>
              </w:rPr>
              <w:t>Parameter</w:t>
            </w:r>
          </w:p>
        </w:tc>
        <w:tc>
          <w:tcPr>
            <w:tcW w:type="dxa" w:w="6336"/>
            <w:shd w:val="clear" w:color="auto" w:fill="1F3B4D"/>
          </w:tcPr>
          <w:p>
            <w:pPr>
              <w:spacing w:after="40" w:before="40"/>
              <w:jc w:val="center"/>
            </w:pPr>
            <w:r/>
            <w:r>
              <w:rPr>
                <w:rFonts w:ascii="Calibri" w:hAnsi="Calibri"/>
                <w:b/>
                <w:color w:val="FFFFFF"/>
                <w:sz w:val="19"/>
              </w:rPr>
              <w:t>Value</w:t>
            </w:r>
          </w:p>
        </w:tc>
      </w:tr>
      <w:tr>
        <w:tc>
          <w:tcPr>
            <w:tcW w:type="dxa" w:w="3456"/>
          </w:tcPr>
          <w:p>
            <w:pPr>
              <w:spacing w:after="40" w:before="40"/>
            </w:pPr>
            <w:r/>
            <w:r>
              <w:rPr>
                <w:rFonts w:ascii="Calibri" w:hAnsi="Calibri"/>
                <w:b w:val="0"/>
                <w:sz w:val="19"/>
              </w:rPr>
              <w:t>Annual refresh budget</w:t>
            </w:r>
          </w:p>
        </w:tc>
        <w:tc>
          <w:tcPr>
            <w:tcW w:type="dxa" w:w="6336"/>
          </w:tcPr>
          <w:p>
            <w:pPr>
              <w:spacing w:after="40" w:before="40"/>
              <w:jc w:val="right"/>
            </w:pPr>
            <w:r/>
            <w:r>
              <w:rPr>
                <w:rFonts w:ascii="Calibri" w:hAnsi="Calibri"/>
                <w:b w:val="0"/>
                <w:sz w:val="19"/>
              </w:rPr>
              <w:t>$400,000</w:t>
            </w:r>
          </w:p>
        </w:tc>
      </w:tr>
      <w:tr>
        <w:tc>
          <w:tcPr>
            <w:tcW w:type="dxa" w:w="3456"/>
            <w:shd w:val="clear" w:color="auto" w:fill="F2F6FA"/>
          </w:tcPr>
          <w:p>
            <w:pPr>
              <w:spacing w:after="40" w:before="40"/>
            </w:pPr>
            <w:r/>
            <w:r>
              <w:rPr>
                <w:rFonts w:ascii="Calibri" w:hAnsi="Calibri"/>
                <w:b w:val="0"/>
                <w:sz w:val="19"/>
              </w:rPr>
              <w:t>Five-year refresh budget</w:t>
            </w:r>
          </w:p>
        </w:tc>
        <w:tc>
          <w:tcPr>
            <w:tcW w:type="dxa" w:w="6336"/>
            <w:shd w:val="clear" w:color="auto" w:fill="F2F6FA"/>
          </w:tcPr>
          <w:p>
            <w:pPr>
              <w:spacing w:after="40" w:before="40"/>
              <w:jc w:val="right"/>
            </w:pPr>
            <w:r/>
            <w:r>
              <w:rPr>
                <w:rFonts w:ascii="Calibri" w:hAnsi="Calibri"/>
                <w:b w:val="0"/>
                <w:sz w:val="19"/>
              </w:rPr>
              <w:t>$2,000,000</w:t>
            </w:r>
          </w:p>
        </w:tc>
      </w:tr>
      <w:tr>
        <w:tc>
          <w:tcPr>
            <w:tcW w:type="dxa" w:w="3456"/>
          </w:tcPr>
          <w:p>
            <w:pPr>
              <w:spacing w:after="40" w:before="40"/>
            </w:pPr>
            <w:r/>
            <w:r>
              <w:rPr>
                <w:rFonts w:ascii="Calibri" w:hAnsi="Calibri"/>
                <w:b w:val="0"/>
                <w:sz w:val="19"/>
              </w:rPr>
              <w:t>Base-model treatment</w:t>
            </w:r>
          </w:p>
        </w:tc>
        <w:tc>
          <w:tcPr>
            <w:tcW w:type="dxa" w:w="6336"/>
          </w:tcPr>
          <w:p>
            <w:pPr>
              <w:spacing w:after="40" w:before="40"/>
              <w:jc w:val="right"/>
            </w:pPr>
            <w:r/>
            <w:r>
              <w:rPr>
                <w:rFonts w:ascii="Calibri" w:hAnsi="Calibri"/>
                <w:b w:val="0"/>
                <w:sz w:val="19"/>
              </w:rPr>
              <w:t>Part of the $10M annual allocation (category 15)</w:t>
            </w:r>
          </w:p>
        </w:tc>
      </w:tr>
      <w:tr>
        <w:tc>
          <w:tcPr>
            <w:tcW w:type="dxa" w:w="3456"/>
            <w:shd w:val="clear" w:color="auto" w:fill="F2F6FA"/>
          </w:tcPr>
          <w:p>
            <w:pPr>
              <w:spacing w:after="40" w:before="40"/>
            </w:pPr>
            <w:r/>
            <w:r>
              <w:rPr>
                <w:rFonts w:ascii="Calibri" w:hAnsi="Calibri"/>
                <w:b w:val="0"/>
                <w:sz w:val="19"/>
              </w:rPr>
              <w:t>Adjustable-model treatment</w:t>
            </w:r>
          </w:p>
        </w:tc>
        <w:tc>
          <w:tcPr>
            <w:tcW w:type="dxa" w:w="6336"/>
            <w:shd w:val="clear" w:color="auto" w:fill="F2F6FA"/>
          </w:tcPr>
          <w:p>
            <w:pPr>
              <w:spacing w:after="40" w:before="40"/>
              <w:jc w:val="right"/>
            </w:pPr>
            <w:r/>
            <w:r>
              <w:rPr>
                <w:rFonts w:ascii="Calibri" w:hAnsi="Calibri"/>
                <w:b w:val="0"/>
                <w:sz w:val="19"/>
              </w:rPr>
              <w:t>Outside the $10M (+$400K/yr) — toggle on the Excel Scenario Selector</w:t>
            </w:r>
          </w:p>
        </w:tc>
      </w:tr>
      <w:tr>
        <w:tc>
          <w:tcPr>
            <w:tcW w:type="dxa" w:w="3456"/>
          </w:tcPr>
          <w:p>
            <w:pPr>
              <w:spacing w:after="40" w:before="40"/>
            </w:pPr>
            <w:r/>
            <w:r>
              <w:rPr>
                <w:rFonts w:ascii="Calibri" w:hAnsi="Calibri"/>
                <w:b w:val="0"/>
                <w:sz w:val="19"/>
              </w:rPr>
              <w:t>Governance</w:t>
            </w:r>
          </w:p>
        </w:tc>
        <w:tc>
          <w:tcPr>
            <w:tcW w:type="dxa" w:w="6336"/>
          </w:tcPr>
          <w:p>
            <w:pPr>
              <w:spacing w:after="40" w:before="40"/>
              <w:jc w:val="right"/>
            </w:pPr>
            <w:r/>
            <w:r>
              <w:rPr>
                <w:rFonts w:ascii="Calibri" w:hAnsi="Calibri"/>
                <w:b w:val="0"/>
                <w:sz w:val="19"/>
              </w:rPr>
              <w:t>Annual refresh schedule set against equipment-lifecycle standards</w:t>
            </w:r>
          </w:p>
        </w:tc>
      </w:tr>
    </w:tbl>
    <w:p>
      <w:pPr>
        <w:spacing w:after="40"/>
      </w:pPr>
    </w:p>
    <w:p>
      <w:pPr>
        <w:spacing w:after="120"/>
      </w:pPr>
      <w:r>
        <w:rPr>
          <w:i/>
          <w:color w:val="606060"/>
          <w:sz w:val="19"/>
        </w:rPr>
        <w:t>The Excel 'Equipment Refresh' tab distributes the $400,000 across core/aggregation, OLT optics, field test equipment, splicing gear, fleet tools, servers/storage, security appliances, and an aged-ONT swap pool, with each line carrying a depreciation-period placeholder. Every year totals exactly $400,000 (check cell = 0).</w:t>
      </w:r>
    </w:p>
    <w:p>
      <w:r>
        <w:br w:type="page"/>
      </w:r>
    </w:p>
    <w:p>
      <w:pPr>
        <w:pStyle w:val="Heading1"/>
      </w:pPr>
      <w:r>
        <w:rPr>
          <w:rFonts w:ascii="Calibri" w:hAnsi="Calibri"/>
          <w:color w:val="1F3B4D"/>
          <w:sz w:val="32"/>
        </w:rPr>
        <w:t>7. Staffing Plan</w:t>
      </w:r>
    </w:p>
    <w:p>
      <w:pPr>
        <w:pStyle w:val="Heading2"/>
      </w:pPr>
      <w:r>
        <w:rPr>
          <w:rFonts w:ascii="Calibri" w:hAnsi="Calibri"/>
          <w:color w:val="2E7D8A"/>
          <w:sz w:val="25"/>
        </w:rPr>
        <w:t>Current staffing (actual)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0"/>
            <w:shd w:val="clear" w:color="auto" w:fill="1F3B4D"/>
          </w:tcPr>
          <w:p>
            <w:pPr>
              <w:spacing w:after="40" w:before="40"/>
            </w:pPr>
            <w:r/>
            <w:r>
              <w:rPr>
                <w:rFonts w:ascii="Calibri" w:hAnsi="Calibri"/>
                <w:b/>
                <w:color w:val="FFFFFF"/>
                <w:sz w:val="19"/>
              </w:rPr>
              <w:t>Position</w:t>
            </w:r>
          </w:p>
        </w:tc>
        <w:tc>
          <w:tcPr>
            <w:tcW w:type="dxa" w:w="1584"/>
            <w:shd w:val="clear" w:color="auto" w:fill="1F3B4D"/>
          </w:tcPr>
          <w:p>
            <w:pPr>
              <w:spacing w:after="40" w:before="40"/>
              <w:jc w:val="center"/>
            </w:pPr>
            <w:r/>
            <w:r>
              <w:rPr>
                <w:rFonts w:ascii="Calibri" w:hAnsi="Calibri"/>
                <w:b/>
                <w:color w:val="FFFFFF"/>
                <w:sz w:val="19"/>
              </w:rPr>
              <w:t>Filled</w:t>
            </w:r>
          </w:p>
        </w:tc>
        <w:tc>
          <w:tcPr>
            <w:tcW w:type="dxa" w:w="1584"/>
            <w:shd w:val="clear" w:color="auto" w:fill="1F3B4D"/>
          </w:tcPr>
          <w:p>
            <w:pPr>
              <w:spacing w:after="40" w:before="40"/>
              <w:jc w:val="center"/>
            </w:pPr>
            <w:r/>
            <w:r>
              <w:rPr>
                <w:rFonts w:ascii="Calibri" w:hAnsi="Calibri"/>
                <w:b/>
                <w:color w:val="FFFFFF"/>
                <w:sz w:val="19"/>
              </w:rPr>
              <w:t>Open</w:t>
            </w:r>
          </w:p>
        </w:tc>
        <w:tc>
          <w:tcPr>
            <w:tcW w:type="dxa" w:w="1872"/>
            <w:shd w:val="clear" w:color="auto" w:fill="1F3B4D"/>
          </w:tcPr>
          <w:p>
            <w:pPr>
              <w:spacing w:after="40" w:before="40"/>
              <w:jc w:val="center"/>
            </w:pPr>
            <w:r/>
            <w:r>
              <w:rPr>
                <w:rFonts w:ascii="Calibri" w:hAnsi="Calibri"/>
                <w:b/>
                <w:color w:val="FFFFFF"/>
                <w:sz w:val="19"/>
              </w:rPr>
              <w:t>Authorized</w:t>
            </w:r>
          </w:p>
        </w:tc>
      </w:tr>
      <w:tr>
        <w:tc>
          <w:tcPr>
            <w:tcW w:type="dxa" w:w="4320"/>
          </w:tcPr>
          <w:p>
            <w:pPr>
              <w:spacing w:after="40" w:before="40"/>
            </w:pPr>
            <w:r/>
            <w:r>
              <w:rPr>
                <w:rFonts w:ascii="Calibri" w:hAnsi="Calibri"/>
                <w:b w:val="0"/>
                <w:sz w:val="19"/>
              </w:rPr>
              <w:t>Chief Operations Officer</w:t>
            </w:r>
          </w:p>
        </w:tc>
        <w:tc>
          <w:tcPr>
            <w:tcW w:type="dxa" w:w="1584"/>
          </w:tcPr>
          <w:p>
            <w:pPr>
              <w:spacing w:after="40" w:before="40"/>
              <w:jc w:val="right"/>
            </w:pPr>
            <w:r/>
            <w:r>
              <w:rPr>
                <w:rFonts w:ascii="Calibri" w:hAnsi="Calibri"/>
                <w:b w:val="0"/>
                <w:sz w:val="19"/>
              </w:rPr>
              <w:t>1</w:t>
            </w:r>
          </w:p>
        </w:tc>
        <w:tc>
          <w:tcPr>
            <w:tcW w:type="dxa" w:w="1584"/>
          </w:tcPr>
          <w:p>
            <w:pPr>
              <w:spacing w:after="40" w:before="40"/>
              <w:jc w:val="right"/>
            </w:pPr>
            <w:r/>
            <w:r>
              <w:rPr>
                <w:rFonts w:ascii="Calibri" w:hAnsi="Calibri"/>
                <w:b w:val="0"/>
                <w:sz w:val="19"/>
              </w:rPr>
              <w:t>0</w:t>
            </w:r>
          </w:p>
        </w:tc>
        <w:tc>
          <w:tcPr>
            <w:tcW w:type="dxa" w:w="1872"/>
          </w:tcPr>
          <w:p>
            <w:pPr>
              <w:spacing w:after="40" w:before="40"/>
              <w:jc w:val="right"/>
            </w:pPr>
            <w:r/>
            <w:r>
              <w:rPr>
                <w:rFonts w:ascii="Calibri" w:hAnsi="Calibri"/>
                <w:b w:val="0"/>
                <w:sz w:val="19"/>
              </w:rPr>
              <w:t>1</w:t>
            </w:r>
          </w:p>
        </w:tc>
      </w:tr>
      <w:tr>
        <w:tc>
          <w:tcPr>
            <w:tcW w:type="dxa" w:w="4320"/>
            <w:shd w:val="clear" w:color="auto" w:fill="F2F6FA"/>
          </w:tcPr>
          <w:p>
            <w:pPr>
              <w:spacing w:after="40" w:before="40"/>
            </w:pPr>
            <w:r/>
            <w:r>
              <w:rPr>
                <w:rFonts w:ascii="Calibri" w:hAnsi="Calibri"/>
                <w:b w:val="0"/>
                <w:sz w:val="19"/>
              </w:rPr>
              <w:t>Director of Outside Plant</w:t>
            </w:r>
          </w:p>
        </w:tc>
        <w:tc>
          <w:tcPr>
            <w:tcW w:type="dxa" w:w="1584"/>
            <w:shd w:val="clear" w:color="auto" w:fill="F2F6FA"/>
          </w:tcPr>
          <w:p>
            <w:pPr>
              <w:spacing w:after="40" w:before="40"/>
              <w:jc w:val="right"/>
            </w:pPr>
            <w:r/>
            <w:r>
              <w:rPr>
                <w:rFonts w:ascii="Calibri" w:hAnsi="Calibri"/>
                <w:b w:val="0"/>
                <w:sz w:val="19"/>
              </w:rPr>
              <w:t>1</w:t>
            </w:r>
          </w:p>
        </w:tc>
        <w:tc>
          <w:tcPr>
            <w:tcW w:type="dxa" w:w="1584"/>
            <w:shd w:val="clear" w:color="auto" w:fill="F2F6FA"/>
          </w:tcPr>
          <w:p>
            <w:pPr>
              <w:spacing w:after="40" w:before="40"/>
              <w:jc w:val="right"/>
            </w:pPr>
            <w:r/>
            <w:r>
              <w:rPr>
                <w:rFonts w:ascii="Calibri" w:hAnsi="Calibri"/>
                <w:b w:val="0"/>
                <w:sz w:val="19"/>
              </w:rPr>
              <w:t>0</w:t>
            </w:r>
          </w:p>
        </w:tc>
        <w:tc>
          <w:tcPr>
            <w:tcW w:type="dxa" w:w="1872"/>
            <w:shd w:val="clear" w:color="auto" w:fill="F2F6FA"/>
          </w:tcPr>
          <w:p>
            <w:pPr>
              <w:spacing w:after="40" w:before="40"/>
              <w:jc w:val="right"/>
            </w:pPr>
            <w:r/>
            <w:r>
              <w:rPr>
                <w:rFonts w:ascii="Calibri" w:hAnsi="Calibri"/>
                <w:b w:val="0"/>
                <w:sz w:val="19"/>
              </w:rPr>
              <w:t>1</w:t>
            </w:r>
          </w:p>
        </w:tc>
      </w:tr>
      <w:tr>
        <w:tc>
          <w:tcPr>
            <w:tcW w:type="dxa" w:w="4320"/>
          </w:tcPr>
          <w:p>
            <w:pPr>
              <w:spacing w:after="40" w:before="40"/>
            </w:pPr>
            <w:r/>
            <w:r>
              <w:rPr>
                <w:rFonts w:ascii="Calibri" w:hAnsi="Calibri"/>
                <w:b w:val="0"/>
                <w:sz w:val="19"/>
              </w:rPr>
              <w:t>Supervisors</w:t>
            </w:r>
          </w:p>
        </w:tc>
        <w:tc>
          <w:tcPr>
            <w:tcW w:type="dxa" w:w="1584"/>
          </w:tcPr>
          <w:p>
            <w:pPr>
              <w:spacing w:after="40" w:before="40"/>
              <w:jc w:val="right"/>
            </w:pPr>
            <w:r/>
            <w:r>
              <w:rPr>
                <w:rFonts w:ascii="Calibri" w:hAnsi="Calibri"/>
                <w:b w:val="0"/>
                <w:sz w:val="19"/>
              </w:rPr>
              <w:t>2</w:t>
            </w:r>
          </w:p>
        </w:tc>
        <w:tc>
          <w:tcPr>
            <w:tcW w:type="dxa" w:w="1584"/>
          </w:tcPr>
          <w:p>
            <w:pPr>
              <w:spacing w:after="40" w:before="40"/>
              <w:jc w:val="right"/>
            </w:pPr>
            <w:r/>
            <w:r>
              <w:rPr>
                <w:rFonts w:ascii="Calibri" w:hAnsi="Calibri"/>
                <w:b w:val="0"/>
                <w:sz w:val="19"/>
              </w:rPr>
              <w:t>0</w:t>
            </w:r>
          </w:p>
        </w:tc>
        <w:tc>
          <w:tcPr>
            <w:tcW w:type="dxa" w:w="1872"/>
          </w:tcPr>
          <w:p>
            <w:pPr>
              <w:spacing w:after="40" w:before="40"/>
              <w:jc w:val="right"/>
            </w:pPr>
            <w:r/>
            <w:r>
              <w:rPr>
                <w:rFonts w:ascii="Calibri" w:hAnsi="Calibri"/>
                <w:b w:val="0"/>
                <w:sz w:val="19"/>
              </w:rPr>
              <w:t>2</w:t>
            </w:r>
          </w:p>
        </w:tc>
      </w:tr>
      <w:tr>
        <w:tc>
          <w:tcPr>
            <w:tcW w:type="dxa" w:w="4320"/>
            <w:shd w:val="clear" w:color="auto" w:fill="F2F6FA"/>
          </w:tcPr>
          <w:p>
            <w:pPr>
              <w:spacing w:after="40" w:before="40"/>
            </w:pPr>
            <w:r/>
            <w:r>
              <w:rPr>
                <w:rFonts w:ascii="Calibri" w:hAnsi="Calibri"/>
                <w:b w:val="0"/>
                <w:sz w:val="19"/>
              </w:rPr>
              <w:t>Project Coordinators</w:t>
            </w:r>
          </w:p>
        </w:tc>
        <w:tc>
          <w:tcPr>
            <w:tcW w:type="dxa" w:w="1584"/>
            <w:shd w:val="clear" w:color="auto" w:fill="F2F6FA"/>
          </w:tcPr>
          <w:p>
            <w:pPr>
              <w:spacing w:after="40" w:before="40"/>
              <w:jc w:val="right"/>
            </w:pPr>
            <w:r/>
            <w:r>
              <w:rPr>
                <w:rFonts w:ascii="Calibri" w:hAnsi="Calibri"/>
                <w:b w:val="0"/>
                <w:sz w:val="19"/>
              </w:rPr>
              <w:t>2</w:t>
            </w:r>
          </w:p>
        </w:tc>
        <w:tc>
          <w:tcPr>
            <w:tcW w:type="dxa" w:w="1584"/>
            <w:shd w:val="clear" w:color="auto" w:fill="F2F6FA"/>
          </w:tcPr>
          <w:p>
            <w:pPr>
              <w:spacing w:after="40" w:before="40"/>
              <w:jc w:val="right"/>
            </w:pPr>
            <w:r/>
            <w:r>
              <w:rPr>
                <w:rFonts w:ascii="Calibri" w:hAnsi="Calibri"/>
                <w:b w:val="0"/>
                <w:sz w:val="19"/>
              </w:rPr>
              <w:t>0</w:t>
            </w:r>
          </w:p>
        </w:tc>
        <w:tc>
          <w:tcPr>
            <w:tcW w:type="dxa" w:w="1872"/>
            <w:shd w:val="clear" w:color="auto" w:fill="F2F6FA"/>
          </w:tcPr>
          <w:p>
            <w:pPr>
              <w:spacing w:after="40" w:before="40"/>
              <w:jc w:val="right"/>
            </w:pPr>
            <w:r/>
            <w:r>
              <w:rPr>
                <w:rFonts w:ascii="Calibri" w:hAnsi="Calibri"/>
                <w:b w:val="0"/>
                <w:sz w:val="19"/>
              </w:rPr>
              <w:t>2</w:t>
            </w:r>
          </w:p>
        </w:tc>
      </w:tr>
      <w:tr>
        <w:tc>
          <w:tcPr>
            <w:tcW w:type="dxa" w:w="4320"/>
          </w:tcPr>
          <w:p>
            <w:pPr>
              <w:spacing w:after="40" w:before="40"/>
            </w:pPr>
            <w:r/>
            <w:r>
              <w:rPr>
                <w:rFonts w:ascii="Calibri" w:hAnsi="Calibri"/>
                <w:b w:val="0"/>
                <w:sz w:val="19"/>
              </w:rPr>
              <w:t>Sales Coordinator</w:t>
            </w:r>
          </w:p>
        </w:tc>
        <w:tc>
          <w:tcPr>
            <w:tcW w:type="dxa" w:w="1584"/>
          </w:tcPr>
          <w:p>
            <w:pPr>
              <w:spacing w:after="40" w:before="40"/>
              <w:jc w:val="right"/>
            </w:pPr>
            <w:r/>
            <w:r>
              <w:rPr>
                <w:rFonts w:ascii="Calibri" w:hAnsi="Calibri"/>
                <w:b w:val="0"/>
                <w:sz w:val="19"/>
              </w:rPr>
              <w:t>1</w:t>
            </w:r>
          </w:p>
        </w:tc>
        <w:tc>
          <w:tcPr>
            <w:tcW w:type="dxa" w:w="1584"/>
          </w:tcPr>
          <w:p>
            <w:pPr>
              <w:spacing w:after="40" w:before="40"/>
              <w:jc w:val="right"/>
            </w:pPr>
            <w:r/>
            <w:r>
              <w:rPr>
                <w:rFonts w:ascii="Calibri" w:hAnsi="Calibri"/>
                <w:b w:val="0"/>
                <w:sz w:val="19"/>
              </w:rPr>
              <w:t>0</w:t>
            </w:r>
          </w:p>
        </w:tc>
        <w:tc>
          <w:tcPr>
            <w:tcW w:type="dxa" w:w="1872"/>
          </w:tcPr>
          <w:p>
            <w:pPr>
              <w:spacing w:after="40" w:before="40"/>
              <w:jc w:val="right"/>
            </w:pPr>
            <w:r/>
            <w:r>
              <w:rPr>
                <w:rFonts w:ascii="Calibri" w:hAnsi="Calibri"/>
                <w:b w:val="0"/>
                <w:sz w:val="19"/>
              </w:rPr>
              <w:t>1</w:t>
            </w:r>
          </w:p>
        </w:tc>
      </w:tr>
      <w:tr>
        <w:tc>
          <w:tcPr>
            <w:tcW w:type="dxa" w:w="4320"/>
            <w:shd w:val="clear" w:color="auto" w:fill="F2F6FA"/>
          </w:tcPr>
          <w:p>
            <w:pPr>
              <w:spacing w:after="40" w:before="40"/>
            </w:pPr>
            <w:r/>
            <w:r>
              <w:rPr>
                <w:rFonts w:ascii="Calibri" w:hAnsi="Calibri"/>
                <w:b w:val="0"/>
                <w:sz w:val="19"/>
              </w:rPr>
              <w:t>Sales Representatives</w:t>
            </w:r>
          </w:p>
        </w:tc>
        <w:tc>
          <w:tcPr>
            <w:tcW w:type="dxa" w:w="1584"/>
            <w:shd w:val="clear" w:color="auto" w:fill="F2F6FA"/>
          </w:tcPr>
          <w:p>
            <w:pPr>
              <w:spacing w:after="40" w:before="40"/>
              <w:jc w:val="right"/>
            </w:pPr>
            <w:r/>
            <w:r>
              <w:rPr>
                <w:rFonts w:ascii="Calibri" w:hAnsi="Calibri"/>
                <w:b w:val="0"/>
                <w:sz w:val="19"/>
              </w:rPr>
              <w:t>3</w:t>
            </w:r>
          </w:p>
        </w:tc>
        <w:tc>
          <w:tcPr>
            <w:tcW w:type="dxa" w:w="1584"/>
            <w:shd w:val="clear" w:color="auto" w:fill="F2F6FA"/>
          </w:tcPr>
          <w:p>
            <w:pPr>
              <w:spacing w:after="40" w:before="40"/>
              <w:jc w:val="right"/>
            </w:pPr>
            <w:r/>
            <w:r>
              <w:rPr>
                <w:rFonts w:ascii="Calibri" w:hAnsi="Calibri"/>
                <w:b w:val="0"/>
                <w:sz w:val="19"/>
              </w:rPr>
              <w:t>1</w:t>
            </w:r>
          </w:p>
        </w:tc>
        <w:tc>
          <w:tcPr>
            <w:tcW w:type="dxa" w:w="1872"/>
            <w:shd w:val="clear" w:color="auto" w:fill="F2F6FA"/>
          </w:tcPr>
          <w:p>
            <w:pPr>
              <w:spacing w:after="40" w:before="40"/>
              <w:jc w:val="right"/>
            </w:pPr>
            <w:r/>
            <w:r>
              <w:rPr>
                <w:rFonts w:ascii="Calibri" w:hAnsi="Calibri"/>
                <w:b w:val="0"/>
                <w:sz w:val="19"/>
              </w:rPr>
              <w:t>4</w:t>
            </w:r>
          </w:p>
        </w:tc>
      </w:tr>
      <w:tr>
        <w:tc>
          <w:tcPr>
            <w:tcW w:type="dxa" w:w="4320"/>
          </w:tcPr>
          <w:p>
            <w:pPr>
              <w:spacing w:after="40" w:before="40"/>
            </w:pPr>
            <w:r/>
            <w:r>
              <w:rPr>
                <w:rFonts w:ascii="Calibri" w:hAnsi="Calibri"/>
                <w:b w:val="0"/>
                <w:sz w:val="19"/>
              </w:rPr>
              <w:t>Fiber Technicians</w:t>
            </w:r>
          </w:p>
        </w:tc>
        <w:tc>
          <w:tcPr>
            <w:tcW w:type="dxa" w:w="1584"/>
          </w:tcPr>
          <w:p>
            <w:pPr>
              <w:spacing w:after="40" w:before="40"/>
              <w:jc w:val="right"/>
            </w:pPr>
            <w:r/>
            <w:r>
              <w:rPr>
                <w:rFonts w:ascii="Calibri" w:hAnsi="Calibri"/>
                <w:b w:val="0"/>
                <w:sz w:val="19"/>
              </w:rPr>
              <w:t>5</w:t>
            </w:r>
          </w:p>
        </w:tc>
        <w:tc>
          <w:tcPr>
            <w:tcW w:type="dxa" w:w="1584"/>
          </w:tcPr>
          <w:p>
            <w:pPr>
              <w:spacing w:after="40" w:before="40"/>
              <w:jc w:val="right"/>
            </w:pPr>
            <w:r/>
            <w:r>
              <w:rPr>
                <w:rFonts w:ascii="Calibri" w:hAnsi="Calibri"/>
                <w:b w:val="0"/>
                <w:sz w:val="19"/>
              </w:rPr>
              <w:t>2</w:t>
            </w:r>
          </w:p>
        </w:tc>
        <w:tc>
          <w:tcPr>
            <w:tcW w:type="dxa" w:w="1872"/>
          </w:tcPr>
          <w:p>
            <w:pPr>
              <w:spacing w:after="40" w:before="40"/>
              <w:jc w:val="right"/>
            </w:pPr>
            <w:r/>
            <w:r>
              <w:rPr>
                <w:rFonts w:ascii="Calibri" w:hAnsi="Calibri"/>
                <w:b w:val="0"/>
                <w:sz w:val="19"/>
              </w:rPr>
              <w:t>7</w:t>
            </w:r>
          </w:p>
        </w:tc>
      </w:tr>
      <w:tr>
        <w:tc>
          <w:tcPr>
            <w:tcW w:type="dxa" w:w="4320"/>
            <w:shd w:val="clear" w:color="auto" w:fill="E9EFF4"/>
          </w:tcPr>
          <w:p>
            <w:pPr>
              <w:spacing w:after="40" w:before="40"/>
            </w:pPr>
            <w:r/>
            <w:r>
              <w:rPr>
                <w:rFonts w:ascii="Calibri" w:hAnsi="Calibri"/>
                <w:b/>
                <w:sz w:val="19"/>
              </w:rPr>
              <w:t>TOTAL</w:t>
            </w:r>
          </w:p>
        </w:tc>
        <w:tc>
          <w:tcPr>
            <w:tcW w:type="dxa" w:w="1584"/>
            <w:shd w:val="clear" w:color="auto" w:fill="E9EFF4"/>
          </w:tcPr>
          <w:p>
            <w:pPr>
              <w:spacing w:after="40" w:before="40"/>
              <w:jc w:val="right"/>
            </w:pPr>
            <w:r/>
            <w:r>
              <w:rPr>
                <w:rFonts w:ascii="Calibri" w:hAnsi="Calibri"/>
                <w:b/>
                <w:sz w:val="19"/>
              </w:rPr>
              <w:t>15</w:t>
            </w:r>
          </w:p>
        </w:tc>
        <w:tc>
          <w:tcPr>
            <w:tcW w:type="dxa" w:w="1584"/>
            <w:shd w:val="clear" w:color="auto" w:fill="E9EFF4"/>
          </w:tcPr>
          <w:p>
            <w:pPr>
              <w:spacing w:after="40" w:before="40"/>
              <w:jc w:val="right"/>
            </w:pPr>
            <w:r/>
            <w:r>
              <w:rPr>
                <w:rFonts w:ascii="Calibri" w:hAnsi="Calibri"/>
                <w:b/>
                <w:sz w:val="19"/>
              </w:rPr>
              <w:t>3</w:t>
            </w:r>
          </w:p>
        </w:tc>
        <w:tc>
          <w:tcPr>
            <w:tcW w:type="dxa" w:w="1872"/>
            <w:shd w:val="clear" w:color="auto" w:fill="E9EFF4"/>
          </w:tcPr>
          <w:p>
            <w:pPr>
              <w:spacing w:after="40" w:before="40"/>
              <w:jc w:val="right"/>
            </w:pPr>
            <w:r/>
            <w:r>
              <w:rPr>
                <w:rFonts w:ascii="Calibri" w:hAnsi="Calibri"/>
                <w:b/>
                <w:sz w:val="19"/>
              </w:rPr>
              <w:t>18</w:t>
            </w:r>
          </w:p>
        </w:tc>
      </w:tr>
    </w:tbl>
    <w:p>
      <w:pPr>
        <w:spacing w:after="40"/>
      </w:pPr>
    </w:p>
    <w:p>
      <w:pPr>
        <w:spacing w:after="120"/>
      </w:pPr>
      <w:r>
        <w:rPr>
          <w:i w:val="0"/>
          <w:sz w:val="21"/>
        </w:rPr>
        <w:t>A fully-loaded labor-cost method is used throughout (base wage plus overtime, incentive, payroll taxes, benefits, workers' compensation, training, uniforms/PPE, tools, and recruiting), not salary alone. Wage rates are editable placeholders pending actual payroll data.</w:t>
      </w:r>
    </w:p>
    <w:p>
      <w:pPr>
        <w:pStyle w:val="Heading2"/>
      </w:pPr>
      <w:r>
        <w:rPr>
          <w:rFonts w:ascii="Calibri" w:hAnsi="Calibri"/>
          <w:color w:val="2E7D8A"/>
          <w:sz w:val="25"/>
        </w:rPr>
        <w:t>Five-year staffing plan — trigger-based hiring</w:t>
      </w:r>
    </w:p>
    <w:p>
      <w:pPr>
        <w:spacing w:after="120"/>
      </w:pPr>
      <w:r>
        <w:rPr>
          <w:i w:val="0"/>
          <w:sz w:val="21"/>
        </w:rPr>
        <w:t>Positions are added when measurable business triggers are met, not on fixed calendar dates. The Excel 'Five-Year Staffing Plan' tab details each role's responsibilities, reason, hiring trigger, expected benefit, and the risk of not adding it.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744"/>
            <w:shd w:val="clear" w:color="auto" w:fill="1F3B4D"/>
          </w:tcPr>
          <w:p>
            <w:pPr>
              <w:spacing w:after="40" w:before="40"/>
            </w:pPr>
            <w:r/>
            <w:r>
              <w:rPr>
                <w:rFonts w:ascii="Calibri" w:hAnsi="Calibri"/>
                <w:b/>
                <w:color w:val="FFFFFF"/>
                <w:sz w:val="18"/>
              </w:rPr>
              <w:t>Recommended role</w:t>
            </w:r>
          </w:p>
        </w:tc>
        <w:tc>
          <w:tcPr>
            <w:tcW w:type="dxa" w:w="864"/>
            <w:shd w:val="clear" w:color="auto" w:fill="1F3B4D"/>
          </w:tcPr>
          <w:p>
            <w:pPr>
              <w:spacing w:after="40" w:before="40"/>
              <w:jc w:val="center"/>
            </w:pPr>
            <w:r/>
            <w:r>
              <w:rPr>
                <w:rFonts w:ascii="Calibri" w:hAnsi="Calibri"/>
                <w:b/>
                <w:color w:val="FFFFFF"/>
                <w:sz w:val="18"/>
              </w:rPr>
              <w:t>Yr</w:t>
            </w:r>
          </w:p>
        </w:tc>
        <w:tc>
          <w:tcPr>
            <w:tcW w:type="dxa" w:w="720"/>
            <w:shd w:val="clear" w:color="auto" w:fill="1F3B4D"/>
          </w:tcPr>
          <w:p>
            <w:pPr>
              <w:spacing w:after="40" w:before="40"/>
              <w:jc w:val="center"/>
            </w:pPr>
            <w:r/>
            <w:r>
              <w:rPr>
                <w:rFonts w:ascii="Calibri" w:hAnsi="Calibri"/>
                <w:b/>
                <w:color w:val="FFFFFF"/>
                <w:sz w:val="18"/>
              </w:rPr>
              <w:t>#</w:t>
            </w:r>
          </w:p>
        </w:tc>
        <w:tc>
          <w:tcPr>
            <w:tcW w:type="dxa" w:w="4464"/>
            <w:shd w:val="clear" w:color="auto" w:fill="1F3B4D"/>
          </w:tcPr>
          <w:p>
            <w:pPr>
              <w:spacing w:after="40" w:before="40"/>
              <w:jc w:val="center"/>
            </w:pPr>
            <w:r/>
            <w:r>
              <w:rPr>
                <w:rFonts w:ascii="Calibri" w:hAnsi="Calibri"/>
                <w:b/>
                <w:color w:val="FFFFFF"/>
                <w:sz w:val="18"/>
              </w:rPr>
              <w:t>Primary trigger</w:t>
            </w:r>
          </w:p>
        </w:tc>
      </w:tr>
      <w:tr>
        <w:tc>
          <w:tcPr>
            <w:tcW w:type="dxa" w:w="3744"/>
          </w:tcPr>
          <w:p>
            <w:pPr>
              <w:spacing w:after="40" w:before="40"/>
            </w:pPr>
            <w:r/>
            <w:r>
              <w:rPr>
                <w:rFonts w:ascii="Calibri" w:hAnsi="Calibri"/>
                <w:b w:val="0"/>
                <w:sz w:val="18"/>
              </w:rPr>
              <w:t>Network Engineer</w:t>
            </w:r>
          </w:p>
        </w:tc>
        <w:tc>
          <w:tcPr>
            <w:tcW w:type="dxa" w:w="864"/>
          </w:tcPr>
          <w:p>
            <w:pPr>
              <w:spacing w:after="40" w:before="40"/>
              <w:jc w:val="right"/>
            </w:pPr>
            <w:r/>
            <w:r>
              <w:rPr>
                <w:rFonts w:ascii="Calibri" w:hAnsi="Calibri"/>
                <w:b w:val="0"/>
                <w:sz w:val="18"/>
              </w:rPr>
              <w:t>2027</w:t>
            </w:r>
          </w:p>
        </w:tc>
        <w:tc>
          <w:tcPr>
            <w:tcW w:type="dxa" w:w="720"/>
          </w:tcPr>
          <w:p>
            <w:pPr>
              <w:spacing w:after="40" w:before="40"/>
              <w:jc w:val="right"/>
            </w:pPr>
            <w:r/>
            <w:r>
              <w:rPr>
                <w:rFonts w:ascii="Calibri" w:hAnsi="Calibri"/>
                <w:b w:val="0"/>
                <w:sz w:val="18"/>
              </w:rPr>
              <w:t>1</w:t>
            </w:r>
          </w:p>
        </w:tc>
        <w:tc>
          <w:tcPr>
            <w:tcW w:type="dxa" w:w="4464"/>
          </w:tcPr>
          <w:p>
            <w:pPr>
              <w:spacing w:after="40" w:before="40"/>
              <w:jc w:val="right"/>
            </w:pPr>
            <w:r/>
            <w:r>
              <w:rPr>
                <w:rFonts w:ascii="Calibri" w:hAnsi="Calibri"/>
                <w:b w:val="0"/>
                <w:sz w:val="18"/>
              </w:rPr>
              <w:t>Subs &gt;6,000 or 3+ OLT sites</w:t>
            </w:r>
          </w:p>
        </w:tc>
      </w:tr>
      <w:tr>
        <w:tc>
          <w:tcPr>
            <w:tcW w:type="dxa" w:w="3744"/>
            <w:shd w:val="clear" w:color="auto" w:fill="F2F6FA"/>
          </w:tcPr>
          <w:p>
            <w:pPr>
              <w:spacing w:after="40" w:before="40"/>
            </w:pPr>
            <w:r/>
            <w:r>
              <w:rPr>
                <w:rFonts w:ascii="Calibri" w:hAnsi="Calibri"/>
                <w:b w:val="0"/>
                <w:sz w:val="18"/>
              </w:rPr>
              <w:t>NOC Technician</w:t>
            </w:r>
          </w:p>
        </w:tc>
        <w:tc>
          <w:tcPr>
            <w:tcW w:type="dxa" w:w="864"/>
            <w:shd w:val="clear" w:color="auto" w:fill="F2F6FA"/>
          </w:tcPr>
          <w:p>
            <w:pPr>
              <w:spacing w:after="40" w:before="40"/>
              <w:jc w:val="right"/>
            </w:pPr>
            <w:r/>
            <w:r>
              <w:rPr>
                <w:rFonts w:ascii="Calibri" w:hAnsi="Calibri"/>
                <w:b w:val="0"/>
                <w:sz w:val="18"/>
              </w:rPr>
              <w:t>2027</w:t>
            </w:r>
          </w:p>
        </w:tc>
        <w:tc>
          <w:tcPr>
            <w:tcW w:type="dxa" w:w="720"/>
            <w:shd w:val="clear" w:color="auto" w:fill="F2F6FA"/>
          </w:tcPr>
          <w:p>
            <w:pPr>
              <w:spacing w:after="40" w:before="40"/>
              <w:jc w:val="right"/>
            </w:pPr>
            <w:r/>
            <w:r>
              <w:rPr>
                <w:rFonts w:ascii="Calibri" w:hAnsi="Calibri"/>
                <w:b w:val="0"/>
                <w:sz w:val="18"/>
              </w:rPr>
              <w:t>1</w:t>
            </w:r>
          </w:p>
        </w:tc>
        <w:tc>
          <w:tcPr>
            <w:tcW w:type="dxa" w:w="4464"/>
            <w:shd w:val="clear" w:color="auto" w:fill="F2F6FA"/>
          </w:tcPr>
          <w:p>
            <w:pPr>
              <w:spacing w:after="40" w:before="40"/>
              <w:jc w:val="right"/>
            </w:pPr>
            <w:r/>
            <w:r>
              <w:rPr>
                <w:rFonts w:ascii="Calibri" w:hAnsi="Calibri"/>
                <w:b w:val="0"/>
                <w:sz w:val="18"/>
              </w:rPr>
              <w:t>Trouble tickets &gt;8 / tech / day</w:t>
            </w:r>
          </w:p>
        </w:tc>
      </w:tr>
      <w:tr>
        <w:tc>
          <w:tcPr>
            <w:tcW w:type="dxa" w:w="3744"/>
          </w:tcPr>
          <w:p>
            <w:pPr>
              <w:spacing w:after="40" w:before="40"/>
            </w:pPr>
            <w:r/>
            <w:r>
              <w:rPr>
                <w:rFonts w:ascii="Calibri" w:hAnsi="Calibri"/>
                <w:b w:val="0"/>
                <w:sz w:val="18"/>
              </w:rPr>
              <w:t>Fiber Splicers</w:t>
            </w:r>
          </w:p>
        </w:tc>
        <w:tc>
          <w:tcPr>
            <w:tcW w:type="dxa" w:w="864"/>
          </w:tcPr>
          <w:p>
            <w:pPr>
              <w:spacing w:after="40" w:before="40"/>
              <w:jc w:val="right"/>
            </w:pPr>
            <w:r/>
            <w:r>
              <w:rPr>
                <w:rFonts w:ascii="Calibri" w:hAnsi="Calibri"/>
                <w:b w:val="0"/>
                <w:sz w:val="18"/>
              </w:rPr>
              <w:t>2027</w:t>
            </w:r>
          </w:p>
        </w:tc>
        <w:tc>
          <w:tcPr>
            <w:tcW w:type="dxa" w:w="720"/>
          </w:tcPr>
          <w:p>
            <w:pPr>
              <w:spacing w:after="40" w:before="40"/>
              <w:jc w:val="right"/>
            </w:pPr>
            <w:r/>
            <w:r>
              <w:rPr>
                <w:rFonts w:ascii="Calibri" w:hAnsi="Calibri"/>
                <w:b w:val="0"/>
                <w:sz w:val="18"/>
              </w:rPr>
              <w:t>2</w:t>
            </w:r>
          </w:p>
        </w:tc>
        <w:tc>
          <w:tcPr>
            <w:tcW w:type="dxa" w:w="4464"/>
          </w:tcPr>
          <w:p>
            <w:pPr>
              <w:spacing w:after="40" w:before="40"/>
              <w:jc w:val="right"/>
            </w:pPr>
            <w:r/>
            <w:r>
              <w:rPr>
                <w:rFonts w:ascii="Calibri" w:hAnsi="Calibri"/>
                <w:b w:val="0"/>
                <w:sz w:val="18"/>
              </w:rPr>
              <w:t>Fiber-mile build threshold</w:t>
            </w:r>
          </w:p>
        </w:tc>
      </w:tr>
      <w:tr>
        <w:tc>
          <w:tcPr>
            <w:tcW w:type="dxa" w:w="3744"/>
            <w:shd w:val="clear" w:color="auto" w:fill="F2F6FA"/>
          </w:tcPr>
          <w:p>
            <w:pPr>
              <w:spacing w:after="40" w:before="40"/>
            </w:pPr>
            <w:r/>
            <w:r>
              <w:rPr>
                <w:rFonts w:ascii="Calibri" w:hAnsi="Calibri"/>
                <w:b w:val="0"/>
                <w:sz w:val="18"/>
              </w:rPr>
              <w:t>Residential Sales Reps</w:t>
            </w:r>
          </w:p>
        </w:tc>
        <w:tc>
          <w:tcPr>
            <w:tcW w:type="dxa" w:w="864"/>
            <w:shd w:val="clear" w:color="auto" w:fill="F2F6FA"/>
          </w:tcPr>
          <w:p>
            <w:pPr>
              <w:spacing w:after="40" w:before="40"/>
              <w:jc w:val="right"/>
            </w:pPr>
            <w:r/>
            <w:r>
              <w:rPr>
                <w:rFonts w:ascii="Calibri" w:hAnsi="Calibri"/>
                <w:b w:val="0"/>
                <w:sz w:val="18"/>
              </w:rPr>
              <w:t>2028</w:t>
            </w:r>
          </w:p>
        </w:tc>
        <w:tc>
          <w:tcPr>
            <w:tcW w:type="dxa" w:w="720"/>
            <w:shd w:val="clear" w:color="auto" w:fill="F2F6FA"/>
          </w:tcPr>
          <w:p>
            <w:pPr>
              <w:spacing w:after="40" w:before="40"/>
              <w:jc w:val="right"/>
            </w:pPr>
            <w:r/>
            <w:r>
              <w:rPr>
                <w:rFonts w:ascii="Calibri" w:hAnsi="Calibri"/>
                <w:b w:val="0"/>
                <w:sz w:val="18"/>
              </w:rPr>
              <w:t>2</w:t>
            </w:r>
          </w:p>
        </w:tc>
        <w:tc>
          <w:tcPr>
            <w:tcW w:type="dxa" w:w="4464"/>
            <w:shd w:val="clear" w:color="auto" w:fill="F2F6FA"/>
          </w:tcPr>
          <w:p>
            <w:pPr>
              <w:spacing w:after="40" w:before="40"/>
              <w:jc w:val="right"/>
            </w:pPr>
            <w:r/>
            <w:r>
              <w:rPr>
                <w:rFonts w:ascii="Calibri" w:hAnsi="Calibri"/>
                <w:b w:val="0"/>
                <w:sz w:val="18"/>
              </w:rPr>
              <w:t>New passings &gt;4,000/yr</w:t>
            </w:r>
          </w:p>
        </w:tc>
      </w:tr>
      <w:tr>
        <w:tc>
          <w:tcPr>
            <w:tcW w:type="dxa" w:w="3744"/>
          </w:tcPr>
          <w:p>
            <w:pPr>
              <w:spacing w:after="40" w:before="40"/>
            </w:pPr>
            <w:r/>
            <w:r>
              <w:rPr>
                <w:rFonts w:ascii="Calibri" w:hAnsi="Calibri"/>
                <w:b w:val="0"/>
                <w:sz w:val="18"/>
              </w:rPr>
              <w:t>Customer Support Reps</w:t>
            </w:r>
          </w:p>
        </w:tc>
        <w:tc>
          <w:tcPr>
            <w:tcW w:type="dxa" w:w="864"/>
          </w:tcPr>
          <w:p>
            <w:pPr>
              <w:spacing w:after="40" w:before="40"/>
              <w:jc w:val="right"/>
            </w:pPr>
            <w:r/>
            <w:r>
              <w:rPr>
                <w:rFonts w:ascii="Calibri" w:hAnsi="Calibri"/>
                <w:b w:val="0"/>
                <w:sz w:val="18"/>
              </w:rPr>
              <w:t>2028</w:t>
            </w:r>
          </w:p>
        </w:tc>
        <w:tc>
          <w:tcPr>
            <w:tcW w:type="dxa" w:w="720"/>
          </w:tcPr>
          <w:p>
            <w:pPr>
              <w:spacing w:after="40" w:before="40"/>
              <w:jc w:val="right"/>
            </w:pPr>
            <w:r/>
            <w:r>
              <w:rPr>
                <w:rFonts w:ascii="Calibri" w:hAnsi="Calibri"/>
                <w:b w:val="0"/>
                <w:sz w:val="18"/>
              </w:rPr>
              <w:t>2</w:t>
            </w:r>
          </w:p>
        </w:tc>
        <w:tc>
          <w:tcPr>
            <w:tcW w:type="dxa" w:w="4464"/>
          </w:tcPr>
          <w:p>
            <w:pPr>
              <w:spacing w:after="40" w:before="40"/>
              <w:jc w:val="right"/>
            </w:pPr>
            <w:r/>
            <w:r>
              <w:rPr>
                <w:rFonts w:ascii="Calibri" w:hAnsi="Calibri"/>
                <w:b w:val="0"/>
                <w:sz w:val="18"/>
              </w:rPr>
              <w:t>Subs &gt;7,500 / calls per agent</w:t>
            </w:r>
          </w:p>
        </w:tc>
      </w:tr>
      <w:tr>
        <w:tc>
          <w:tcPr>
            <w:tcW w:type="dxa" w:w="3744"/>
            <w:shd w:val="clear" w:color="auto" w:fill="F2F6FA"/>
          </w:tcPr>
          <w:p>
            <w:pPr>
              <w:spacing w:after="40" w:before="40"/>
            </w:pPr>
            <w:r/>
            <w:r>
              <w:rPr>
                <w:rFonts w:ascii="Calibri" w:hAnsi="Calibri"/>
                <w:b w:val="0"/>
                <w:sz w:val="18"/>
              </w:rPr>
              <w:t>Additional Project Coordinator</w:t>
            </w:r>
          </w:p>
        </w:tc>
        <w:tc>
          <w:tcPr>
            <w:tcW w:type="dxa" w:w="864"/>
            <w:shd w:val="clear" w:color="auto" w:fill="F2F6FA"/>
          </w:tcPr>
          <w:p>
            <w:pPr>
              <w:spacing w:after="40" w:before="40"/>
              <w:jc w:val="right"/>
            </w:pPr>
            <w:r/>
            <w:r>
              <w:rPr>
                <w:rFonts w:ascii="Calibri" w:hAnsi="Calibri"/>
                <w:b w:val="0"/>
                <w:sz w:val="18"/>
              </w:rPr>
              <w:t>2028</w:t>
            </w:r>
          </w:p>
        </w:tc>
        <w:tc>
          <w:tcPr>
            <w:tcW w:type="dxa" w:w="720"/>
            <w:shd w:val="clear" w:color="auto" w:fill="F2F6FA"/>
          </w:tcPr>
          <w:p>
            <w:pPr>
              <w:spacing w:after="40" w:before="40"/>
              <w:jc w:val="right"/>
            </w:pPr>
            <w:r/>
            <w:r>
              <w:rPr>
                <w:rFonts w:ascii="Calibri" w:hAnsi="Calibri"/>
                <w:b w:val="0"/>
                <w:sz w:val="18"/>
              </w:rPr>
              <w:t>1</w:t>
            </w:r>
          </w:p>
        </w:tc>
        <w:tc>
          <w:tcPr>
            <w:tcW w:type="dxa" w:w="4464"/>
            <w:shd w:val="clear" w:color="auto" w:fill="F2F6FA"/>
          </w:tcPr>
          <w:p>
            <w:pPr>
              <w:spacing w:after="40" w:before="40"/>
              <w:jc w:val="right"/>
            </w:pPr>
            <w:r/>
            <w:r>
              <w:rPr>
                <w:rFonts w:ascii="Calibri" w:hAnsi="Calibri"/>
                <w:b w:val="0"/>
                <w:sz w:val="18"/>
              </w:rPr>
              <w:t>Active projects &gt;6 concurrent</w:t>
            </w:r>
          </w:p>
        </w:tc>
      </w:tr>
      <w:tr>
        <w:tc>
          <w:tcPr>
            <w:tcW w:type="dxa" w:w="3744"/>
          </w:tcPr>
          <w:p>
            <w:pPr>
              <w:spacing w:after="40" w:before="40"/>
            </w:pPr>
            <w:r/>
            <w:r>
              <w:rPr>
                <w:rFonts w:ascii="Calibri" w:hAnsi="Calibri"/>
                <w:b w:val="0"/>
                <w:sz w:val="18"/>
              </w:rPr>
              <w:t>Fiber Install/Repair Techs</w:t>
            </w:r>
          </w:p>
        </w:tc>
        <w:tc>
          <w:tcPr>
            <w:tcW w:type="dxa" w:w="864"/>
          </w:tcPr>
          <w:p>
            <w:pPr>
              <w:spacing w:after="40" w:before="40"/>
              <w:jc w:val="right"/>
            </w:pPr>
            <w:r/>
            <w:r>
              <w:rPr>
                <w:rFonts w:ascii="Calibri" w:hAnsi="Calibri"/>
                <w:b w:val="0"/>
                <w:sz w:val="18"/>
              </w:rPr>
              <w:t>2028</w:t>
            </w:r>
          </w:p>
        </w:tc>
        <w:tc>
          <w:tcPr>
            <w:tcW w:type="dxa" w:w="720"/>
          </w:tcPr>
          <w:p>
            <w:pPr>
              <w:spacing w:after="40" w:before="40"/>
              <w:jc w:val="right"/>
            </w:pPr>
            <w:r/>
            <w:r>
              <w:rPr>
                <w:rFonts w:ascii="Calibri" w:hAnsi="Calibri"/>
                <w:b w:val="0"/>
                <w:sz w:val="18"/>
              </w:rPr>
              <w:t>3</w:t>
            </w:r>
          </w:p>
        </w:tc>
        <w:tc>
          <w:tcPr>
            <w:tcW w:type="dxa" w:w="4464"/>
          </w:tcPr>
          <w:p>
            <w:pPr>
              <w:spacing w:after="40" w:before="40"/>
              <w:jc w:val="right"/>
            </w:pPr>
            <w:r/>
            <w:r>
              <w:rPr>
                <w:rFonts w:ascii="Calibri" w:hAnsi="Calibri"/>
                <w:b w:val="0"/>
                <w:sz w:val="18"/>
              </w:rPr>
              <w:t>Install interval &gt;10 days</w:t>
            </w:r>
          </w:p>
        </w:tc>
      </w:tr>
      <w:tr>
        <w:tc>
          <w:tcPr>
            <w:tcW w:type="dxa" w:w="3744"/>
            <w:shd w:val="clear" w:color="auto" w:fill="F2F6FA"/>
          </w:tcPr>
          <w:p>
            <w:pPr>
              <w:spacing w:after="40" w:before="40"/>
            </w:pPr>
            <w:r/>
            <w:r>
              <w:rPr>
                <w:rFonts w:ascii="Calibri" w:hAnsi="Calibri"/>
                <w:b w:val="0"/>
                <w:sz w:val="18"/>
              </w:rPr>
              <w:t>Enterprise Sales Rep</w:t>
            </w:r>
          </w:p>
        </w:tc>
        <w:tc>
          <w:tcPr>
            <w:tcW w:type="dxa" w:w="864"/>
            <w:shd w:val="clear" w:color="auto" w:fill="F2F6FA"/>
          </w:tcPr>
          <w:p>
            <w:pPr>
              <w:spacing w:after="40" w:before="40"/>
              <w:jc w:val="right"/>
            </w:pPr>
            <w:r/>
            <w:r>
              <w:rPr>
                <w:rFonts w:ascii="Calibri" w:hAnsi="Calibri"/>
                <w:b w:val="0"/>
                <w:sz w:val="18"/>
              </w:rPr>
              <w:t>2029</w:t>
            </w:r>
          </w:p>
        </w:tc>
        <w:tc>
          <w:tcPr>
            <w:tcW w:type="dxa" w:w="720"/>
            <w:shd w:val="clear" w:color="auto" w:fill="F2F6FA"/>
          </w:tcPr>
          <w:p>
            <w:pPr>
              <w:spacing w:after="40" w:before="40"/>
              <w:jc w:val="right"/>
            </w:pPr>
            <w:r/>
            <w:r>
              <w:rPr>
                <w:rFonts w:ascii="Calibri" w:hAnsi="Calibri"/>
                <w:b w:val="0"/>
                <w:sz w:val="18"/>
              </w:rPr>
              <w:t>1</w:t>
            </w:r>
          </w:p>
        </w:tc>
        <w:tc>
          <w:tcPr>
            <w:tcW w:type="dxa" w:w="4464"/>
            <w:shd w:val="clear" w:color="auto" w:fill="F2F6FA"/>
          </w:tcPr>
          <w:p>
            <w:pPr>
              <w:spacing w:after="40" w:before="40"/>
              <w:jc w:val="right"/>
            </w:pPr>
            <w:r/>
            <w:r>
              <w:rPr>
                <w:rFonts w:ascii="Calibri" w:hAnsi="Calibri"/>
                <w:b w:val="0"/>
                <w:sz w:val="18"/>
              </w:rPr>
              <w:t>Qualified enterprise pipeline</w:t>
            </w:r>
          </w:p>
        </w:tc>
      </w:tr>
      <w:tr>
        <w:tc>
          <w:tcPr>
            <w:tcW w:type="dxa" w:w="3744"/>
          </w:tcPr>
          <w:p>
            <w:pPr>
              <w:spacing w:after="40" w:before="40"/>
            </w:pPr>
            <w:r/>
            <w:r>
              <w:rPr>
                <w:rFonts w:ascii="Calibri" w:hAnsi="Calibri"/>
                <w:b w:val="0"/>
                <w:sz w:val="18"/>
              </w:rPr>
              <w:t>Construction Inspector</w:t>
            </w:r>
          </w:p>
        </w:tc>
        <w:tc>
          <w:tcPr>
            <w:tcW w:type="dxa" w:w="864"/>
          </w:tcPr>
          <w:p>
            <w:pPr>
              <w:spacing w:after="40" w:before="40"/>
              <w:jc w:val="right"/>
            </w:pPr>
            <w:r/>
            <w:r>
              <w:rPr>
                <w:rFonts w:ascii="Calibri" w:hAnsi="Calibri"/>
                <w:b w:val="0"/>
                <w:sz w:val="18"/>
              </w:rPr>
              <w:t>2029</w:t>
            </w:r>
          </w:p>
        </w:tc>
        <w:tc>
          <w:tcPr>
            <w:tcW w:type="dxa" w:w="720"/>
          </w:tcPr>
          <w:p>
            <w:pPr>
              <w:spacing w:after="40" w:before="40"/>
              <w:jc w:val="right"/>
            </w:pPr>
            <w:r/>
            <w:r>
              <w:rPr>
                <w:rFonts w:ascii="Calibri" w:hAnsi="Calibri"/>
                <w:b w:val="0"/>
                <w:sz w:val="18"/>
              </w:rPr>
              <w:t>1</w:t>
            </w:r>
          </w:p>
        </w:tc>
        <w:tc>
          <w:tcPr>
            <w:tcW w:type="dxa" w:w="4464"/>
          </w:tcPr>
          <w:p>
            <w:pPr>
              <w:spacing w:after="40" w:before="40"/>
              <w:jc w:val="right"/>
            </w:pPr>
            <w:r/>
            <w:r>
              <w:rPr>
                <w:rFonts w:ascii="Calibri" w:hAnsi="Calibri"/>
                <w:b w:val="0"/>
                <w:sz w:val="18"/>
              </w:rPr>
              <w:t>Grant-funded miles active</w:t>
            </w:r>
          </w:p>
        </w:tc>
      </w:tr>
      <w:tr>
        <w:tc>
          <w:tcPr>
            <w:tcW w:type="dxa" w:w="3744"/>
            <w:shd w:val="clear" w:color="auto" w:fill="F2F6FA"/>
          </w:tcPr>
          <w:p>
            <w:pPr>
              <w:spacing w:after="40" w:before="40"/>
            </w:pPr>
            <w:r/>
            <w:r>
              <w:rPr>
                <w:rFonts w:ascii="Calibri" w:hAnsi="Calibri"/>
                <w:b w:val="0"/>
                <w:sz w:val="18"/>
              </w:rPr>
              <w:t>GIS / Mapping Specialist</w:t>
            </w:r>
          </w:p>
        </w:tc>
        <w:tc>
          <w:tcPr>
            <w:tcW w:type="dxa" w:w="864"/>
            <w:shd w:val="clear" w:color="auto" w:fill="F2F6FA"/>
          </w:tcPr>
          <w:p>
            <w:pPr>
              <w:spacing w:after="40" w:before="40"/>
              <w:jc w:val="right"/>
            </w:pPr>
            <w:r/>
            <w:r>
              <w:rPr>
                <w:rFonts w:ascii="Calibri" w:hAnsi="Calibri"/>
                <w:b w:val="0"/>
                <w:sz w:val="18"/>
              </w:rPr>
              <w:t>2029</w:t>
            </w:r>
          </w:p>
        </w:tc>
        <w:tc>
          <w:tcPr>
            <w:tcW w:type="dxa" w:w="720"/>
            <w:shd w:val="clear" w:color="auto" w:fill="F2F6FA"/>
          </w:tcPr>
          <w:p>
            <w:pPr>
              <w:spacing w:after="40" w:before="40"/>
              <w:jc w:val="right"/>
            </w:pPr>
            <w:r/>
            <w:r>
              <w:rPr>
                <w:rFonts w:ascii="Calibri" w:hAnsi="Calibri"/>
                <w:b w:val="0"/>
                <w:sz w:val="18"/>
              </w:rPr>
              <w:t>1</w:t>
            </w:r>
          </w:p>
        </w:tc>
        <w:tc>
          <w:tcPr>
            <w:tcW w:type="dxa" w:w="4464"/>
            <w:shd w:val="clear" w:color="auto" w:fill="F2F6FA"/>
          </w:tcPr>
          <w:p>
            <w:pPr>
              <w:spacing w:after="40" w:before="40"/>
              <w:jc w:val="right"/>
            </w:pPr>
            <w:r/>
            <w:r>
              <w:rPr>
                <w:rFonts w:ascii="Calibri" w:hAnsi="Calibri"/>
                <w:b w:val="0"/>
                <w:sz w:val="18"/>
              </w:rPr>
              <w:t>Passings &gt;18,000</w:t>
            </w:r>
          </w:p>
        </w:tc>
      </w:tr>
      <w:tr>
        <w:tc>
          <w:tcPr>
            <w:tcW w:type="dxa" w:w="3744"/>
          </w:tcPr>
          <w:p>
            <w:pPr>
              <w:spacing w:after="40" w:before="40"/>
            </w:pPr>
            <w:r/>
            <w:r>
              <w:rPr>
                <w:rFonts w:ascii="Calibri" w:hAnsi="Calibri"/>
                <w:b w:val="0"/>
                <w:sz w:val="18"/>
              </w:rPr>
              <w:t>Additional OSP Supervisor</w:t>
            </w:r>
          </w:p>
        </w:tc>
        <w:tc>
          <w:tcPr>
            <w:tcW w:type="dxa" w:w="864"/>
          </w:tcPr>
          <w:p>
            <w:pPr>
              <w:spacing w:after="40" w:before="40"/>
              <w:jc w:val="right"/>
            </w:pPr>
            <w:r/>
            <w:r>
              <w:rPr>
                <w:rFonts w:ascii="Calibri" w:hAnsi="Calibri"/>
                <w:b w:val="0"/>
                <w:sz w:val="18"/>
              </w:rPr>
              <w:t>2030</w:t>
            </w:r>
          </w:p>
        </w:tc>
        <w:tc>
          <w:tcPr>
            <w:tcW w:type="dxa" w:w="720"/>
          </w:tcPr>
          <w:p>
            <w:pPr>
              <w:spacing w:after="40" w:before="40"/>
              <w:jc w:val="right"/>
            </w:pPr>
            <w:r/>
            <w:r>
              <w:rPr>
                <w:rFonts w:ascii="Calibri" w:hAnsi="Calibri"/>
                <w:b w:val="0"/>
                <w:sz w:val="18"/>
              </w:rPr>
              <w:t>1</w:t>
            </w:r>
          </w:p>
        </w:tc>
        <w:tc>
          <w:tcPr>
            <w:tcW w:type="dxa" w:w="4464"/>
          </w:tcPr>
          <w:p>
            <w:pPr>
              <w:spacing w:after="40" w:before="40"/>
              <w:jc w:val="right"/>
            </w:pPr>
            <w:r/>
            <w:r>
              <w:rPr>
                <w:rFonts w:ascii="Calibri" w:hAnsi="Calibri"/>
                <w:b w:val="0"/>
                <w:sz w:val="18"/>
              </w:rPr>
              <w:t>Field FTEs/supervisor &gt;8</w:t>
            </w:r>
          </w:p>
        </w:tc>
      </w:tr>
      <w:tr>
        <w:tc>
          <w:tcPr>
            <w:tcW w:type="dxa" w:w="3744"/>
            <w:shd w:val="clear" w:color="auto" w:fill="F2F6FA"/>
          </w:tcPr>
          <w:p>
            <w:pPr>
              <w:spacing w:after="40" w:before="40"/>
            </w:pPr>
            <w:r/>
            <w:r>
              <w:rPr>
                <w:rFonts w:ascii="Calibri" w:hAnsi="Calibri"/>
                <w:b w:val="0"/>
                <w:sz w:val="18"/>
              </w:rPr>
              <w:t>Marketing Specialist</w:t>
            </w:r>
          </w:p>
        </w:tc>
        <w:tc>
          <w:tcPr>
            <w:tcW w:type="dxa" w:w="864"/>
            <w:shd w:val="clear" w:color="auto" w:fill="F2F6FA"/>
          </w:tcPr>
          <w:p>
            <w:pPr>
              <w:spacing w:after="40" w:before="40"/>
              <w:jc w:val="right"/>
            </w:pPr>
            <w:r/>
            <w:r>
              <w:rPr>
                <w:rFonts w:ascii="Calibri" w:hAnsi="Calibri"/>
                <w:b w:val="0"/>
                <w:sz w:val="18"/>
              </w:rPr>
              <w:t>2030</w:t>
            </w:r>
          </w:p>
        </w:tc>
        <w:tc>
          <w:tcPr>
            <w:tcW w:type="dxa" w:w="720"/>
            <w:shd w:val="clear" w:color="auto" w:fill="F2F6FA"/>
          </w:tcPr>
          <w:p>
            <w:pPr>
              <w:spacing w:after="40" w:before="40"/>
              <w:jc w:val="right"/>
            </w:pPr>
            <w:r/>
            <w:r>
              <w:rPr>
                <w:rFonts w:ascii="Calibri" w:hAnsi="Calibri"/>
                <w:b w:val="0"/>
                <w:sz w:val="18"/>
              </w:rPr>
              <w:t>1</w:t>
            </w:r>
          </w:p>
        </w:tc>
        <w:tc>
          <w:tcPr>
            <w:tcW w:type="dxa" w:w="4464"/>
            <w:shd w:val="clear" w:color="auto" w:fill="F2F6FA"/>
          </w:tcPr>
          <w:p>
            <w:pPr>
              <w:spacing w:after="40" w:before="40"/>
              <w:jc w:val="right"/>
            </w:pPr>
            <w:r/>
            <w:r>
              <w:rPr>
                <w:rFonts w:ascii="Calibri" w:hAnsi="Calibri"/>
                <w:b w:val="0"/>
                <w:sz w:val="18"/>
              </w:rPr>
              <w:t>Marketing spend &gt;$0.3M/yr</w:t>
            </w:r>
          </w:p>
        </w:tc>
      </w:tr>
      <w:tr>
        <w:tc>
          <w:tcPr>
            <w:tcW w:type="dxa" w:w="3744"/>
          </w:tcPr>
          <w:p>
            <w:pPr>
              <w:spacing w:after="40" w:before="40"/>
            </w:pPr>
            <w:r/>
            <w:r>
              <w:rPr>
                <w:rFonts w:ascii="Calibri" w:hAnsi="Calibri"/>
                <w:b w:val="0"/>
                <w:sz w:val="18"/>
              </w:rPr>
              <w:t>Customer Experience Manager</w:t>
            </w:r>
          </w:p>
        </w:tc>
        <w:tc>
          <w:tcPr>
            <w:tcW w:type="dxa" w:w="864"/>
          </w:tcPr>
          <w:p>
            <w:pPr>
              <w:spacing w:after="40" w:before="40"/>
              <w:jc w:val="right"/>
            </w:pPr>
            <w:r/>
            <w:r>
              <w:rPr>
                <w:rFonts w:ascii="Calibri" w:hAnsi="Calibri"/>
                <w:b w:val="0"/>
                <w:sz w:val="18"/>
              </w:rPr>
              <w:t>2030</w:t>
            </w:r>
          </w:p>
        </w:tc>
        <w:tc>
          <w:tcPr>
            <w:tcW w:type="dxa" w:w="720"/>
          </w:tcPr>
          <w:p>
            <w:pPr>
              <w:spacing w:after="40" w:before="40"/>
              <w:jc w:val="right"/>
            </w:pPr>
            <w:r/>
            <w:r>
              <w:rPr>
                <w:rFonts w:ascii="Calibri" w:hAnsi="Calibri"/>
                <w:b w:val="0"/>
                <w:sz w:val="18"/>
              </w:rPr>
              <w:t>1</w:t>
            </w:r>
          </w:p>
        </w:tc>
        <w:tc>
          <w:tcPr>
            <w:tcW w:type="dxa" w:w="4464"/>
          </w:tcPr>
          <w:p>
            <w:pPr>
              <w:spacing w:after="40" w:before="40"/>
              <w:jc w:val="right"/>
            </w:pPr>
            <w:r/>
            <w:r>
              <w:rPr>
                <w:rFonts w:ascii="Calibri" w:hAnsi="Calibri"/>
                <w:b w:val="0"/>
                <w:sz w:val="18"/>
              </w:rPr>
              <w:t>Subs &gt;10,000</w:t>
            </w:r>
          </w:p>
        </w:tc>
      </w:tr>
      <w:tr>
        <w:tc>
          <w:tcPr>
            <w:tcW w:type="dxa" w:w="3744"/>
            <w:shd w:val="clear" w:color="auto" w:fill="F2F6FA"/>
          </w:tcPr>
          <w:p>
            <w:pPr>
              <w:spacing w:after="40" w:before="40"/>
            </w:pPr>
            <w:r/>
            <w:r>
              <w:rPr>
                <w:rFonts w:ascii="Calibri" w:hAnsi="Calibri"/>
                <w:b w:val="0"/>
                <w:sz w:val="18"/>
              </w:rPr>
              <w:t>Data Analyst</w:t>
            </w:r>
          </w:p>
        </w:tc>
        <w:tc>
          <w:tcPr>
            <w:tcW w:type="dxa" w:w="864"/>
            <w:shd w:val="clear" w:color="auto" w:fill="F2F6FA"/>
          </w:tcPr>
          <w:p>
            <w:pPr>
              <w:spacing w:after="40" w:before="40"/>
              <w:jc w:val="right"/>
            </w:pPr>
            <w:r/>
            <w:r>
              <w:rPr>
                <w:rFonts w:ascii="Calibri" w:hAnsi="Calibri"/>
                <w:b w:val="0"/>
                <w:sz w:val="18"/>
              </w:rPr>
              <w:t>2031</w:t>
            </w:r>
          </w:p>
        </w:tc>
        <w:tc>
          <w:tcPr>
            <w:tcW w:type="dxa" w:w="720"/>
            <w:shd w:val="clear" w:color="auto" w:fill="F2F6FA"/>
          </w:tcPr>
          <w:p>
            <w:pPr>
              <w:spacing w:after="40" w:before="40"/>
              <w:jc w:val="right"/>
            </w:pPr>
            <w:r/>
            <w:r>
              <w:rPr>
                <w:rFonts w:ascii="Calibri" w:hAnsi="Calibri"/>
                <w:b w:val="0"/>
                <w:sz w:val="18"/>
              </w:rPr>
              <w:t>1</w:t>
            </w:r>
          </w:p>
        </w:tc>
        <w:tc>
          <w:tcPr>
            <w:tcW w:type="dxa" w:w="4464"/>
            <w:shd w:val="clear" w:color="auto" w:fill="F2F6FA"/>
          </w:tcPr>
          <w:p>
            <w:pPr>
              <w:spacing w:after="40" w:before="40"/>
              <w:jc w:val="right"/>
            </w:pPr>
            <w:r/>
            <w:r>
              <w:rPr>
                <w:rFonts w:ascii="Calibri" w:hAnsi="Calibri"/>
                <w:b w:val="0"/>
                <w:sz w:val="18"/>
              </w:rPr>
              <w:t>Mature monthly KPI program</w:t>
            </w:r>
          </w:p>
        </w:tc>
      </w:tr>
      <w:tr>
        <w:tc>
          <w:tcPr>
            <w:tcW w:type="dxa" w:w="3744"/>
          </w:tcPr>
          <w:p>
            <w:pPr>
              <w:spacing w:after="40" w:before="40"/>
            </w:pPr>
            <w:r/>
            <w:r>
              <w:rPr>
                <w:rFonts w:ascii="Calibri" w:hAnsi="Calibri"/>
                <w:b w:val="0"/>
                <w:sz w:val="18"/>
              </w:rPr>
              <w:t>Warehouse &amp; Inventory Specialist</w:t>
            </w:r>
          </w:p>
        </w:tc>
        <w:tc>
          <w:tcPr>
            <w:tcW w:type="dxa" w:w="864"/>
          </w:tcPr>
          <w:p>
            <w:pPr>
              <w:spacing w:after="40" w:before="40"/>
              <w:jc w:val="right"/>
            </w:pPr>
            <w:r/>
            <w:r>
              <w:rPr>
                <w:rFonts w:ascii="Calibri" w:hAnsi="Calibri"/>
                <w:b w:val="0"/>
                <w:sz w:val="18"/>
              </w:rPr>
              <w:t>2031</w:t>
            </w:r>
          </w:p>
        </w:tc>
        <w:tc>
          <w:tcPr>
            <w:tcW w:type="dxa" w:w="720"/>
          </w:tcPr>
          <w:p>
            <w:pPr>
              <w:spacing w:after="40" w:before="40"/>
              <w:jc w:val="right"/>
            </w:pPr>
            <w:r/>
            <w:r>
              <w:rPr>
                <w:rFonts w:ascii="Calibri" w:hAnsi="Calibri"/>
                <w:b w:val="0"/>
                <w:sz w:val="18"/>
              </w:rPr>
              <w:t>1</w:t>
            </w:r>
          </w:p>
        </w:tc>
        <w:tc>
          <w:tcPr>
            <w:tcW w:type="dxa" w:w="4464"/>
          </w:tcPr>
          <w:p>
            <w:pPr>
              <w:spacing w:after="40" w:before="40"/>
              <w:jc w:val="right"/>
            </w:pPr>
            <w:r/>
            <w:r>
              <w:rPr>
                <w:rFonts w:ascii="Calibri" w:hAnsi="Calibri"/>
                <w:b w:val="0"/>
                <w:sz w:val="18"/>
              </w:rPr>
              <w:t>Multiple warehouses</w:t>
            </w:r>
          </w:p>
        </w:tc>
      </w:tr>
    </w:tbl>
    <w:p>
      <w:pPr>
        <w:spacing w:after="40"/>
      </w:pPr>
    </w:p>
    <w:p>
      <w:pPr>
        <w:spacing w:after="120"/>
      </w:pPr>
      <w:r>
        <w:rPr>
          <w:i w:val="0"/>
          <w:sz w:val="21"/>
        </w:rPr>
        <w:t>Headcount grows from 18 authorized today to 39 by 2031 (base case), tracked against subscriber and construction triggers. Hiring triggers include total subscribers, installs/month, tickets per technician, fiber miles, active projects, business/enterprise revenue, service levels, install interval, overtime, span of control, and support volume.</w:t>
      </w:r>
    </w:p>
    <w:p>
      <w:pPr>
        <w:pStyle w:val="Heading2"/>
      </w:pPr>
      <w:r>
        <w:rPr>
          <w:rFonts w:ascii="Calibri" w:hAnsi="Calibri"/>
          <w:color w:val="2E7D8A"/>
          <w:sz w:val="25"/>
        </w:rPr>
        <w:t>Organizational charts</w:t>
      </w:r>
    </w:p>
    <w:p>
      <w:pPr>
        <w:spacing w:after="120"/>
      </w:pPr>
      <w:r>
        <w:rPr>
          <w:i w:val="0"/>
          <w:sz w:val="21"/>
        </w:rPr>
        <w:t>Current structure (2026): COO → Director of Outside Plant → (2 Supervisors, 2 Project Coordinators, Fiber Technicians); Sales Coordinator → Sales Representatives.</w:t>
      </w:r>
    </w:p>
    <w:p>
      <w:pPr>
        <w:spacing w:after="120"/>
      </w:pPr>
      <w:r>
        <w:rPr>
          <w:i w:val="0"/>
          <w:sz w:val="21"/>
        </w:rPr>
        <w:t>Proposed 2031 structure: COO oversees (a) Network Engineering &amp; NOC, (b) Outside Plant (2 supervisors, splicers, inspectors, install/repair techs, GIS), (c) Sales &amp; Marketing (residential + enterprise reps, marketing specialist), (d) Customer Experience &amp; Support, and (e) Business Operations (project coordinators, data analyst, warehouse/inventory, fleet/facilities, administrative support). Detailed org charts are provided in Appendix C.</w:t>
      </w:r>
    </w:p>
    <w:p>
      <w:r>
        <w:br w:type="page"/>
      </w:r>
    </w:p>
    <w:p>
      <w:pPr>
        <w:pStyle w:val="Heading1"/>
      </w:pPr>
      <w:r>
        <w:rPr>
          <w:rFonts w:ascii="Calibri" w:hAnsi="Calibri"/>
          <w:color w:val="1F3B4D"/>
          <w:sz w:val="32"/>
        </w:rPr>
        <w:t>8. Operations Plan</w:t>
      </w:r>
    </w:p>
    <w:p>
      <w:pPr>
        <w:spacing w:after="120"/>
      </w:pPr>
      <w:r>
        <w:rPr>
          <w:i w:val="0"/>
          <w:sz w:val="21"/>
        </w:rPr>
        <w:t>Operations center on three disciplines: build (construction and splicing), connect (installation and provisioning), and sustain (maintenance, monitoring, and restoration). The plan funds a NOC capability, a preventive-maintenance program, and equipment-lifecycle standards.</w:t>
      </w:r>
    </w:p>
    <w:p>
      <w:pPr>
        <w:pStyle w:val="Heading2"/>
      </w:pPr>
      <w:r>
        <w:rPr>
          <w:rFonts w:ascii="Calibri" w:hAnsi="Calibri"/>
          <w:color w:val="2E7D8A"/>
          <w:sz w:val="25"/>
        </w:rPr>
        <w:t>Operating-expense structure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744"/>
            <w:shd w:val="clear" w:color="auto" w:fill="1F3B4D"/>
          </w:tcPr>
          <w:p>
            <w:pPr>
              <w:spacing w:after="40" w:before="40"/>
            </w:pPr>
            <w:r/>
            <w:r>
              <w:rPr>
                <w:rFonts w:ascii="Calibri" w:hAnsi="Calibri"/>
                <w:b/>
                <w:color w:val="FFFFFF"/>
                <w:sz w:val="19"/>
              </w:rPr>
              <w:t>Expense group</w:t>
            </w:r>
          </w:p>
        </w:tc>
        <w:tc>
          <w:tcPr>
            <w:tcW w:type="dxa" w:w="1368"/>
            <w:shd w:val="clear" w:color="auto" w:fill="1F3B4D"/>
          </w:tcPr>
          <w:p>
            <w:pPr>
              <w:spacing w:after="40" w:before="40"/>
              <w:jc w:val="center"/>
            </w:pPr>
            <w:r/>
            <w:r>
              <w:rPr>
                <w:rFonts w:ascii="Calibri" w:hAnsi="Calibri"/>
                <w:b/>
                <w:color w:val="FFFFFF"/>
                <w:sz w:val="19"/>
              </w:rPr>
              <w:t>2027</w:t>
            </w:r>
          </w:p>
        </w:tc>
        <w:tc>
          <w:tcPr>
            <w:tcW w:type="dxa" w:w="1368"/>
            <w:shd w:val="clear" w:color="auto" w:fill="1F3B4D"/>
          </w:tcPr>
          <w:p>
            <w:pPr>
              <w:spacing w:after="40" w:before="40"/>
              <w:jc w:val="center"/>
            </w:pPr>
            <w:r/>
            <w:r>
              <w:rPr>
                <w:rFonts w:ascii="Calibri" w:hAnsi="Calibri"/>
                <w:b/>
                <w:color w:val="FFFFFF"/>
                <w:sz w:val="19"/>
              </w:rPr>
              <w:t>2028</w:t>
            </w:r>
          </w:p>
        </w:tc>
        <w:tc>
          <w:tcPr>
            <w:tcW w:type="dxa" w:w="1368"/>
            <w:shd w:val="clear" w:color="auto" w:fill="1F3B4D"/>
          </w:tcPr>
          <w:p>
            <w:pPr>
              <w:spacing w:after="40" w:before="40"/>
              <w:jc w:val="center"/>
            </w:pPr>
            <w:r/>
            <w:r>
              <w:rPr>
                <w:rFonts w:ascii="Calibri" w:hAnsi="Calibri"/>
                <w:b/>
                <w:color w:val="FFFFFF"/>
                <w:sz w:val="19"/>
              </w:rPr>
              <w:t>2029</w:t>
            </w:r>
          </w:p>
        </w:tc>
        <w:tc>
          <w:tcPr>
            <w:tcW w:type="dxa" w:w="1368"/>
            <w:shd w:val="clear" w:color="auto" w:fill="1F3B4D"/>
          </w:tcPr>
          <w:p>
            <w:pPr>
              <w:spacing w:after="40" w:before="40"/>
              <w:jc w:val="center"/>
            </w:pPr>
            <w:r/>
            <w:r>
              <w:rPr>
                <w:rFonts w:ascii="Calibri" w:hAnsi="Calibri"/>
                <w:b/>
                <w:color w:val="FFFFFF"/>
                <w:sz w:val="19"/>
              </w:rPr>
              <w:t>2030</w:t>
            </w:r>
          </w:p>
        </w:tc>
        <w:tc>
          <w:tcPr>
            <w:tcW w:type="dxa" w:w="1368"/>
            <w:shd w:val="clear" w:color="auto" w:fill="1F3B4D"/>
          </w:tcPr>
          <w:p>
            <w:pPr>
              <w:spacing w:after="40" w:before="40"/>
              <w:jc w:val="center"/>
            </w:pPr>
            <w:r/>
            <w:r>
              <w:rPr>
                <w:rFonts w:ascii="Calibri" w:hAnsi="Calibri"/>
                <w:b/>
                <w:color w:val="FFFFFF"/>
                <w:sz w:val="19"/>
              </w:rPr>
              <w:t>2031</w:t>
            </w:r>
          </w:p>
        </w:tc>
      </w:tr>
      <w:tr>
        <w:tc>
          <w:tcPr>
            <w:tcW w:type="dxa" w:w="3744"/>
          </w:tcPr>
          <w:p>
            <w:pPr>
              <w:spacing w:after="40" w:before="40"/>
            </w:pPr>
            <w:r/>
            <w:r>
              <w:rPr>
                <w:rFonts w:ascii="Calibri" w:hAnsi="Calibri"/>
                <w:b w:val="0"/>
                <w:sz w:val="19"/>
              </w:rPr>
              <w:t>Direct cost of service</w:t>
            </w:r>
          </w:p>
        </w:tc>
        <w:tc>
          <w:tcPr>
            <w:tcW w:type="dxa" w:w="1368"/>
          </w:tcPr>
          <w:p>
            <w:pPr>
              <w:spacing w:after="40" w:before="40"/>
              <w:jc w:val="right"/>
            </w:pPr>
            <w:r/>
            <w:r>
              <w:rPr>
                <w:rFonts w:ascii="Calibri" w:hAnsi="Calibri"/>
                <w:b w:val="0"/>
                <w:sz w:val="19"/>
              </w:rPr>
              <w:t>$0.7M</w:t>
            </w:r>
          </w:p>
        </w:tc>
        <w:tc>
          <w:tcPr>
            <w:tcW w:type="dxa" w:w="1368"/>
          </w:tcPr>
          <w:p>
            <w:pPr>
              <w:spacing w:after="40" w:before="40"/>
              <w:jc w:val="right"/>
            </w:pPr>
            <w:r/>
            <w:r>
              <w:rPr>
                <w:rFonts w:ascii="Calibri" w:hAnsi="Calibri"/>
                <w:b w:val="0"/>
                <w:sz w:val="19"/>
              </w:rPr>
              <w:t>$1.0M</w:t>
            </w:r>
          </w:p>
        </w:tc>
        <w:tc>
          <w:tcPr>
            <w:tcW w:type="dxa" w:w="1368"/>
          </w:tcPr>
          <w:p>
            <w:pPr>
              <w:spacing w:after="40" w:before="40"/>
              <w:jc w:val="right"/>
            </w:pPr>
            <w:r/>
            <w:r>
              <w:rPr>
                <w:rFonts w:ascii="Calibri" w:hAnsi="Calibri"/>
                <w:b w:val="0"/>
                <w:sz w:val="19"/>
              </w:rPr>
              <w:t>$1.2M</w:t>
            </w:r>
          </w:p>
        </w:tc>
        <w:tc>
          <w:tcPr>
            <w:tcW w:type="dxa" w:w="1368"/>
          </w:tcPr>
          <w:p>
            <w:pPr>
              <w:spacing w:after="40" w:before="40"/>
              <w:jc w:val="right"/>
            </w:pPr>
            <w:r/>
            <w:r>
              <w:rPr>
                <w:rFonts w:ascii="Calibri" w:hAnsi="Calibri"/>
                <w:b w:val="0"/>
                <w:sz w:val="19"/>
              </w:rPr>
              <w:t>$1.4M</w:t>
            </w:r>
          </w:p>
        </w:tc>
        <w:tc>
          <w:tcPr>
            <w:tcW w:type="dxa" w:w="1368"/>
          </w:tcPr>
          <w:p>
            <w:pPr>
              <w:spacing w:after="40" w:before="40"/>
              <w:jc w:val="right"/>
            </w:pPr>
            <w:r/>
            <w:r>
              <w:rPr>
                <w:rFonts w:ascii="Calibri" w:hAnsi="Calibri"/>
                <w:b w:val="0"/>
                <w:sz w:val="19"/>
              </w:rPr>
              <w:t>$1.6M</w:t>
            </w:r>
          </w:p>
        </w:tc>
      </w:tr>
      <w:tr>
        <w:tc>
          <w:tcPr>
            <w:tcW w:type="dxa" w:w="3744"/>
            <w:shd w:val="clear" w:color="auto" w:fill="F2F6FA"/>
          </w:tcPr>
          <w:p>
            <w:pPr>
              <w:spacing w:after="40" w:before="40"/>
            </w:pPr>
            <w:r/>
            <w:r>
              <w:rPr>
                <w:rFonts w:ascii="Calibri" w:hAnsi="Calibri"/>
                <w:b w:val="0"/>
                <w:sz w:val="19"/>
              </w:rPr>
              <w:t>Network operations</w:t>
            </w:r>
          </w:p>
        </w:tc>
        <w:tc>
          <w:tcPr>
            <w:tcW w:type="dxa" w:w="1368"/>
            <w:shd w:val="clear" w:color="auto" w:fill="F2F6FA"/>
          </w:tcPr>
          <w:p>
            <w:pPr>
              <w:spacing w:after="40" w:before="40"/>
              <w:jc w:val="right"/>
            </w:pPr>
            <w:r/>
            <w:r>
              <w:rPr>
                <w:rFonts w:ascii="Calibri" w:hAnsi="Calibri"/>
                <w:b w:val="0"/>
                <w:sz w:val="19"/>
              </w:rPr>
              <w:t>$1.0M</w:t>
            </w:r>
          </w:p>
        </w:tc>
        <w:tc>
          <w:tcPr>
            <w:tcW w:type="dxa" w:w="1368"/>
            <w:shd w:val="clear" w:color="auto" w:fill="F2F6FA"/>
          </w:tcPr>
          <w:p>
            <w:pPr>
              <w:spacing w:after="40" w:before="40"/>
              <w:jc w:val="right"/>
            </w:pPr>
            <w:r/>
            <w:r>
              <w:rPr>
                <w:rFonts w:ascii="Calibri" w:hAnsi="Calibri"/>
                <w:b w:val="0"/>
                <w:sz w:val="19"/>
              </w:rPr>
              <w:t>$1.1M</w:t>
            </w:r>
          </w:p>
        </w:tc>
        <w:tc>
          <w:tcPr>
            <w:tcW w:type="dxa" w:w="1368"/>
            <w:shd w:val="clear" w:color="auto" w:fill="F2F6FA"/>
          </w:tcPr>
          <w:p>
            <w:pPr>
              <w:spacing w:after="40" w:before="40"/>
              <w:jc w:val="right"/>
            </w:pPr>
            <w:r/>
            <w:r>
              <w:rPr>
                <w:rFonts w:ascii="Calibri" w:hAnsi="Calibri"/>
                <w:b w:val="0"/>
                <w:sz w:val="19"/>
              </w:rPr>
              <w:t>$1.3M</w:t>
            </w:r>
          </w:p>
        </w:tc>
        <w:tc>
          <w:tcPr>
            <w:tcW w:type="dxa" w:w="1368"/>
            <w:shd w:val="clear" w:color="auto" w:fill="F2F6FA"/>
          </w:tcPr>
          <w:p>
            <w:pPr>
              <w:spacing w:after="40" w:before="40"/>
              <w:jc w:val="right"/>
            </w:pPr>
            <w:r/>
            <w:r>
              <w:rPr>
                <w:rFonts w:ascii="Calibri" w:hAnsi="Calibri"/>
                <w:b w:val="0"/>
                <w:sz w:val="19"/>
              </w:rPr>
              <w:t>$1.5M</w:t>
            </w:r>
          </w:p>
        </w:tc>
        <w:tc>
          <w:tcPr>
            <w:tcW w:type="dxa" w:w="1368"/>
            <w:shd w:val="clear" w:color="auto" w:fill="F2F6FA"/>
          </w:tcPr>
          <w:p>
            <w:pPr>
              <w:spacing w:after="40" w:before="40"/>
              <w:jc w:val="right"/>
            </w:pPr>
            <w:r/>
            <w:r>
              <w:rPr>
                <w:rFonts w:ascii="Calibri" w:hAnsi="Calibri"/>
                <w:b w:val="0"/>
                <w:sz w:val="19"/>
              </w:rPr>
              <w:t>$1.6M</w:t>
            </w:r>
          </w:p>
        </w:tc>
      </w:tr>
      <w:tr>
        <w:tc>
          <w:tcPr>
            <w:tcW w:type="dxa" w:w="3744"/>
          </w:tcPr>
          <w:p>
            <w:pPr>
              <w:spacing w:after="40" w:before="40"/>
            </w:pPr>
            <w:r/>
            <w:r>
              <w:rPr>
                <w:rFonts w:ascii="Calibri" w:hAnsi="Calibri"/>
                <w:b w:val="0"/>
                <w:sz w:val="19"/>
              </w:rPr>
              <w:t>Sales &amp; marketing</w:t>
            </w:r>
          </w:p>
        </w:tc>
        <w:tc>
          <w:tcPr>
            <w:tcW w:type="dxa" w:w="1368"/>
          </w:tcPr>
          <w:p>
            <w:pPr>
              <w:spacing w:after="40" w:before="40"/>
              <w:jc w:val="right"/>
            </w:pPr>
            <w:r/>
            <w:r>
              <w:rPr>
                <w:rFonts w:ascii="Calibri" w:hAnsi="Calibri"/>
                <w:b w:val="0"/>
                <w:sz w:val="19"/>
              </w:rPr>
              <w:t>$0.6M</w:t>
            </w:r>
          </w:p>
        </w:tc>
        <w:tc>
          <w:tcPr>
            <w:tcW w:type="dxa" w:w="1368"/>
          </w:tcPr>
          <w:p>
            <w:pPr>
              <w:spacing w:after="40" w:before="40"/>
              <w:jc w:val="right"/>
            </w:pPr>
            <w:r/>
            <w:r>
              <w:rPr>
                <w:rFonts w:ascii="Calibri" w:hAnsi="Calibri"/>
                <w:b w:val="0"/>
                <w:sz w:val="19"/>
              </w:rPr>
              <w:t>$0.8M</w:t>
            </w:r>
          </w:p>
        </w:tc>
        <w:tc>
          <w:tcPr>
            <w:tcW w:type="dxa" w:w="1368"/>
          </w:tcPr>
          <w:p>
            <w:pPr>
              <w:spacing w:after="40" w:before="40"/>
              <w:jc w:val="right"/>
            </w:pPr>
            <w:r/>
            <w:r>
              <w:rPr>
                <w:rFonts w:ascii="Calibri" w:hAnsi="Calibri"/>
                <w:b w:val="0"/>
                <w:sz w:val="19"/>
              </w:rPr>
              <w:t>$0.9M</w:t>
            </w:r>
          </w:p>
        </w:tc>
        <w:tc>
          <w:tcPr>
            <w:tcW w:type="dxa" w:w="1368"/>
          </w:tcPr>
          <w:p>
            <w:pPr>
              <w:spacing w:after="40" w:before="40"/>
              <w:jc w:val="right"/>
            </w:pPr>
            <w:r/>
            <w:r>
              <w:rPr>
                <w:rFonts w:ascii="Calibri" w:hAnsi="Calibri"/>
                <w:b w:val="0"/>
                <w:sz w:val="19"/>
              </w:rPr>
              <w:t>$1.0M</w:t>
            </w:r>
          </w:p>
        </w:tc>
        <w:tc>
          <w:tcPr>
            <w:tcW w:type="dxa" w:w="1368"/>
          </w:tcPr>
          <w:p>
            <w:pPr>
              <w:spacing w:after="40" w:before="40"/>
              <w:jc w:val="right"/>
            </w:pPr>
            <w:r/>
            <w:r>
              <w:rPr>
                <w:rFonts w:ascii="Calibri" w:hAnsi="Calibri"/>
                <w:b w:val="0"/>
                <w:sz w:val="19"/>
              </w:rPr>
              <w:t>$1.2M</w:t>
            </w:r>
          </w:p>
        </w:tc>
      </w:tr>
      <w:tr>
        <w:tc>
          <w:tcPr>
            <w:tcW w:type="dxa" w:w="3744"/>
            <w:shd w:val="clear" w:color="auto" w:fill="F2F6FA"/>
          </w:tcPr>
          <w:p>
            <w:pPr>
              <w:spacing w:after="40" w:before="40"/>
            </w:pPr>
            <w:r/>
            <w:r>
              <w:rPr>
                <w:rFonts w:ascii="Calibri" w:hAnsi="Calibri"/>
                <w:b w:val="0"/>
                <w:sz w:val="19"/>
              </w:rPr>
              <w:t>General &amp; administrative</w:t>
            </w:r>
          </w:p>
        </w:tc>
        <w:tc>
          <w:tcPr>
            <w:tcW w:type="dxa" w:w="1368"/>
            <w:shd w:val="clear" w:color="auto" w:fill="F2F6FA"/>
          </w:tcPr>
          <w:p>
            <w:pPr>
              <w:spacing w:after="40" w:before="40"/>
              <w:jc w:val="right"/>
            </w:pPr>
            <w:r/>
            <w:r>
              <w:rPr>
                <w:rFonts w:ascii="Calibri" w:hAnsi="Calibri"/>
                <w:b w:val="0"/>
                <w:sz w:val="19"/>
              </w:rPr>
              <w:t>$2.5M</w:t>
            </w:r>
          </w:p>
        </w:tc>
        <w:tc>
          <w:tcPr>
            <w:tcW w:type="dxa" w:w="1368"/>
            <w:shd w:val="clear" w:color="auto" w:fill="F2F6FA"/>
          </w:tcPr>
          <w:p>
            <w:pPr>
              <w:spacing w:after="40" w:before="40"/>
              <w:jc w:val="right"/>
            </w:pPr>
            <w:r/>
            <w:r>
              <w:rPr>
                <w:rFonts w:ascii="Calibri" w:hAnsi="Calibri"/>
                <w:b w:val="0"/>
                <w:sz w:val="19"/>
              </w:rPr>
              <w:t>$2.8M</w:t>
            </w:r>
          </w:p>
        </w:tc>
        <w:tc>
          <w:tcPr>
            <w:tcW w:type="dxa" w:w="1368"/>
            <w:shd w:val="clear" w:color="auto" w:fill="F2F6FA"/>
          </w:tcPr>
          <w:p>
            <w:pPr>
              <w:spacing w:after="40" w:before="40"/>
              <w:jc w:val="right"/>
            </w:pPr>
            <w:r/>
            <w:r>
              <w:rPr>
                <w:rFonts w:ascii="Calibri" w:hAnsi="Calibri"/>
                <w:b w:val="0"/>
                <w:sz w:val="19"/>
              </w:rPr>
              <w:t>$3.2M</w:t>
            </w:r>
          </w:p>
        </w:tc>
        <w:tc>
          <w:tcPr>
            <w:tcW w:type="dxa" w:w="1368"/>
            <w:shd w:val="clear" w:color="auto" w:fill="F2F6FA"/>
          </w:tcPr>
          <w:p>
            <w:pPr>
              <w:spacing w:after="40" w:before="40"/>
              <w:jc w:val="right"/>
            </w:pPr>
            <w:r/>
            <w:r>
              <w:rPr>
                <w:rFonts w:ascii="Calibri" w:hAnsi="Calibri"/>
                <w:b w:val="0"/>
                <w:sz w:val="19"/>
              </w:rPr>
              <w:t>$3.5M</w:t>
            </w:r>
          </w:p>
        </w:tc>
        <w:tc>
          <w:tcPr>
            <w:tcW w:type="dxa" w:w="1368"/>
            <w:shd w:val="clear" w:color="auto" w:fill="F2F6FA"/>
          </w:tcPr>
          <w:p>
            <w:pPr>
              <w:spacing w:after="40" w:before="40"/>
              <w:jc w:val="right"/>
            </w:pPr>
            <w:r/>
            <w:r>
              <w:rPr>
                <w:rFonts w:ascii="Calibri" w:hAnsi="Calibri"/>
                <w:b w:val="0"/>
                <w:sz w:val="19"/>
              </w:rPr>
              <w:t>$3.8M</w:t>
            </w:r>
          </w:p>
        </w:tc>
      </w:tr>
      <w:tr>
        <w:tc>
          <w:tcPr>
            <w:tcW w:type="dxa" w:w="3744"/>
            <w:shd w:val="clear" w:color="auto" w:fill="E9EFF4"/>
          </w:tcPr>
          <w:p>
            <w:pPr>
              <w:spacing w:after="40" w:before="40"/>
            </w:pPr>
            <w:r/>
            <w:r>
              <w:rPr>
                <w:rFonts w:ascii="Calibri" w:hAnsi="Calibri"/>
                <w:b/>
                <w:sz w:val="19"/>
              </w:rPr>
              <w:t>TOTAL OPERATING EXPENSE</w:t>
            </w:r>
          </w:p>
        </w:tc>
        <w:tc>
          <w:tcPr>
            <w:tcW w:type="dxa" w:w="1368"/>
            <w:shd w:val="clear" w:color="auto" w:fill="E9EFF4"/>
          </w:tcPr>
          <w:p>
            <w:pPr>
              <w:spacing w:after="40" w:before="40"/>
              <w:jc w:val="right"/>
            </w:pPr>
            <w:r/>
            <w:r>
              <w:rPr>
                <w:rFonts w:ascii="Calibri" w:hAnsi="Calibri"/>
                <w:b/>
                <w:sz w:val="19"/>
              </w:rPr>
              <w:t>$4.9M</w:t>
            </w:r>
          </w:p>
        </w:tc>
        <w:tc>
          <w:tcPr>
            <w:tcW w:type="dxa" w:w="1368"/>
            <w:shd w:val="clear" w:color="auto" w:fill="E9EFF4"/>
          </w:tcPr>
          <w:p>
            <w:pPr>
              <w:spacing w:after="40" w:before="40"/>
              <w:jc w:val="right"/>
            </w:pPr>
            <w:r/>
            <w:r>
              <w:rPr>
                <w:rFonts w:ascii="Calibri" w:hAnsi="Calibri"/>
                <w:b/>
                <w:sz w:val="19"/>
              </w:rPr>
              <w:t>$5.7M</w:t>
            </w:r>
          </w:p>
        </w:tc>
        <w:tc>
          <w:tcPr>
            <w:tcW w:type="dxa" w:w="1368"/>
            <w:shd w:val="clear" w:color="auto" w:fill="E9EFF4"/>
          </w:tcPr>
          <w:p>
            <w:pPr>
              <w:spacing w:after="40" w:before="40"/>
              <w:jc w:val="right"/>
            </w:pPr>
            <w:r/>
            <w:r>
              <w:rPr>
                <w:rFonts w:ascii="Calibri" w:hAnsi="Calibri"/>
                <w:b/>
                <w:sz w:val="19"/>
              </w:rPr>
              <w:t>$6.6M</w:t>
            </w:r>
          </w:p>
        </w:tc>
        <w:tc>
          <w:tcPr>
            <w:tcW w:type="dxa" w:w="1368"/>
            <w:shd w:val="clear" w:color="auto" w:fill="E9EFF4"/>
          </w:tcPr>
          <w:p>
            <w:pPr>
              <w:spacing w:after="40" w:before="40"/>
              <w:jc w:val="right"/>
            </w:pPr>
            <w:r/>
            <w:r>
              <w:rPr>
                <w:rFonts w:ascii="Calibri" w:hAnsi="Calibri"/>
                <w:b/>
                <w:sz w:val="19"/>
              </w:rPr>
              <w:t>$7.4M</w:t>
            </w:r>
          </w:p>
        </w:tc>
        <w:tc>
          <w:tcPr>
            <w:tcW w:type="dxa" w:w="1368"/>
            <w:shd w:val="clear" w:color="auto" w:fill="E9EFF4"/>
          </w:tcPr>
          <w:p>
            <w:pPr>
              <w:spacing w:after="40" w:before="40"/>
              <w:jc w:val="right"/>
            </w:pPr>
            <w:r/>
            <w:r>
              <w:rPr>
                <w:rFonts w:ascii="Calibri" w:hAnsi="Calibri"/>
                <w:b/>
                <w:sz w:val="19"/>
              </w:rPr>
              <w:t>$8.2M</w:t>
            </w:r>
          </w:p>
        </w:tc>
      </w:tr>
    </w:tbl>
    <w:p>
      <w:pPr>
        <w:spacing w:after="40"/>
      </w:pPr>
    </w:p>
    <w:p>
      <w:pPr>
        <w:pStyle w:val="Heading2"/>
      </w:pPr>
      <w:r>
        <w:rPr>
          <w:rFonts w:ascii="Calibri" w:hAnsi="Calibri"/>
          <w:color w:val="2E7D8A"/>
          <w:sz w:val="25"/>
        </w:rPr>
        <w:t>Cost behavior and unit economics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4032"/>
            <w:shd w:val="clear" w:color="auto" w:fill="1F3B4D"/>
          </w:tcPr>
          <w:p>
            <w:pPr>
              <w:spacing w:after="40" w:before="40"/>
            </w:pPr>
            <w:r/>
            <w:r>
              <w:rPr>
                <w:rFonts w:ascii="Calibri" w:hAnsi="Calibri"/>
                <w:b/>
                <w:color w:val="FFFFFF"/>
                <w:sz w:val="19"/>
              </w:rPr>
              <w:t>Metric</w:t>
            </w:r>
          </w:p>
        </w:tc>
        <w:tc>
          <w:tcPr>
            <w:tcW w:type="dxa" w:w="1296"/>
            <w:shd w:val="clear" w:color="auto" w:fill="1F3B4D"/>
          </w:tcPr>
          <w:p>
            <w:pPr>
              <w:spacing w:after="40" w:before="40"/>
              <w:jc w:val="center"/>
            </w:pPr>
            <w:r/>
            <w:r>
              <w:rPr>
                <w:rFonts w:ascii="Calibri" w:hAnsi="Calibri"/>
                <w:b/>
                <w:color w:val="FFFFFF"/>
                <w:sz w:val="19"/>
              </w:rPr>
              <w:t>2027</w:t>
            </w:r>
          </w:p>
        </w:tc>
        <w:tc>
          <w:tcPr>
            <w:tcW w:type="dxa" w:w="1296"/>
            <w:shd w:val="clear" w:color="auto" w:fill="1F3B4D"/>
          </w:tcPr>
          <w:p>
            <w:pPr>
              <w:spacing w:after="40" w:before="40"/>
              <w:jc w:val="center"/>
            </w:pPr>
            <w:r/>
            <w:r>
              <w:rPr>
                <w:rFonts w:ascii="Calibri" w:hAnsi="Calibri"/>
                <w:b/>
                <w:color w:val="FFFFFF"/>
                <w:sz w:val="19"/>
              </w:rPr>
              <w:t>2028</w:t>
            </w:r>
          </w:p>
        </w:tc>
        <w:tc>
          <w:tcPr>
            <w:tcW w:type="dxa" w:w="1296"/>
            <w:shd w:val="clear" w:color="auto" w:fill="1F3B4D"/>
          </w:tcPr>
          <w:p>
            <w:pPr>
              <w:spacing w:after="40" w:before="40"/>
              <w:jc w:val="center"/>
            </w:pPr>
            <w:r/>
            <w:r>
              <w:rPr>
                <w:rFonts w:ascii="Calibri" w:hAnsi="Calibri"/>
                <w:b/>
                <w:color w:val="FFFFFF"/>
                <w:sz w:val="19"/>
              </w:rPr>
              <w:t>2029</w:t>
            </w:r>
          </w:p>
        </w:tc>
        <w:tc>
          <w:tcPr>
            <w:tcW w:type="dxa" w:w="1296"/>
            <w:shd w:val="clear" w:color="auto" w:fill="1F3B4D"/>
          </w:tcPr>
          <w:p>
            <w:pPr>
              <w:spacing w:after="40" w:before="40"/>
              <w:jc w:val="center"/>
            </w:pPr>
            <w:r/>
            <w:r>
              <w:rPr>
                <w:rFonts w:ascii="Calibri" w:hAnsi="Calibri"/>
                <w:b/>
                <w:color w:val="FFFFFF"/>
                <w:sz w:val="19"/>
              </w:rPr>
              <w:t>2030</w:t>
            </w:r>
          </w:p>
        </w:tc>
        <w:tc>
          <w:tcPr>
            <w:tcW w:type="dxa" w:w="1296"/>
            <w:shd w:val="clear" w:color="auto" w:fill="1F3B4D"/>
          </w:tcPr>
          <w:p>
            <w:pPr>
              <w:spacing w:after="40" w:before="40"/>
              <w:jc w:val="center"/>
            </w:pPr>
            <w:r/>
            <w:r>
              <w:rPr>
                <w:rFonts w:ascii="Calibri" w:hAnsi="Calibri"/>
                <w:b/>
                <w:color w:val="FFFFFF"/>
                <w:sz w:val="19"/>
              </w:rPr>
              <w:t>2031</w:t>
            </w:r>
          </w:p>
        </w:tc>
      </w:tr>
      <w:tr>
        <w:tc>
          <w:tcPr>
            <w:tcW w:type="dxa" w:w="4032"/>
          </w:tcPr>
          <w:p>
            <w:pPr>
              <w:spacing w:after="40" w:before="40"/>
            </w:pPr>
            <w:r/>
            <w:r>
              <w:rPr>
                <w:rFonts w:ascii="Calibri" w:hAnsi="Calibri"/>
                <w:b w:val="0"/>
                <w:sz w:val="19"/>
              </w:rPr>
              <w:t>Fixed expense</w:t>
            </w:r>
          </w:p>
        </w:tc>
        <w:tc>
          <w:tcPr>
            <w:tcW w:type="dxa" w:w="1296"/>
          </w:tcPr>
          <w:p>
            <w:pPr>
              <w:spacing w:after="40" w:before="40"/>
              <w:jc w:val="right"/>
            </w:pPr>
            <w:r/>
            <w:r>
              <w:rPr>
                <w:rFonts w:ascii="Calibri" w:hAnsi="Calibri"/>
                <w:b w:val="0"/>
                <w:sz w:val="19"/>
              </w:rPr>
              <w:t>$2.4M</w:t>
            </w:r>
          </w:p>
        </w:tc>
        <w:tc>
          <w:tcPr>
            <w:tcW w:type="dxa" w:w="1296"/>
          </w:tcPr>
          <w:p>
            <w:pPr>
              <w:spacing w:after="40" w:before="40"/>
              <w:jc w:val="right"/>
            </w:pPr>
            <w:r/>
            <w:r>
              <w:rPr>
                <w:rFonts w:ascii="Calibri" w:hAnsi="Calibri"/>
                <w:b w:val="0"/>
                <w:sz w:val="19"/>
              </w:rPr>
              <w:t>$2.7M</w:t>
            </w:r>
          </w:p>
        </w:tc>
        <w:tc>
          <w:tcPr>
            <w:tcW w:type="dxa" w:w="1296"/>
          </w:tcPr>
          <w:p>
            <w:pPr>
              <w:spacing w:after="40" w:before="40"/>
              <w:jc w:val="right"/>
            </w:pPr>
            <w:r/>
            <w:r>
              <w:rPr>
                <w:rFonts w:ascii="Calibri" w:hAnsi="Calibri"/>
                <w:b w:val="0"/>
                <w:sz w:val="19"/>
              </w:rPr>
              <w:t>$3.0M</w:t>
            </w:r>
          </w:p>
        </w:tc>
        <w:tc>
          <w:tcPr>
            <w:tcW w:type="dxa" w:w="1296"/>
          </w:tcPr>
          <w:p>
            <w:pPr>
              <w:spacing w:after="40" w:before="40"/>
              <w:jc w:val="right"/>
            </w:pPr>
            <w:r/>
            <w:r>
              <w:rPr>
                <w:rFonts w:ascii="Calibri" w:hAnsi="Calibri"/>
                <w:b w:val="0"/>
                <w:sz w:val="19"/>
              </w:rPr>
              <w:t>$3.3M</w:t>
            </w:r>
          </w:p>
        </w:tc>
        <w:tc>
          <w:tcPr>
            <w:tcW w:type="dxa" w:w="1296"/>
          </w:tcPr>
          <w:p>
            <w:pPr>
              <w:spacing w:after="40" w:before="40"/>
              <w:jc w:val="right"/>
            </w:pPr>
            <w:r/>
            <w:r>
              <w:rPr>
                <w:rFonts w:ascii="Calibri" w:hAnsi="Calibri"/>
                <w:b w:val="0"/>
                <w:sz w:val="19"/>
              </w:rPr>
              <w:t>$3.6M</w:t>
            </w:r>
          </w:p>
        </w:tc>
      </w:tr>
      <w:tr>
        <w:tc>
          <w:tcPr>
            <w:tcW w:type="dxa" w:w="4032"/>
            <w:shd w:val="clear" w:color="auto" w:fill="F2F6FA"/>
          </w:tcPr>
          <w:p>
            <w:pPr>
              <w:spacing w:after="40" w:before="40"/>
            </w:pPr>
            <w:r/>
            <w:r>
              <w:rPr>
                <w:rFonts w:ascii="Calibri" w:hAnsi="Calibri"/>
                <w:b w:val="0"/>
                <w:sz w:val="19"/>
              </w:rPr>
              <w:t>Variable expense</w:t>
            </w:r>
          </w:p>
        </w:tc>
        <w:tc>
          <w:tcPr>
            <w:tcW w:type="dxa" w:w="1296"/>
            <w:shd w:val="clear" w:color="auto" w:fill="F2F6FA"/>
          </w:tcPr>
          <w:p>
            <w:pPr>
              <w:spacing w:after="40" w:before="40"/>
              <w:jc w:val="right"/>
            </w:pPr>
            <w:r/>
            <w:r>
              <w:rPr>
                <w:rFonts w:ascii="Calibri" w:hAnsi="Calibri"/>
                <w:b w:val="0"/>
                <w:sz w:val="19"/>
              </w:rPr>
              <w:t>$0.8M</w:t>
            </w:r>
          </w:p>
        </w:tc>
        <w:tc>
          <w:tcPr>
            <w:tcW w:type="dxa" w:w="1296"/>
            <w:shd w:val="clear" w:color="auto" w:fill="F2F6FA"/>
          </w:tcPr>
          <w:p>
            <w:pPr>
              <w:spacing w:after="40" w:before="40"/>
              <w:jc w:val="right"/>
            </w:pPr>
            <w:r/>
            <w:r>
              <w:rPr>
                <w:rFonts w:ascii="Calibri" w:hAnsi="Calibri"/>
                <w:b w:val="0"/>
                <w:sz w:val="19"/>
              </w:rPr>
              <w:t>$1.0M</w:t>
            </w:r>
          </w:p>
        </w:tc>
        <w:tc>
          <w:tcPr>
            <w:tcW w:type="dxa" w:w="1296"/>
            <w:shd w:val="clear" w:color="auto" w:fill="F2F6FA"/>
          </w:tcPr>
          <w:p>
            <w:pPr>
              <w:spacing w:after="40" w:before="40"/>
              <w:jc w:val="right"/>
            </w:pPr>
            <w:r/>
            <w:r>
              <w:rPr>
                <w:rFonts w:ascii="Calibri" w:hAnsi="Calibri"/>
                <w:b w:val="0"/>
                <w:sz w:val="19"/>
              </w:rPr>
              <w:t>$1.2M</w:t>
            </w:r>
          </w:p>
        </w:tc>
        <w:tc>
          <w:tcPr>
            <w:tcW w:type="dxa" w:w="1296"/>
            <w:shd w:val="clear" w:color="auto" w:fill="F2F6FA"/>
          </w:tcPr>
          <w:p>
            <w:pPr>
              <w:spacing w:after="40" w:before="40"/>
              <w:jc w:val="right"/>
            </w:pPr>
            <w:r/>
            <w:r>
              <w:rPr>
                <w:rFonts w:ascii="Calibri" w:hAnsi="Calibri"/>
                <w:b w:val="0"/>
                <w:sz w:val="19"/>
              </w:rPr>
              <w:t>$1.5M</w:t>
            </w:r>
          </w:p>
        </w:tc>
        <w:tc>
          <w:tcPr>
            <w:tcW w:type="dxa" w:w="1296"/>
            <w:shd w:val="clear" w:color="auto" w:fill="F2F6FA"/>
          </w:tcPr>
          <w:p>
            <w:pPr>
              <w:spacing w:after="40" w:before="40"/>
              <w:jc w:val="right"/>
            </w:pPr>
            <w:r/>
            <w:r>
              <w:rPr>
                <w:rFonts w:ascii="Calibri" w:hAnsi="Calibri"/>
                <w:b w:val="0"/>
                <w:sz w:val="19"/>
              </w:rPr>
              <w:t>$1.7M</w:t>
            </w:r>
          </w:p>
        </w:tc>
      </w:tr>
      <w:tr>
        <w:tc>
          <w:tcPr>
            <w:tcW w:type="dxa" w:w="4032"/>
          </w:tcPr>
          <w:p>
            <w:pPr>
              <w:spacing w:after="40" w:before="40"/>
            </w:pPr>
            <w:r/>
            <w:r>
              <w:rPr>
                <w:rFonts w:ascii="Calibri" w:hAnsi="Calibri"/>
                <w:b w:val="0"/>
                <w:sz w:val="19"/>
              </w:rPr>
              <w:t>Semi-variable expense</w:t>
            </w:r>
          </w:p>
        </w:tc>
        <w:tc>
          <w:tcPr>
            <w:tcW w:type="dxa" w:w="1296"/>
          </w:tcPr>
          <w:p>
            <w:pPr>
              <w:spacing w:after="40" w:before="40"/>
              <w:jc w:val="right"/>
            </w:pPr>
            <w:r/>
            <w:r>
              <w:rPr>
                <w:rFonts w:ascii="Calibri" w:hAnsi="Calibri"/>
                <w:b w:val="0"/>
                <w:sz w:val="19"/>
              </w:rPr>
              <w:t>$1.7M</w:t>
            </w:r>
          </w:p>
        </w:tc>
        <w:tc>
          <w:tcPr>
            <w:tcW w:type="dxa" w:w="1296"/>
          </w:tcPr>
          <w:p>
            <w:pPr>
              <w:spacing w:after="40" w:before="40"/>
              <w:jc w:val="right"/>
            </w:pPr>
            <w:r/>
            <w:r>
              <w:rPr>
                <w:rFonts w:ascii="Calibri" w:hAnsi="Calibri"/>
                <w:b w:val="0"/>
                <w:sz w:val="19"/>
              </w:rPr>
              <w:t>$2.0M</w:t>
            </w:r>
          </w:p>
        </w:tc>
        <w:tc>
          <w:tcPr>
            <w:tcW w:type="dxa" w:w="1296"/>
          </w:tcPr>
          <w:p>
            <w:pPr>
              <w:spacing w:after="40" w:before="40"/>
              <w:jc w:val="right"/>
            </w:pPr>
            <w:r/>
            <w:r>
              <w:rPr>
                <w:rFonts w:ascii="Calibri" w:hAnsi="Calibri"/>
                <w:b w:val="0"/>
                <w:sz w:val="19"/>
              </w:rPr>
              <w:t>$2.3M</w:t>
            </w:r>
          </w:p>
        </w:tc>
        <w:tc>
          <w:tcPr>
            <w:tcW w:type="dxa" w:w="1296"/>
          </w:tcPr>
          <w:p>
            <w:pPr>
              <w:spacing w:after="40" w:before="40"/>
              <w:jc w:val="right"/>
            </w:pPr>
            <w:r/>
            <w:r>
              <w:rPr>
                <w:rFonts w:ascii="Calibri" w:hAnsi="Calibri"/>
                <w:b w:val="0"/>
                <w:sz w:val="19"/>
              </w:rPr>
              <w:t>$2.7M</w:t>
            </w:r>
          </w:p>
        </w:tc>
        <w:tc>
          <w:tcPr>
            <w:tcW w:type="dxa" w:w="1296"/>
          </w:tcPr>
          <w:p>
            <w:pPr>
              <w:spacing w:after="40" w:before="40"/>
              <w:jc w:val="right"/>
            </w:pPr>
            <w:r/>
            <w:r>
              <w:rPr>
                <w:rFonts w:ascii="Calibri" w:hAnsi="Calibri"/>
                <w:b w:val="0"/>
                <w:sz w:val="19"/>
              </w:rPr>
              <w:t>$2.9M</w:t>
            </w:r>
          </w:p>
        </w:tc>
      </w:tr>
      <w:tr>
        <w:tc>
          <w:tcPr>
            <w:tcW w:type="dxa" w:w="4032"/>
            <w:shd w:val="clear" w:color="auto" w:fill="F2F6FA"/>
          </w:tcPr>
          <w:p>
            <w:pPr>
              <w:spacing w:after="40" w:before="40"/>
            </w:pPr>
            <w:r/>
            <w:r>
              <w:rPr>
                <w:rFonts w:ascii="Calibri" w:hAnsi="Calibri"/>
                <w:b w:val="0"/>
                <w:sz w:val="19"/>
              </w:rPr>
              <w:t>Operating cost per subscriber ($/yr)</w:t>
            </w:r>
          </w:p>
        </w:tc>
        <w:tc>
          <w:tcPr>
            <w:tcW w:type="dxa" w:w="1296"/>
            <w:shd w:val="clear" w:color="auto" w:fill="F2F6FA"/>
          </w:tcPr>
          <w:p>
            <w:pPr>
              <w:spacing w:after="40" w:before="40"/>
              <w:jc w:val="right"/>
            </w:pPr>
            <w:r/>
            <w:r>
              <w:rPr>
                <w:rFonts w:ascii="Calibri" w:hAnsi="Calibri"/>
                <w:b w:val="0"/>
                <w:sz w:val="19"/>
              </w:rPr>
              <w:t>$882</w:t>
            </w:r>
          </w:p>
        </w:tc>
        <w:tc>
          <w:tcPr>
            <w:tcW w:type="dxa" w:w="1296"/>
            <w:shd w:val="clear" w:color="auto" w:fill="F2F6FA"/>
          </w:tcPr>
          <w:p>
            <w:pPr>
              <w:spacing w:after="40" w:before="40"/>
              <w:jc w:val="right"/>
            </w:pPr>
            <w:r/>
            <w:r>
              <w:rPr>
                <w:rFonts w:ascii="Calibri" w:hAnsi="Calibri"/>
                <w:b w:val="0"/>
                <w:sz w:val="19"/>
              </w:rPr>
              <w:t>$817</w:t>
            </w:r>
          </w:p>
        </w:tc>
        <w:tc>
          <w:tcPr>
            <w:tcW w:type="dxa" w:w="1296"/>
            <w:shd w:val="clear" w:color="auto" w:fill="F2F6FA"/>
          </w:tcPr>
          <w:p>
            <w:pPr>
              <w:spacing w:after="40" w:before="40"/>
              <w:jc w:val="right"/>
            </w:pPr>
            <w:r/>
            <w:r>
              <w:rPr>
                <w:rFonts w:ascii="Calibri" w:hAnsi="Calibri"/>
                <w:b w:val="0"/>
                <w:sz w:val="19"/>
              </w:rPr>
              <w:t>$775</w:t>
            </w:r>
          </w:p>
        </w:tc>
        <w:tc>
          <w:tcPr>
            <w:tcW w:type="dxa" w:w="1296"/>
            <w:shd w:val="clear" w:color="auto" w:fill="F2F6FA"/>
          </w:tcPr>
          <w:p>
            <w:pPr>
              <w:spacing w:after="40" w:before="40"/>
              <w:jc w:val="right"/>
            </w:pPr>
            <w:r/>
            <w:r>
              <w:rPr>
                <w:rFonts w:ascii="Calibri" w:hAnsi="Calibri"/>
                <w:b w:val="0"/>
                <w:sz w:val="19"/>
              </w:rPr>
              <w:t>$753</w:t>
            </w:r>
          </w:p>
        </w:tc>
        <w:tc>
          <w:tcPr>
            <w:tcW w:type="dxa" w:w="1296"/>
            <w:shd w:val="clear" w:color="auto" w:fill="F2F6FA"/>
          </w:tcPr>
          <w:p>
            <w:pPr>
              <w:spacing w:after="40" w:before="40"/>
              <w:jc w:val="right"/>
            </w:pPr>
            <w:r/>
            <w:r>
              <w:rPr>
                <w:rFonts w:ascii="Calibri" w:hAnsi="Calibri"/>
                <w:b w:val="0"/>
                <w:sz w:val="19"/>
              </w:rPr>
              <w:t>$750</w:t>
            </w:r>
          </w:p>
        </w:tc>
      </w:tr>
      <w:tr>
        <w:tc>
          <w:tcPr>
            <w:tcW w:type="dxa" w:w="4032"/>
          </w:tcPr>
          <w:p>
            <w:pPr>
              <w:spacing w:after="40" w:before="40"/>
            </w:pPr>
            <w:r/>
            <w:r>
              <w:rPr>
                <w:rFonts w:ascii="Calibri" w:hAnsi="Calibri"/>
                <w:b w:val="0"/>
                <w:sz w:val="19"/>
              </w:rPr>
              <w:t>Operating expense per revenue dollar</w:t>
            </w:r>
          </w:p>
        </w:tc>
        <w:tc>
          <w:tcPr>
            <w:tcW w:type="dxa" w:w="1296"/>
          </w:tcPr>
          <w:p>
            <w:pPr>
              <w:spacing w:after="40" w:before="40"/>
              <w:jc w:val="right"/>
            </w:pPr>
            <w:r/>
            <w:r>
              <w:rPr>
                <w:rFonts w:ascii="Calibri" w:hAnsi="Calibri"/>
                <w:b w:val="0"/>
                <w:sz w:val="19"/>
              </w:rPr>
              <w:t>0.948</w:t>
            </w:r>
          </w:p>
        </w:tc>
        <w:tc>
          <w:tcPr>
            <w:tcW w:type="dxa" w:w="1296"/>
          </w:tcPr>
          <w:p>
            <w:pPr>
              <w:spacing w:after="40" w:before="40"/>
              <w:jc w:val="right"/>
            </w:pPr>
            <w:r/>
            <w:r>
              <w:rPr>
                <w:rFonts w:ascii="Calibri" w:hAnsi="Calibri"/>
                <w:b w:val="0"/>
                <w:sz w:val="19"/>
              </w:rPr>
              <w:t>0.865</w:t>
            </w:r>
          </w:p>
        </w:tc>
        <w:tc>
          <w:tcPr>
            <w:tcW w:type="dxa" w:w="1296"/>
          </w:tcPr>
          <w:p>
            <w:pPr>
              <w:spacing w:after="40" w:before="40"/>
              <w:jc w:val="right"/>
            </w:pPr>
            <w:r/>
            <w:r>
              <w:rPr>
                <w:rFonts w:ascii="Calibri" w:hAnsi="Calibri"/>
                <w:b w:val="0"/>
                <w:sz w:val="19"/>
              </w:rPr>
              <w:t>0.809</w:t>
            </w:r>
          </w:p>
        </w:tc>
        <w:tc>
          <w:tcPr>
            <w:tcW w:type="dxa" w:w="1296"/>
          </w:tcPr>
          <w:p>
            <w:pPr>
              <w:spacing w:after="40" w:before="40"/>
              <w:jc w:val="right"/>
            </w:pPr>
            <w:r/>
            <w:r>
              <w:rPr>
                <w:rFonts w:ascii="Calibri" w:hAnsi="Calibri"/>
                <w:b w:val="0"/>
                <w:sz w:val="19"/>
              </w:rPr>
              <w:t>0.773</w:t>
            </w:r>
          </w:p>
        </w:tc>
        <w:tc>
          <w:tcPr>
            <w:tcW w:type="dxa" w:w="1296"/>
          </w:tcPr>
          <w:p>
            <w:pPr>
              <w:spacing w:after="40" w:before="40"/>
              <w:jc w:val="right"/>
            </w:pPr>
            <w:r/>
            <w:r>
              <w:rPr>
                <w:rFonts w:ascii="Calibri" w:hAnsi="Calibri"/>
                <w:b w:val="0"/>
                <w:sz w:val="19"/>
              </w:rPr>
              <w:t>0.756</w:t>
            </w:r>
          </w:p>
        </w:tc>
      </w:tr>
    </w:tbl>
    <w:p>
      <w:pPr>
        <w:spacing w:after="40"/>
      </w:pPr>
    </w:p>
    <w:p>
      <w:pPr>
        <w:spacing w:after="120"/>
      </w:pPr>
      <w:r>
        <w:rPr>
          <w:i/>
          <w:color w:val="606060"/>
          <w:sz w:val="19"/>
        </w:rPr>
        <w:t>Operating cost per subscriber falls from about $882 to ~$750 as fixed costs are spread over a larger base — the core scale story of the plan. The operating-expense model is built up from the Q2-2026 actual income-statement categories (COGS, LREMC intercompany, engineering &amp; operations, marketing, sales &amp; customer support, G&amp;A, accounting, HR, IT, taxes), each grown on subscriber, headcount, inflation, and revenue drivers, and classified Fixed / Variable / Semi-variable and Direct / S&amp;M / NetOps / G&amp;A on the Excel 'Operating Expenses' tab.</w:t>
      </w:r>
    </w:p>
    <w:p>
      <w:pPr>
        <w:pStyle w:val="Heading2"/>
      </w:pPr>
      <w:r>
        <w:rPr>
          <w:rFonts w:ascii="Calibri" w:hAnsi="Calibri"/>
          <w:color w:val="2E7D8A"/>
          <w:sz w:val="25"/>
        </w:rPr>
        <w:t>Service and reliability targets</w:t>
      </w:r>
    </w:p>
    <w:tbl>
      <w:tblPr>
        <w:tblStyle w:val="TableGrid"/>
        <w:tblW w:type="auto" w:w="0"/>
        <w:jc w:val="center"/>
        <w:tblLook w:firstColumn="1" w:firstRow="1" w:lastColumn="0" w:lastRow="0" w:noHBand="0" w:noVBand="1" w:val="04A0"/>
      </w:tblPr>
      <w:tblGrid>
        <w:gridCol w:w="2880"/>
        <w:gridCol w:w="2880"/>
        <w:gridCol w:w="2880"/>
      </w:tblGrid>
      <w:tr>
        <w:tc>
          <w:tcPr>
            <w:tcW w:type="dxa" w:w="4320"/>
            <w:shd w:val="clear" w:color="auto" w:fill="1F3B4D"/>
          </w:tcPr>
          <w:p>
            <w:pPr>
              <w:spacing w:after="40" w:before="40"/>
            </w:pPr>
            <w:r/>
            <w:r>
              <w:rPr>
                <w:rFonts w:ascii="Calibri" w:hAnsi="Calibri"/>
                <w:b/>
                <w:color w:val="FFFFFF"/>
                <w:sz w:val="19"/>
              </w:rPr>
              <w:t>Operational KPI</w:t>
            </w:r>
          </w:p>
        </w:tc>
        <w:tc>
          <w:tcPr>
            <w:tcW w:type="dxa" w:w="2736"/>
            <w:shd w:val="clear" w:color="auto" w:fill="1F3B4D"/>
          </w:tcPr>
          <w:p>
            <w:pPr>
              <w:spacing w:after="40" w:before="40"/>
              <w:jc w:val="center"/>
            </w:pPr>
            <w:r/>
            <w:r>
              <w:rPr>
                <w:rFonts w:ascii="Calibri" w:hAnsi="Calibri"/>
                <w:b/>
                <w:color w:val="FFFFFF"/>
                <w:sz w:val="19"/>
              </w:rPr>
              <w:t>2027</w:t>
            </w:r>
          </w:p>
        </w:tc>
        <w:tc>
          <w:tcPr>
            <w:tcW w:type="dxa" w:w="2736"/>
            <w:shd w:val="clear" w:color="auto" w:fill="1F3B4D"/>
          </w:tcPr>
          <w:p>
            <w:pPr>
              <w:spacing w:after="40" w:before="40"/>
              <w:jc w:val="center"/>
            </w:pPr>
            <w:r/>
            <w:r>
              <w:rPr>
                <w:rFonts w:ascii="Calibri" w:hAnsi="Calibri"/>
                <w:b/>
                <w:color w:val="FFFFFF"/>
                <w:sz w:val="19"/>
              </w:rPr>
              <w:t>2031 target</w:t>
            </w:r>
          </w:p>
        </w:tc>
      </w:tr>
      <w:tr>
        <w:tc>
          <w:tcPr>
            <w:tcW w:type="dxa" w:w="4320"/>
          </w:tcPr>
          <w:p>
            <w:pPr>
              <w:spacing w:after="40" w:before="40"/>
            </w:pPr>
            <w:r/>
            <w:r>
              <w:rPr>
                <w:rFonts w:ascii="Calibri" w:hAnsi="Calibri"/>
                <w:b w:val="0"/>
                <w:sz w:val="19"/>
              </w:rPr>
              <w:t>Network availability</w:t>
            </w:r>
          </w:p>
        </w:tc>
        <w:tc>
          <w:tcPr>
            <w:tcW w:type="dxa" w:w="2736"/>
          </w:tcPr>
          <w:p>
            <w:pPr>
              <w:spacing w:after="40" w:before="40"/>
              <w:jc w:val="right"/>
            </w:pPr>
            <w:r/>
            <w:r>
              <w:rPr>
                <w:rFonts w:ascii="Calibri" w:hAnsi="Calibri"/>
                <w:b w:val="0"/>
                <w:sz w:val="19"/>
              </w:rPr>
              <w:t>99.85%</w:t>
            </w:r>
          </w:p>
        </w:tc>
        <w:tc>
          <w:tcPr>
            <w:tcW w:type="dxa" w:w="2736"/>
          </w:tcPr>
          <w:p>
            <w:pPr>
              <w:spacing w:after="40" w:before="40"/>
              <w:jc w:val="right"/>
            </w:pPr>
            <w:r/>
            <w:r>
              <w:rPr>
                <w:rFonts w:ascii="Calibri" w:hAnsi="Calibri"/>
                <w:b w:val="0"/>
                <w:sz w:val="19"/>
              </w:rPr>
              <w:t>≥99.85%</w:t>
            </w:r>
          </w:p>
        </w:tc>
      </w:tr>
      <w:tr>
        <w:tc>
          <w:tcPr>
            <w:tcW w:type="dxa" w:w="4320"/>
            <w:shd w:val="clear" w:color="auto" w:fill="F2F6FA"/>
          </w:tcPr>
          <w:p>
            <w:pPr>
              <w:spacing w:after="40" w:before="40"/>
            </w:pPr>
            <w:r/>
            <w:r>
              <w:rPr>
                <w:rFonts w:ascii="Calibri" w:hAnsi="Calibri"/>
                <w:b w:val="0"/>
                <w:sz w:val="19"/>
              </w:rPr>
              <w:t>Average installation interval</w:t>
            </w:r>
          </w:p>
        </w:tc>
        <w:tc>
          <w:tcPr>
            <w:tcW w:type="dxa" w:w="2736"/>
            <w:shd w:val="clear" w:color="auto" w:fill="F2F6FA"/>
          </w:tcPr>
          <w:p>
            <w:pPr>
              <w:spacing w:after="40" w:before="40"/>
              <w:jc w:val="right"/>
            </w:pPr>
            <w:r/>
            <w:r>
              <w:rPr>
                <w:rFonts w:ascii="Calibri" w:hAnsi="Calibri"/>
                <w:b w:val="0"/>
                <w:sz w:val="19"/>
              </w:rPr>
              <w:t>9 days</w:t>
            </w:r>
          </w:p>
        </w:tc>
        <w:tc>
          <w:tcPr>
            <w:tcW w:type="dxa" w:w="2736"/>
            <w:shd w:val="clear" w:color="auto" w:fill="F2F6FA"/>
          </w:tcPr>
          <w:p>
            <w:pPr>
              <w:spacing w:after="40" w:before="40"/>
              <w:jc w:val="right"/>
            </w:pPr>
            <w:r/>
            <w:r>
              <w:rPr>
                <w:rFonts w:ascii="Calibri" w:hAnsi="Calibri"/>
                <w:b w:val="0"/>
                <w:sz w:val="19"/>
              </w:rPr>
              <w:t>6 days</w:t>
            </w:r>
          </w:p>
        </w:tc>
      </w:tr>
      <w:tr>
        <w:tc>
          <w:tcPr>
            <w:tcW w:type="dxa" w:w="4320"/>
          </w:tcPr>
          <w:p>
            <w:pPr>
              <w:spacing w:after="40" w:before="40"/>
            </w:pPr>
            <w:r/>
            <w:r>
              <w:rPr>
                <w:rFonts w:ascii="Calibri" w:hAnsi="Calibri"/>
                <w:b w:val="0"/>
                <w:sz w:val="19"/>
              </w:rPr>
              <w:t>Trouble-ticket repeat rate</w:t>
            </w:r>
          </w:p>
        </w:tc>
        <w:tc>
          <w:tcPr>
            <w:tcW w:type="dxa" w:w="2736"/>
          </w:tcPr>
          <w:p>
            <w:pPr>
              <w:spacing w:after="40" w:before="40"/>
              <w:jc w:val="right"/>
            </w:pPr>
            <w:r/>
            <w:r>
              <w:rPr>
                <w:rFonts w:ascii="Calibri" w:hAnsi="Calibri"/>
                <w:b w:val="0"/>
                <w:sz w:val="19"/>
              </w:rPr>
              <w:t>9.0%</w:t>
            </w:r>
          </w:p>
        </w:tc>
        <w:tc>
          <w:tcPr>
            <w:tcW w:type="dxa" w:w="2736"/>
          </w:tcPr>
          <w:p>
            <w:pPr>
              <w:spacing w:after="40" w:before="40"/>
              <w:jc w:val="right"/>
            </w:pPr>
            <w:r/>
            <w:r>
              <w:rPr>
                <w:rFonts w:ascii="Calibri" w:hAnsi="Calibri"/>
                <w:b w:val="0"/>
                <w:sz w:val="19"/>
              </w:rPr>
              <w:t>6.0%</w:t>
            </w:r>
          </w:p>
        </w:tc>
      </w:tr>
      <w:tr>
        <w:tc>
          <w:tcPr>
            <w:tcW w:type="dxa" w:w="4320"/>
            <w:shd w:val="clear" w:color="auto" w:fill="F2F6FA"/>
          </w:tcPr>
          <w:p>
            <w:pPr>
              <w:spacing w:after="40" w:before="40"/>
            </w:pPr>
            <w:r/>
            <w:r>
              <w:rPr>
                <w:rFonts w:ascii="Calibri" w:hAnsi="Calibri"/>
                <w:b w:val="0"/>
                <w:sz w:val="19"/>
              </w:rPr>
              <w:t>Overtime as % of labor</w:t>
            </w:r>
          </w:p>
        </w:tc>
        <w:tc>
          <w:tcPr>
            <w:tcW w:type="dxa" w:w="2736"/>
            <w:shd w:val="clear" w:color="auto" w:fill="F2F6FA"/>
          </w:tcPr>
          <w:p>
            <w:pPr>
              <w:spacing w:after="40" w:before="40"/>
              <w:jc w:val="right"/>
            </w:pPr>
            <w:r/>
            <w:r>
              <w:rPr>
                <w:rFonts w:ascii="Calibri" w:hAnsi="Calibri"/>
                <w:b w:val="0"/>
                <w:sz w:val="19"/>
              </w:rPr>
              <w:t>10%</w:t>
            </w:r>
          </w:p>
        </w:tc>
        <w:tc>
          <w:tcPr>
            <w:tcW w:type="dxa" w:w="2736"/>
            <w:shd w:val="clear" w:color="auto" w:fill="F2F6FA"/>
          </w:tcPr>
          <w:p>
            <w:pPr>
              <w:spacing w:after="40" w:before="40"/>
              <w:jc w:val="right"/>
            </w:pPr>
            <w:r/>
            <w:r>
              <w:rPr>
                <w:rFonts w:ascii="Calibri" w:hAnsi="Calibri"/>
                <w:b w:val="0"/>
                <w:sz w:val="19"/>
              </w:rPr>
              <w:t>7%</w:t>
            </w:r>
          </w:p>
        </w:tc>
      </w:tr>
      <w:tr>
        <w:tc>
          <w:tcPr>
            <w:tcW w:type="dxa" w:w="4320"/>
          </w:tcPr>
          <w:p>
            <w:pPr>
              <w:spacing w:after="40" w:before="40"/>
            </w:pPr>
            <w:r/>
            <w:r>
              <w:rPr>
                <w:rFonts w:ascii="Calibri" w:hAnsi="Calibri"/>
                <w:b w:val="0"/>
                <w:sz w:val="19"/>
              </w:rPr>
              <w:t>Subscribers per technician</w:t>
            </w:r>
          </w:p>
        </w:tc>
        <w:tc>
          <w:tcPr>
            <w:tcW w:type="dxa" w:w="2736"/>
          </w:tcPr>
          <w:p>
            <w:pPr>
              <w:spacing w:after="40" w:before="40"/>
              <w:jc w:val="right"/>
            </w:pPr>
            <w:r/>
            <w:r>
              <w:rPr>
                <w:rFonts w:ascii="Calibri" w:hAnsi="Calibri"/>
                <w:b w:val="0"/>
                <w:sz w:val="19"/>
              </w:rPr>
              <w:t>687</w:t>
            </w:r>
          </w:p>
        </w:tc>
        <w:tc>
          <w:tcPr>
            <w:tcW w:type="dxa" w:w="2736"/>
          </w:tcPr>
          <w:p>
            <w:pPr>
              <w:spacing w:after="40" w:before="40"/>
              <w:jc w:val="right"/>
            </w:pPr>
            <w:r/>
            <w:r>
              <w:rPr>
                <w:rFonts w:ascii="Calibri" w:hAnsi="Calibri"/>
                <w:b w:val="0"/>
                <w:sz w:val="19"/>
              </w:rPr>
              <w:t>714</w:t>
            </w:r>
          </w:p>
        </w:tc>
      </w:tr>
    </w:tbl>
    <w:p>
      <w:pPr>
        <w:spacing w:after="40"/>
      </w:pPr>
    </w:p>
    <w:p>
      <w:r>
        <w:br w:type="page"/>
      </w:r>
    </w:p>
    <w:p>
      <w:pPr>
        <w:pStyle w:val="Heading1"/>
      </w:pPr>
      <w:r>
        <w:rPr>
          <w:rFonts w:ascii="Calibri" w:hAnsi="Calibri"/>
          <w:color w:val="1F3B4D"/>
          <w:sz w:val="32"/>
        </w:rPr>
        <w:t>9. Sales &amp; Marketing Plan</w:t>
      </w:r>
    </w:p>
    <w:p>
      <w:pPr>
        <w:spacing w:after="120"/>
      </w:pPr>
      <w:r>
        <w:rPr>
          <w:i w:val="0"/>
          <w:sz w:val="21"/>
        </w:rPr>
        <w:t>The commercial engine converts newly-passed plant into paying subscribers and grows higher-ARPU business and enterprise revenue. Customer-acquisition cost is tracked per gross add and held in a disciplined band.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744"/>
            <w:shd w:val="clear" w:color="auto" w:fill="1F3B4D"/>
          </w:tcPr>
          <w:p>
            <w:pPr>
              <w:spacing w:after="40" w:before="40"/>
            </w:pPr>
            <w:r/>
            <w:r>
              <w:rPr>
                <w:rFonts w:ascii="Calibri" w:hAnsi="Calibri"/>
                <w:b/>
                <w:color w:val="FFFFFF"/>
                <w:sz w:val="19"/>
              </w:rPr>
              <w:t>Sales &amp; marketing metric</w:t>
            </w:r>
          </w:p>
        </w:tc>
        <w:tc>
          <w:tcPr>
            <w:tcW w:type="dxa" w:w="1368"/>
            <w:shd w:val="clear" w:color="auto" w:fill="1F3B4D"/>
          </w:tcPr>
          <w:p>
            <w:pPr>
              <w:spacing w:after="40" w:before="40"/>
              <w:jc w:val="center"/>
            </w:pPr>
            <w:r/>
            <w:r>
              <w:rPr>
                <w:rFonts w:ascii="Calibri" w:hAnsi="Calibri"/>
                <w:b/>
                <w:color w:val="FFFFFF"/>
                <w:sz w:val="19"/>
              </w:rPr>
              <w:t>2027</w:t>
            </w:r>
          </w:p>
        </w:tc>
        <w:tc>
          <w:tcPr>
            <w:tcW w:type="dxa" w:w="1368"/>
            <w:shd w:val="clear" w:color="auto" w:fill="1F3B4D"/>
          </w:tcPr>
          <w:p>
            <w:pPr>
              <w:spacing w:after="40" w:before="40"/>
              <w:jc w:val="center"/>
            </w:pPr>
            <w:r/>
            <w:r>
              <w:rPr>
                <w:rFonts w:ascii="Calibri" w:hAnsi="Calibri"/>
                <w:b/>
                <w:color w:val="FFFFFF"/>
                <w:sz w:val="19"/>
              </w:rPr>
              <w:t>2028</w:t>
            </w:r>
          </w:p>
        </w:tc>
        <w:tc>
          <w:tcPr>
            <w:tcW w:type="dxa" w:w="1368"/>
            <w:shd w:val="clear" w:color="auto" w:fill="1F3B4D"/>
          </w:tcPr>
          <w:p>
            <w:pPr>
              <w:spacing w:after="40" w:before="40"/>
              <w:jc w:val="center"/>
            </w:pPr>
            <w:r/>
            <w:r>
              <w:rPr>
                <w:rFonts w:ascii="Calibri" w:hAnsi="Calibri"/>
                <w:b/>
                <w:color w:val="FFFFFF"/>
                <w:sz w:val="19"/>
              </w:rPr>
              <w:t>2029</w:t>
            </w:r>
          </w:p>
        </w:tc>
        <w:tc>
          <w:tcPr>
            <w:tcW w:type="dxa" w:w="1368"/>
            <w:shd w:val="clear" w:color="auto" w:fill="1F3B4D"/>
          </w:tcPr>
          <w:p>
            <w:pPr>
              <w:spacing w:after="40" w:before="40"/>
              <w:jc w:val="center"/>
            </w:pPr>
            <w:r/>
            <w:r>
              <w:rPr>
                <w:rFonts w:ascii="Calibri" w:hAnsi="Calibri"/>
                <w:b/>
                <w:color w:val="FFFFFF"/>
                <w:sz w:val="19"/>
              </w:rPr>
              <w:t>2030</w:t>
            </w:r>
          </w:p>
        </w:tc>
        <w:tc>
          <w:tcPr>
            <w:tcW w:type="dxa" w:w="1368"/>
            <w:shd w:val="clear" w:color="auto" w:fill="1F3B4D"/>
          </w:tcPr>
          <w:p>
            <w:pPr>
              <w:spacing w:after="40" w:before="40"/>
              <w:jc w:val="center"/>
            </w:pPr>
            <w:r/>
            <w:r>
              <w:rPr>
                <w:rFonts w:ascii="Calibri" w:hAnsi="Calibri"/>
                <w:b/>
                <w:color w:val="FFFFFF"/>
                <w:sz w:val="19"/>
              </w:rPr>
              <w:t>2031</w:t>
            </w:r>
          </w:p>
        </w:tc>
      </w:tr>
      <w:tr>
        <w:tc>
          <w:tcPr>
            <w:tcW w:type="dxa" w:w="3744"/>
          </w:tcPr>
          <w:p>
            <w:pPr>
              <w:spacing w:after="40" w:before="40"/>
            </w:pPr>
            <w:r/>
            <w:r>
              <w:rPr>
                <w:rFonts w:ascii="Calibri" w:hAnsi="Calibri"/>
                <w:b w:val="0"/>
                <w:sz w:val="19"/>
              </w:rPr>
              <w:t>Gross additions (internet)</w:t>
            </w:r>
          </w:p>
        </w:tc>
        <w:tc>
          <w:tcPr>
            <w:tcW w:type="dxa" w:w="1368"/>
          </w:tcPr>
          <w:p>
            <w:pPr>
              <w:spacing w:after="40" w:before="40"/>
              <w:jc w:val="right"/>
            </w:pPr>
            <w:r/>
            <w:r>
              <w:rPr>
                <w:rFonts w:ascii="Calibri" w:hAnsi="Calibri"/>
                <w:b w:val="0"/>
                <w:sz w:val="19"/>
              </w:rPr>
              <w:t>1,941</w:t>
            </w:r>
          </w:p>
        </w:tc>
        <w:tc>
          <w:tcPr>
            <w:tcW w:type="dxa" w:w="1368"/>
          </w:tcPr>
          <w:p>
            <w:pPr>
              <w:spacing w:after="40" w:before="40"/>
              <w:jc w:val="right"/>
            </w:pPr>
            <w:r/>
            <w:r>
              <w:rPr>
                <w:rFonts w:ascii="Calibri" w:hAnsi="Calibri"/>
                <w:b w:val="0"/>
                <w:sz w:val="19"/>
              </w:rPr>
              <w:t>2,218</w:t>
            </w:r>
          </w:p>
        </w:tc>
        <w:tc>
          <w:tcPr>
            <w:tcW w:type="dxa" w:w="1368"/>
          </w:tcPr>
          <w:p>
            <w:pPr>
              <w:spacing w:after="40" w:before="40"/>
              <w:jc w:val="right"/>
            </w:pPr>
            <w:r/>
            <w:r>
              <w:rPr>
                <w:rFonts w:ascii="Calibri" w:hAnsi="Calibri"/>
                <w:b w:val="0"/>
                <w:sz w:val="19"/>
              </w:rPr>
              <w:t>2,334</w:t>
            </w:r>
          </w:p>
        </w:tc>
        <w:tc>
          <w:tcPr>
            <w:tcW w:type="dxa" w:w="1368"/>
          </w:tcPr>
          <w:p>
            <w:pPr>
              <w:spacing w:after="40" w:before="40"/>
              <w:jc w:val="right"/>
            </w:pPr>
            <w:r/>
            <w:r>
              <w:rPr>
                <w:rFonts w:ascii="Calibri" w:hAnsi="Calibri"/>
                <w:b w:val="0"/>
                <w:sz w:val="19"/>
              </w:rPr>
              <w:t>2,234</w:t>
            </w:r>
          </w:p>
        </w:tc>
        <w:tc>
          <w:tcPr>
            <w:tcW w:type="dxa" w:w="1368"/>
          </w:tcPr>
          <w:p>
            <w:pPr>
              <w:spacing w:after="40" w:before="40"/>
              <w:jc w:val="right"/>
            </w:pPr>
            <w:r/>
            <w:r>
              <w:rPr>
                <w:rFonts w:ascii="Calibri" w:hAnsi="Calibri"/>
                <w:b w:val="0"/>
                <w:sz w:val="19"/>
              </w:rPr>
              <w:t>2,073</w:t>
            </w:r>
          </w:p>
        </w:tc>
      </w:tr>
      <w:tr>
        <w:tc>
          <w:tcPr>
            <w:tcW w:type="dxa" w:w="3744"/>
            <w:shd w:val="clear" w:color="auto" w:fill="F2F6FA"/>
          </w:tcPr>
          <w:p>
            <w:pPr>
              <w:spacing w:after="40" w:before="40"/>
            </w:pPr>
            <w:r/>
            <w:r>
              <w:rPr>
                <w:rFonts w:ascii="Calibri" w:hAnsi="Calibri"/>
                <w:b w:val="0"/>
                <w:sz w:val="19"/>
              </w:rPr>
              <w:t>Customer acquisition cost (CAC)</w:t>
            </w:r>
          </w:p>
        </w:tc>
        <w:tc>
          <w:tcPr>
            <w:tcW w:type="dxa" w:w="1368"/>
            <w:shd w:val="clear" w:color="auto" w:fill="F2F6FA"/>
          </w:tcPr>
          <w:p>
            <w:pPr>
              <w:spacing w:after="40" w:before="40"/>
              <w:jc w:val="right"/>
            </w:pPr>
            <w:r/>
            <w:r>
              <w:rPr>
                <w:rFonts w:ascii="Calibri" w:hAnsi="Calibri"/>
                <w:b w:val="0"/>
                <w:sz w:val="19"/>
              </w:rPr>
              <w:t>$324</w:t>
            </w:r>
          </w:p>
        </w:tc>
        <w:tc>
          <w:tcPr>
            <w:tcW w:type="dxa" w:w="1368"/>
            <w:shd w:val="clear" w:color="auto" w:fill="F2F6FA"/>
          </w:tcPr>
          <w:p>
            <w:pPr>
              <w:spacing w:after="40" w:before="40"/>
              <w:jc w:val="right"/>
            </w:pPr>
            <w:r/>
            <w:r>
              <w:rPr>
                <w:rFonts w:ascii="Calibri" w:hAnsi="Calibri"/>
                <w:b w:val="0"/>
                <w:sz w:val="19"/>
              </w:rPr>
              <w:t>$341</w:t>
            </w:r>
          </w:p>
        </w:tc>
        <w:tc>
          <w:tcPr>
            <w:tcW w:type="dxa" w:w="1368"/>
            <w:shd w:val="clear" w:color="auto" w:fill="F2F6FA"/>
          </w:tcPr>
          <w:p>
            <w:pPr>
              <w:spacing w:after="40" w:before="40"/>
              <w:jc w:val="right"/>
            </w:pPr>
            <w:r/>
            <w:r>
              <w:rPr>
                <w:rFonts w:ascii="Calibri" w:hAnsi="Calibri"/>
                <w:b w:val="0"/>
                <w:sz w:val="19"/>
              </w:rPr>
              <w:t>$384</w:t>
            </w:r>
          </w:p>
        </w:tc>
        <w:tc>
          <w:tcPr>
            <w:tcW w:type="dxa" w:w="1368"/>
            <w:shd w:val="clear" w:color="auto" w:fill="F2F6FA"/>
          </w:tcPr>
          <w:p>
            <w:pPr>
              <w:spacing w:after="40" w:before="40"/>
              <w:jc w:val="right"/>
            </w:pPr>
            <w:r/>
            <w:r>
              <w:rPr>
                <w:rFonts w:ascii="Calibri" w:hAnsi="Calibri"/>
                <w:b w:val="0"/>
                <w:sz w:val="19"/>
              </w:rPr>
              <w:t>$462</w:t>
            </w:r>
          </w:p>
        </w:tc>
        <w:tc>
          <w:tcPr>
            <w:tcW w:type="dxa" w:w="1368"/>
            <w:shd w:val="clear" w:color="auto" w:fill="F2F6FA"/>
          </w:tcPr>
          <w:p>
            <w:pPr>
              <w:spacing w:after="40" w:before="40"/>
              <w:jc w:val="right"/>
            </w:pPr>
            <w:r/>
            <w:r>
              <w:rPr>
                <w:rFonts w:ascii="Calibri" w:hAnsi="Calibri"/>
                <w:b w:val="0"/>
                <w:sz w:val="19"/>
              </w:rPr>
              <w:t>$555</w:t>
            </w:r>
          </w:p>
        </w:tc>
      </w:tr>
      <w:tr>
        <w:tc>
          <w:tcPr>
            <w:tcW w:type="dxa" w:w="3744"/>
          </w:tcPr>
          <w:p>
            <w:pPr>
              <w:spacing w:after="40" w:before="40"/>
            </w:pPr>
            <w:r/>
            <w:r>
              <w:rPr>
                <w:rFonts w:ascii="Calibri" w:hAnsi="Calibri"/>
                <w:b w:val="0"/>
                <w:sz w:val="19"/>
              </w:rPr>
              <w:t>Marketing &amp; advertising</w:t>
            </w:r>
          </w:p>
        </w:tc>
        <w:tc>
          <w:tcPr>
            <w:tcW w:type="dxa" w:w="1368"/>
          </w:tcPr>
          <w:p>
            <w:pPr>
              <w:spacing w:after="40" w:before="40"/>
              <w:jc w:val="right"/>
            </w:pPr>
            <w:r/>
            <w:r>
              <w:rPr>
                <w:rFonts w:ascii="Calibri" w:hAnsi="Calibri"/>
                <w:b w:val="0"/>
                <w:sz w:val="19"/>
              </w:rPr>
              <w:t>$360,186</w:t>
            </w:r>
          </w:p>
        </w:tc>
        <w:tc>
          <w:tcPr>
            <w:tcW w:type="dxa" w:w="1368"/>
          </w:tcPr>
          <w:p>
            <w:pPr>
              <w:spacing w:after="40" w:before="40"/>
              <w:jc w:val="right"/>
            </w:pPr>
            <w:r/>
            <w:r>
              <w:rPr>
                <w:rFonts w:ascii="Calibri" w:hAnsi="Calibri"/>
                <w:b w:val="0"/>
                <w:sz w:val="19"/>
              </w:rPr>
              <w:t>$429,788</w:t>
            </w:r>
          </w:p>
        </w:tc>
        <w:tc>
          <w:tcPr>
            <w:tcW w:type="dxa" w:w="1368"/>
          </w:tcPr>
          <w:p>
            <w:pPr>
              <w:spacing w:after="40" w:before="40"/>
              <w:jc w:val="right"/>
            </w:pPr>
            <w:r/>
            <w:r>
              <w:rPr>
                <w:rFonts w:ascii="Calibri" w:hAnsi="Calibri"/>
                <w:b w:val="0"/>
                <w:sz w:val="19"/>
              </w:rPr>
              <w:t>$506,099</w:t>
            </w:r>
          </w:p>
        </w:tc>
        <w:tc>
          <w:tcPr>
            <w:tcW w:type="dxa" w:w="1368"/>
          </w:tcPr>
          <w:p>
            <w:pPr>
              <w:spacing w:after="40" w:before="40"/>
              <w:jc w:val="right"/>
            </w:pPr>
            <w:r/>
            <w:r>
              <w:rPr>
                <w:rFonts w:ascii="Calibri" w:hAnsi="Calibri"/>
                <w:b w:val="0"/>
                <w:sz w:val="19"/>
              </w:rPr>
              <w:t>$579,639</w:t>
            </w:r>
          </w:p>
        </w:tc>
        <w:tc>
          <w:tcPr>
            <w:tcW w:type="dxa" w:w="1368"/>
          </w:tcPr>
          <w:p>
            <w:pPr>
              <w:spacing w:after="40" w:before="40"/>
              <w:jc w:val="right"/>
            </w:pPr>
            <w:r/>
            <w:r>
              <w:rPr>
                <w:rFonts w:ascii="Calibri" w:hAnsi="Calibri"/>
                <w:b w:val="0"/>
                <w:sz w:val="19"/>
              </w:rPr>
              <w:t>$644,648</w:t>
            </w:r>
          </w:p>
        </w:tc>
      </w:tr>
      <w:tr>
        <w:tc>
          <w:tcPr>
            <w:tcW w:type="dxa" w:w="3744"/>
            <w:shd w:val="clear" w:color="auto" w:fill="F2F6FA"/>
          </w:tcPr>
          <w:p>
            <w:pPr>
              <w:spacing w:after="40" w:before="40"/>
            </w:pPr>
            <w:r/>
            <w:r>
              <w:rPr>
                <w:rFonts w:ascii="Calibri" w:hAnsi="Calibri"/>
                <w:b w:val="0"/>
                <w:sz w:val="19"/>
              </w:rPr>
              <w:t>Sales &amp; customer support</w:t>
            </w:r>
          </w:p>
        </w:tc>
        <w:tc>
          <w:tcPr>
            <w:tcW w:type="dxa" w:w="1368"/>
            <w:shd w:val="clear" w:color="auto" w:fill="F2F6FA"/>
          </w:tcPr>
          <w:p>
            <w:pPr>
              <w:spacing w:after="40" w:before="40"/>
              <w:jc w:val="right"/>
            </w:pPr>
            <w:r/>
            <w:r>
              <w:rPr>
                <w:rFonts w:ascii="Calibri" w:hAnsi="Calibri"/>
                <w:b w:val="0"/>
                <w:sz w:val="19"/>
              </w:rPr>
              <w:t>$267,883</w:t>
            </w:r>
          </w:p>
        </w:tc>
        <w:tc>
          <w:tcPr>
            <w:tcW w:type="dxa" w:w="1368"/>
            <w:shd w:val="clear" w:color="auto" w:fill="F2F6FA"/>
          </w:tcPr>
          <w:p>
            <w:pPr>
              <w:spacing w:after="40" w:before="40"/>
              <w:jc w:val="right"/>
            </w:pPr>
            <w:r/>
            <w:r>
              <w:rPr>
                <w:rFonts w:ascii="Calibri" w:hAnsi="Calibri"/>
                <w:b w:val="0"/>
                <w:sz w:val="19"/>
              </w:rPr>
              <w:t>$326,188</w:t>
            </w:r>
          </w:p>
        </w:tc>
        <w:tc>
          <w:tcPr>
            <w:tcW w:type="dxa" w:w="1368"/>
            <w:shd w:val="clear" w:color="auto" w:fill="F2F6FA"/>
          </w:tcPr>
          <w:p>
            <w:pPr>
              <w:spacing w:after="40" w:before="40"/>
              <w:jc w:val="right"/>
            </w:pPr>
            <w:r/>
            <w:r>
              <w:rPr>
                <w:rFonts w:ascii="Calibri" w:hAnsi="Calibri"/>
                <w:b w:val="0"/>
                <w:sz w:val="19"/>
              </w:rPr>
              <w:t>$390,192</w:t>
            </w:r>
          </w:p>
        </w:tc>
        <w:tc>
          <w:tcPr>
            <w:tcW w:type="dxa" w:w="1368"/>
            <w:shd w:val="clear" w:color="auto" w:fill="F2F6FA"/>
          </w:tcPr>
          <w:p>
            <w:pPr>
              <w:spacing w:after="40" w:before="40"/>
              <w:jc w:val="right"/>
            </w:pPr>
            <w:r/>
            <w:r>
              <w:rPr>
                <w:rFonts w:ascii="Calibri" w:hAnsi="Calibri"/>
                <w:b w:val="0"/>
                <w:sz w:val="19"/>
              </w:rPr>
              <w:t>$451,790</w:t>
            </w:r>
          </w:p>
        </w:tc>
        <w:tc>
          <w:tcPr>
            <w:tcW w:type="dxa" w:w="1368"/>
            <w:shd w:val="clear" w:color="auto" w:fill="F2F6FA"/>
          </w:tcPr>
          <w:p>
            <w:pPr>
              <w:spacing w:after="40" w:before="40"/>
              <w:jc w:val="right"/>
            </w:pPr>
            <w:r/>
            <w:r>
              <w:rPr>
                <w:rFonts w:ascii="Calibri" w:hAnsi="Calibri"/>
                <w:b w:val="0"/>
                <w:sz w:val="19"/>
              </w:rPr>
              <w:t>$506,057</w:t>
            </w:r>
          </w:p>
        </w:tc>
      </w:tr>
    </w:tbl>
    <w:p>
      <w:pPr>
        <w:spacing w:after="40"/>
      </w:pPr>
    </w:p>
    <w:p>
      <w:pPr>
        <w:pStyle w:val="Heading2"/>
      </w:pPr>
      <w:r>
        <w:rPr>
          <w:rFonts w:ascii="Calibri" w:hAnsi="Calibri"/>
          <w:color w:val="2E7D8A"/>
          <w:sz w:val="25"/>
        </w:rPr>
        <w:t>Commercial priorities</w:t>
      </w:r>
    </w:p>
    <w:p>
      <w:pPr>
        <w:pStyle w:val="ListBullet"/>
        <w:spacing w:after="60"/>
      </w:pPr>
      <w:r>
        <w:rPr>
          <w:b/>
        </w:rPr>
        <w:t xml:space="preserve">Residential: </w:t>
      </w:r>
      <w:r>
        <w:t xml:space="preserve"> Fund door-to-door and digital campaigns timed to newly-passed neighborhoods; add residential sales capacity as passings grow.</w:t>
      </w:r>
    </w:p>
    <w:p>
      <w:pPr>
        <w:pStyle w:val="ListBullet"/>
        <w:spacing w:after="60"/>
      </w:pPr>
      <w:r>
        <w:rPr>
          <w:b/>
        </w:rPr>
        <w:t xml:space="preserve">Business &amp; enterprise: </w:t>
      </w:r>
      <w:r>
        <w:t xml:space="preserve"> Add an enterprise sales representative in 2029 to grow business fiber, dedicated internet access, and wholesale/dark-fiber revenue.</w:t>
      </w:r>
    </w:p>
    <w:p>
      <w:pPr>
        <w:pStyle w:val="ListBullet"/>
        <w:spacing w:after="60"/>
      </w:pPr>
      <w:r>
        <w:rPr>
          <w:b/>
        </w:rPr>
        <w:t xml:space="preserve">Attach &amp; bundle: </w:t>
      </w:r>
      <w:r>
        <w:t xml:space="preserve"> Bundle managed Wi-Fi, static IP, and voice to lift ARPU and retention.</w:t>
      </w:r>
    </w:p>
    <w:p>
      <w:pPr>
        <w:pStyle w:val="ListBullet"/>
        <w:spacing w:after="60"/>
      </w:pPr>
      <w:r>
        <w:rPr>
          <w:b/>
        </w:rPr>
        <w:t xml:space="preserve">Retention: </w:t>
      </w:r>
      <w:r>
        <w:t xml:space="preserve"> Stand up retention programs and a Customer Experience Manager (2030) to protect the base as it scales.</w:t>
      </w:r>
    </w:p>
    <w:p>
      <w:r>
        <w:br w:type="page"/>
      </w:r>
    </w:p>
    <w:p>
      <w:pPr>
        <w:pStyle w:val="Heading1"/>
      </w:pPr>
      <w:r>
        <w:rPr>
          <w:rFonts w:ascii="Calibri" w:hAnsi="Calibri"/>
          <w:color w:val="1F3B4D"/>
          <w:sz w:val="32"/>
        </w:rPr>
        <w:t>10. Five-Year Financial Summary</w:t>
      </w:r>
    </w:p>
    <w:p>
      <w:pPr>
        <w:spacing w:after="120"/>
      </w:pPr>
      <w:r>
        <w:rPr>
          <w:i w:val="0"/>
          <w:sz w:val="21"/>
        </w:rPr>
        <w:t>The base-case financials below flow from the Excel model, built up from the Q2-2026 actual baseline. EBITDA turns positive in 2027 and scales; GAAP net income is pressured in later years by rising depreciation on the expanding $50M plant (a non-cash charge) — EBITDA is the operating-health metric during the build.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744"/>
            <w:shd w:val="clear" w:color="auto" w:fill="1F3B4D"/>
          </w:tcPr>
          <w:p>
            <w:pPr>
              <w:spacing w:after="40" w:before="40"/>
            </w:pPr>
            <w:r/>
            <w:r>
              <w:rPr>
                <w:rFonts w:ascii="Calibri" w:hAnsi="Calibri"/>
                <w:b/>
                <w:color w:val="FFFFFF"/>
                <w:sz w:val="18"/>
              </w:rPr>
              <w:t>$ (Base Case)</w:t>
            </w:r>
          </w:p>
        </w:tc>
        <w:tc>
          <w:tcPr>
            <w:tcW w:type="dxa" w:w="1368"/>
            <w:shd w:val="clear" w:color="auto" w:fill="1F3B4D"/>
          </w:tcPr>
          <w:p>
            <w:pPr>
              <w:spacing w:after="40" w:before="40"/>
              <w:jc w:val="center"/>
            </w:pPr>
            <w:r/>
            <w:r>
              <w:rPr>
                <w:rFonts w:ascii="Calibri" w:hAnsi="Calibri"/>
                <w:b/>
                <w:color w:val="FFFFFF"/>
                <w:sz w:val="18"/>
              </w:rPr>
              <w:t>2027</w:t>
            </w:r>
          </w:p>
        </w:tc>
        <w:tc>
          <w:tcPr>
            <w:tcW w:type="dxa" w:w="1368"/>
            <w:shd w:val="clear" w:color="auto" w:fill="1F3B4D"/>
          </w:tcPr>
          <w:p>
            <w:pPr>
              <w:spacing w:after="40" w:before="40"/>
              <w:jc w:val="center"/>
            </w:pPr>
            <w:r/>
            <w:r>
              <w:rPr>
                <w:rFonts w:ascii="Calibri" w:hAnsi="Calibri"/>
                <w:b/>
                <w:color w:val="FFFFFF"/>
                <w:sz w:val="18"/>
              </w:rPr>
              <w:t>2028</w:t>
            </w:r>
          </w:p>
        </w:tc>
        <w:tc>
          <w:tcPr>
            <w:tcW w:type="dxa" w:w="1368"/>
            <w:shd w:val="clear" w:color="auto" w:fill="1F3B4D"/>
          </w:tcPr>
          <w:p>
            <w:pPr>
              <w:spacing w:after="40" w:before="40"/>
              <w:jc w:val="center"/>
            </w:pPr>
            <w:r/>
            <w:r>
              <w:rPr>
                <w:rFonts w:ascii="Calibri" w:hAnsi="Calibri"/>
                <w:b/>
                <w:color w:val="FFFFFF"/>
                <w:sz w:val="18"/>
              </w:rPr>
              <w:t>2029</w:t>
            </w:r>
          </w:p>
        </w:tc>
        <w:tc>
          <w:tcPr>
            <w:tcW w:type="dxa" w:w="1368"/>
            <w:shd w:val="clear" w:color="auto" w:fill="1F3B4D"/>
          </w:tcPr>
          <w:p>
            <w:pPr>
              <w:spacing w:after="40" w:before="40"/>
              <w:jc w:val="center"/>
            </w:pPr>
            <w:r/>
            <w:r>
              <w:rPr>
                <w:rFonts w:ascii="Calibri" w:hAnsi="Calibri"/>
                <w:b/>
                <w:color w:val="FFFFFF"/>
                <w:sz w:val="18"/>
              </w:rPr>
              <w:t>2030</w:t>
            </w:r>
          </w:p>
        </w:tc>
        <w:tc>
          <w:tcPr>
            <w:tcW w:type="dxa" w:w="1368"/>
            <w:shd w:val="clear" w:color="auto" w:fill="1F3B4D"/>
          </w:tcPr>
          <w:p>
            <w:pPr>
              <w:spacing w:after="40" w:before="40"/>
              <w:jc w:val="center"/>
            </w:pPr>
            <w:r/>
            <w:r>
              <w:rPr>
                <w:rFonts w:ascii="Calibri" w:hAnsi="Calibri"/>
                <w:b/>
                <w:color w:val="FFFFFF"/>
                <w:sz w:val="18"/>
              </w:rPr>
              <w:t>2031</w:t>
            </w:r>
          </w:p>
        </w:tc>
      </w:tr>
      <w:tr>
        <w:tc>
          <w:tcPr>
            <w:tcW w:type="dxa" w:w="3744"/>
          </w:tcPr>
          <w:p>
            <w:pPr>
              <w:spacing w:after="40" w:before="40"/>
            </w:pPr>
            <w:r/>
            <w:r>
              <w:rPr>
                <w:rFonts w:ascii="Calibri" w:hAnsi="Calibri"/>
                <w:b w:val="0"/>
                <w:sz w:val="18"/>
              </w:rPr>
              <w:t>Revenue</w:t>
            </w:r>
          </w:p>
        </w:tc>
        <w:tc>
          <w:tcPr>
            <w:tcW w:type="dxa" w:w="1368"/>
          </w:tcPr>
          <w:p>
            <w:pPr>
              <w:spacing w:after="40" w:before="40"/>
              <w:jc w:val="right"/>
            </w:pPr>
            <w:r/>
            <w:r>
              <w:rPr>
                <w:rFonts w:ascii="Calibri" w:hAnsi="Calibri"/>
                <w:b w:val="0"/>
                <w:sz w:val="18"/>
              </w:rPr>
              <w:t>$5.1M</w:t>
            </w:r>
          </w:p>
        </w:tc>
        <w:tc>
          <w:tcPr>
            <w:tcW w:type="dxa" w:w="1368"/>
          </w:tcPr>
          <w:p>
            <w:pPr>
              <w:spacing w:after="40" w:before="40"/>
              <w:jc w:val="right"/>
            </w:pPr>
            <w:r/>
            <w:r>
              <w:rPr>
                <w:rFonts w:ascii="Calibri" w:hAnsi="Calibri"/>
                <w:b w:val="0"/>
                <w:sz w:val="18"/>
              </w:rPr>
              <w:t>$6.6M</w:t>
            </w:r>
          </w:p>
        </w:tc>
        <w:tc>
          <w:tcPr>
            <w:tcW w:type="dxa" w:w="1368"/>
          </w:tcPr>
          <w:p>
            <w:pPr>
              <w:spacing w:after="40" w:before="40"/>
              <w:jc w:val="right"/>
            </w:pPr>
            <w:r/>
            <w:r>
              <w:rPr>
                <w:rFonts w:ascii="Calibri" w:hAnsi="Calibri"/>
                <w:b w:val="0"/>
                <w:sz w:val="18"/>
              </w:rPr>
              <w:t>$8.1M</w:t>
            </w:r>
          </w:p>
        </w:tc>
        <w:tc>
          <w:tcPr>
            <w:tcW w:type="dxa" w:w="1368"/>
          </w:tcPr>
          <w:p>
            <w:pPr>
              <w:spacing w:after="40" w:before="40"/>
              <w:jc w:val="right"/>
            </w:pPr>
            <w:r/>
            <w:r>
              <w:rPr>
                <w:rFonts w:ascii="Calibri" w:hAnsi="Calibri"/>
                <w:b w:val="0"/>
                <w:sz w:val="18"/>
              </w:rPr>
              <w:t>$9.6M</w:t>
            </w:r>
          </w:p>
        </w:tc>
        <w:tc>
          <w:tcPr>
            <w:tcW w:type="dxa" w:w="1368"/>
          </w:tcPr>
          <w:p>
            <w:pPr>
              <w:spacing w:after="40" w:before="40"/>
              <w:jc w:val="right"/>
            </w:pPr>
            <w:r/>
            <w:r>
              <w:rPr>
                <w:rFonts w:ascii="Calibri" w:hAnsi="Calibri"/>
                <w:b w:val="0"/>
                <w:sz w:val="18"/>
              </w:rPr>
              <w:t>$10.9M</w:t>
            </w:r>
          </w:p>
        </w:tc>
      </w:tr>
      <w:tr>
        <w:tc>
          <w:tcPr>
            <w:tcW w:type="dxa" w:w="3744"/>
            <w:shd w:val="clear" w:color="auto" w:fill="F2F6FA"/>
          </w:tcPr>
          <w:p>
            <w:pPr>
              <w:spacing w:after="40" w:before="40"/>
            </w:pPr>
            <w:r/>
            <w:r>
              <w:rPr>
                <w:rFonts w:ascii="Calibri" w:hAnsi="Calibri"/>
                <w:b w:val="0"/>
                <w:sz w:val="18"/>
              </w:rPr>
              <w:t>Operating expense</w:t>
            </w:r>
          </w:p>
        </w:tc>
        <w:tc>
          <w:tcPr>
            <w:tcW w:type="dxa" w:w="1368"/>
            <w:shd w:val="clear" w:color="auto" w:fill="F2F6FA"/>
          </w:tcPr>
          <w:p>
            <w:pPr>
              <w:spacing w:after="40" w:before="40"/>
              <w:jc w:val="right"/>
            </w:pPr>
            <w:r/>
            <w:r>
              <w:rPr>
                <w:rFonts w:ascii="Calibri" w:hAnsi="Calibri"/>
                <w:b w:val="0"/>
                <w:sz w:val="18"/>
              </w:rPr>
              <w:t>$4.9M</w:t>
            </w:r>
          </w:p>
        </w:tc>
        <w:tc>
          <w:tcPr>
            <w:tcW w:type="dxa" w:w="1368"/>
            <w:shd w:val="clear" w:color="auto" w:fill="F2F6FA"/>
          </w:tcPr>
          <w:p>
            <w:pPr>
              <w:spacing w:after="40" w:before="40"/>
              <w:jc w:val="right"/>
            </w:pPr>
            <w:r/>
            <w:r>
              <w:rPr>
                <w:rFonts w:ascii="Calibri" w:hAnsi="Calibri"/>
                <w:b w:val="0"/>
                <w:sz w:val="18"/>
              </w:rPr>
              <w:t>$5.7M</w:t>
            </w:r>
          </w:p>
        </w:tc>
        <w:tc>
          <w:tcPr>
            <w:tcW w:type="dxa" w:w="1368"/>
            <w:shd w:val="clear" w:color="auto" w:fill="F2F6FA"/>
          </w:tcPr>
          <w:p>
            <w:pPr>
              <w:spacing w:after="40" w:before="40"/>
              <w:jc w:val="right"/>
            </w:pPr>
            <w:r/>
            <w:r>
              <w:rPr>
                <w:rFonts w:ascii="Calibri" w:hAnsi="Calibri"/>
                <w:b w:val="0"/>
                <w:sz w:val="18"/>
              </w:rPr>
              <w:t>$6.6M</w:t>
            </w:r>
          </w:p>
        </w:tc>
        <w:tc>
          <w:tcPr>
            <w:tcW w:type="dxa" w:w="1368"/>
            <w:shd w:val="clear" w:color="auto" w:fill="F2F6FA"/>
          </w:tcPr>
          <w:p>
            <w:pPr>
              <w:spacing w:after="40" w:before="40"/>
              <w:jc w:val="right"/>
            </w:pPr>
            <w:r/>
            <w:r>
              <w:rPr>
                <w:rFonts w:ascii="Calibri" w:hAnsi="Calibri"/>
                <w:b w:val="0"/>
                <w:sz w:val="18"/>
              </w:rPr>
              <w:t>$7.4M</w:t>
            </w:r>
          </w:p>
        </w:tc>
        <w:tc>
          <w:tcPr>
            <w:tcW w:type="dxa" w:w="1368"/>
            <w:shd w:val="clear" w:color="auto" w:fill="F2F6FA"/>
          </w:tcPr>
          <w:p>
            <w:pPr>
              <w:spacing w:after="40" w:before="40"/>
              <w:jc w:val="right"/>
            </w:pPr>
            <w:r/>
            <w:r>
              <w:rPr>
                <w:rFonts w:ascii="Calibri" w:hAnsi="Calibri"/>
                <w:b w:val="0"/>
                <w:sz w:val="18"/>
              </w:rPr>
              <w:t>$8.2M</w:t>
            </w:r>
          </w:p>
        </w:tc>
      </w:tr>
      <w:tr>
        <w:tc>
          <w:tcPr>
            <w:tcW w:type="dxa" w:w="3744"/>
          </w:tcPr>
          <w:p>
            <w:pPr>
              <w:spacing w:after="40" w:before="40"/>
            </w:pPr>
            <w:r/>
            <w:r>
              <w:rPr>
                <w:rFonts w:ascii="Calibri" w:hAnsi="Calibri"/>
                <w:b w:val="0"/>
                <w:sz w:val="18"/>
              </w:rPr>
              <w:t>EBITDA</w:t>
            </w:r>
          </w:p>
        </w:tc>
        <w:tc>
          <w:tcPr>
            <w:tcW w:type="dxa" w:w="1368"/>
          </w:tcPr>
          <w:p>
            <w:pPr>
              <w:spacing w:after="40" w:before="40"/>
              <w:jc w:val="right"/>
            </w:pPr>
            <w:r/>
            <w:r>
              <w:rPr>
                <w:rFonts w:ascii="Calibri" w:hAnsi="Calibri"/>
                <w:b w:val="0"/>
                <w:sz w:val="18"/>
              </w:rPr>
              <w:t>$0.3M</w:t>
            </w:r>
          </w:p>
        </w:tc>
        <w:tc>
          <w:tcPr>
            <w:tcW w:type="dxa" w:w="1368"/>
          </w:tcPr>
          <w:p>
            <w:pPr>
              <w:spacing w:after="40" w:before="40"/>
              <w:jc w:val="right"/>
            </w:pPr>
            <w:r/>
            <w:r>
              <w:rPr>
                <w:rFonts w:ascii="Calibri" w:hAnsi="Calibri"/>
                <w:b w:val="0"/>
                <w:sz w:val="18"/>
              </w:rPr>
              <w:t>$0.9M</w:t>
            </w:r>
          </w:p>
        </w:tc>
        <w:tc>
          <w:tcPr>
            <w:tcW w:type="dxa" w:w="1368"/>
          </w:tcPr>
          <w:p>
            <w:pPr>
              <w:spacing w:after="40" w:before="40"/>
              <w:jc w:val="right"/>
            </w:pPr>
            <w:r/>
            <w:r>
              <w:rPr>
                <w:rFonts w:ascii="Calibri" w:hAnsi="Calibri"/>
                <w:b w:val="0"/>
                <w:sz w:val="18"/>
              </w:rPr>
              <w:t>$1.6M</w:t>
            </w:r>
          </w:p>
        </w:tc>
        <w:tc>
          <w:tcPr>
            <w:tcW w:type="dxa" w:w="1368"/>
          </w:tcPr>
          <w:p>
            <w:pPr>
              <w:spacing w:after="40" w:before="40"/>
              <w:jc w:val="right"/>
            </w:pPr>
            <w:r/>
            <w:r>
              <w:rPr>
                <w:rFonts w:ascii="Calibri" w:hAnsi="Calibri"/>
                <w:b w:val="0"/>
                <w:sz w:val="18"/>
              </w:rPr>
              <w:t>$2.2M</w:t>
            </w:r>
          </w:p>
        </w:tc>
        <w:tc>
          <w:tcPr>
            <w:tcW w:type="dxa" w:w="1368"/>
          </w:tcPr>
          <w:p>
            <w:pPr>
              <w:spacing w:after="40" w:before="40"/>
              <w:jc w:val="right"/>
            </w:pPr>
            <w:r/>
            <w:r>
              <w:rPr>
                <w:rFonts w:ascii="Calibri" w:hAnsi="Calibri"/>
                <w:b w:val="0"/>
                <w:sz w:val="18"/>
              </w:rPr>
              <w:t>$2.6M</w:t>
            </w:r>
          </w:p>
        </w:tc>
      </w:tr>
      <w:tr>
        <w:tc>
          <w:tcPr>
            <w:tcW w:type="dxa" w:w="3744"/>
            <w:shd w:val="clear" w:color="auto" w:fill="F2F6FA"/>
          </w:tcPr>
          <w:p>
            <w:pPr>
              <w:spacing w:after="40" w:before="40"/>
            </w:pPr>
            <w:r/>
            <w:r>
              <w:rPr>
                <w:rFonts w:ascii="Calibri" w:hAnsi="Calibri"/>
                <w:b w:val="0"/>
                <w:sz w:val="18"/>
              </w:rPr>
              <w:t>EBITDA margin</w:t>
            </w:r>
          </w:p>
        </w:tc>
        <w:tc>
          <w:tcPr>
            <w:tcW w:type="dxa" w:w="1368"/>
            <w:shd w:val="clear" w:color="auto" w:fill="F2F6FA"/>
          </w:tcPr>
          <w:p>
            <w:pPr>
              <w:spacing w:after="40" w:before="40"/>
              <w:jc w:val="right"/>
            </w:pPr>
            <w:r/>
            <w:r>
              <w:rPr>
                <w:rFonts w:ascii="Calibri" w:hAnsi="Calibri"/>
                <w:b w:val="0"/>
                <w:sz w:val="18"/>
              </w:rPr>
              <w:t>5.2%</w:t>
            </w:r>
          </w:p>
        </w:tc>
        <w:tc>
          <w:tcPr>
            <w:tcW w:type="dxa" w:w="1368"/>
            <w:shd w:val="clear" w:color="auto" w:fill="F2F6FA"/>
          </w:tcPr>
          <w:p>
            <w:pPr>
              <w:spacing w:after="40" w:before="40"/>
              <w:jc w:val="right"/>
            </w:pPr>
            <w:r/>
            <w:r>
              <w:rPr>
                <w:rFonts w:ascii="Calibri" w:hAnsi="Calibri"/>
                <w:b w:val="0"/>
                <w:sz w:val="18"/>
              </w:rPr>
              <w:t>13.5%</w:t>
            </w:r>
          </w:p>
        </w:tc>
        <w:tc>
          <w:tcPr>
            <w:tcW w:type="dxa" w:w="1368"/>
            <w:shd w:val="clear" w:color="auto" w:fill="F2F6FA"/>
          </w:tcPr>
          <w:p>
            <w:pPr>
              <w:spacing w:after="40" w:before="40"/>
              <w:jc w:val="right"/>
            </w:pPr>
            <w:r/>
            <w:r>
              <w:rPr>
                <w:rFonts w:ascii="Calibri" w:hAnsi="Calibri"/>
                <w:b w:val="0"/>
                <w:sz w:val="18"/>
              </w:rPr>
              <w:t>19.1%</w:t>
            </w:r>
          </w:p>
        </w:tc>
        <w:tc>
          <w:tcPr>
            <w:tcW w:type="dxa" w:w="1368"/>
            <w:shd w:val="clear" w:color="auto" w:fill="F2F6FA"/>
          </w:tcPr>
          <w:p>
            <w:pPr>
              <w:spacing w:after="40" w:before="40"/>
              <w:jc w:val="right"/>
            </w:pPr>
            <w:r/>
            <w:r>
              <w:rPr>
                <w:rFonts w:ascii="Calibri" w:hAnsi="Calibri"/>
                <w:b w:val="0"/>
                <w:sz w:val="18"/>
              </w:rPr>
              <w:t>22.7%</w:t>
            </w:r>
          </w:p>
        </w:tc>
        <w:tc>
          <w:tcPr>
            <w:tcW w:type="dxa" w:w="1368"/>
            <w:shd w:val="clear" w:color="auto" w:fill="F2F6FA"/>
          </w:tcPr>
          <w:p>
            <w:pPr>
              <w:spacing w:after="40" w:before="40"/>
              <w:jc w:val="right"/>
            </w:pPr>
            <w:r/>
            <w:r>
              <w:rPr>
                <w:rFonts w:ascii="Calibri" w:hAnsi="Calibri"/>
                <w:b w:val="0"/>
                <w:sz w:val="18"/>
              </w:rPr>
              <w:t>24.4%</w:t>
            </w:r>
          </w:p>
        </w:tc>
      </w:tr>
      <w:tr>
        <w:tc>
          <w:tcPr>
            <w:tcW w:type="dxa" w:w="3744"/>
          </w:tcPr>
          <w:p>
            <w:pPr>
              <w:spacing w:after="40" w:before="40"/>
            </w:pPr>
            <w:r/>
            <w:r>
              <w:rPr>
                <w:rFonts w:ascii="Calibri" w:hAnsi="Calibri"/>
                <w:b w:val="0"/>
                <w:sz w:val="18"/>
              </w:rPr>
              <w:t>Depreciation &amp; amortization</w:t>
            </w:r>
          </w:p>
        </w:tc>
        <w:tc>
          <w:tcPr>
            <w:tcW w:type="dxa" w:w="1368"/>
          </w:tcPr>
          <w:p>
            <w:pPr>
              <w:spacing w:after="40" w:before="40"/>
              <w:jc w:val="right"/>
            </w:pPr>
            <w:r/>
            <w:r>
              <w:rPr>
                <w:rFonts w:ascii="Calibri" w:hAnsi="Calibri"/>
                <w:b w:val="0"/>
                <w:sz w:val="18"/>
              </w:rPr>
              <w:t>$0.8M</w:t>
            </w:r>
          </w:p>
        </w:tc>
        <w:tc>
          <w:tcPr>
            <w:tcW w:type="dxa" w:w="1368"/>
          </w:tcPr>
          <w:p>
            <w:pPr>
              <w:spacing w:after="40" w:before="40"/>
              <w:jc w:val="right"/>
            </w:pPr>
            <w:r/>
            <w:r>
              <w:rPr>
                <w:rFonts w:ascii="Calibri" w:hAnsi="Calibri"/>
                <w:b w:val="0"/>
                <w:sz w:val="18"/>
              </w:rPr>
              <w:t>$1.6M</w:t>
            </w:r>
          </w:p>
        </w:tc>
        <w:tc>
          <w:tcPr>
            <w:tcW w:type="dxa" w:w="1368"/>
          </w:tcPr>
          <w:p>
            <w:pPr>
              <w:spacing w:after="40" w:before="40"/>
              <w:jc w:val="right"/>
            </w:pPr>
            <w:r/>
            <w:r>
              <w:rPr>
                <w:rFonts w:ascii="Calibri" w:hAnsi="Calibri"/>
                <w:b w:val="0"/>
                <w:sz w:val="18"/>
              </w:rPr>
              <w:t>$2.4M</w:t>
            </w:r>
          </w:p>
        </w:tc>
        <w:tc>
          <w:tcPr>
            <w:tcW w:type="dxa" w:w="1368"/>
          </w:tcPr>
          <w:p>
            <w:pPr>
              <w:spacing w:after="40" w:before="40"/>
              <w:jc w:val="right"/>
            </w:pPr>
            <w:r/>
            <w:r>
              <w:rPr>
                <w:rFonts w:ascii="Calibri" w:hAnsi="Calibri"/>
                <w:b w:val="0"/>
                <w:sz w:val="18"/>
              </w:rPr>
              <w:t>$3.2M</w:t>
            </w:r>
          </w:p>
        </w:tc>
        <w:tc>
          <w:tcPr>
            <w:tcW w:type="dxa" w:w="1368"/>
          </w:tcPr>
          <w:p>
            <w:pPr>
              <w:spacing w:after="40" w:before="40"/>
              <w:jc w:val="right"/>
            </w:pPr>
            <w:r/>
            <w:r>
              <w:rPr>
                <w:rFonts w:ascii="Calibri" w:hAnsi="Calibri"/>
                <w:b w:val="0"/>
                <w:sz w:val="18"/>
              </w:rPr>
              <w:t>$4.0M</w:t>
            </w:r>
          </w:p>
        </w:tc>
      </w:tr>
      <w:tr>
        <w:tc>
          <w:tcPr>
            <w:tcW w:type="dxa" w:w="3744"/>
            <w:shd w:val="clear" w:color="auto" w:fill="F2F6FA"/>
          </w:tcPr>
          <w:p>
            <w:pPr>
              <w:spacing w:after="40" w:before="40"/>
            </w:pPr>
            <w:r/>
            <w:r>
              <w:rPr>
                <w:rFonts w:ascii="Calibri" w:hAnsi="Calibri"/>
                <w:b w:val="0"/>
                <w:sz w:val="18"/>
              </w:rPr>
              <w:t>Operating income (loss)</w:t>
            </w:r>
          </w:p>
        </w:tc>
        <w:tc>
          <w:tcPr>
            <w:tcW w:type="dxa" w:w="1368"/>
            <w:shd w:val="clear" w:color="auto" w:fill="F2F6FA"/>
          </w:tcPr>
          <w:p>
            <w:pPr>
              <w:spacing w:after="40" w:before="40"/>
              <w:jc w:val="right"/>
            </w:pPr>
            <w:r/>
            <w:r>
              <w:rPr>
                <w:rFonts w:ascii="Calibri" w:hAnsi="Calibri"/>
                <w:b w:val="0"/>
                <w:sz w:val="18"/>
              </w:rPr>
              <w:t>$-0.5M</w:t>
            </w:r>
          </w:p>
        </w:tc>
        <w:tc>
          <w:tcPr>
            <w:tcW w:type="dxa" w:w="1368"/>
            <w:shd w:val="clear" w:color="auto" w:fill="F2F6FA"/>
          </w:tcPr>
          <w:p>
            <w:pPr>
              <w:spacing w:after="40" w:before="40"/>
              <w:jc w:val="right"/>
            </w:pPr>
            <w:r/>
            <w:r>
              <w:rPr>
                <w:rFonts w:ascii="Calibri" w:hAnsi="Calibri"/>
                <w:b w:val="0"/>
                <w:sz w:val="18"/>
              </w:rPr>
              <w:t>$-0.7M</w:t>
            </w:r>
          </w:p>
        </w:tc>
        <w:tc>
          <w:tcPr>
            <w:tcW w:type="dxa" w:w="1368"/>
            <w:shd w:val="clear" w:color="auto" w:fill="F2F6FA"/>
          </w:tcPr>
          <w:p>
            <w:pPr>
              <w:spacing w:after="40" w:before="40"/>
              <w:jc w:val="right"/>
            </w:pPr>
            <w:r/>
            <w:r>
              <w:rPr>
                <w:rFonts w:ascii="Calibri" w:hAnsi="Calibri"/>
                <w:b w:val="0"/>
                <w:sz w:val="18"/>
              </w:rPr>
              <w:t>$-0.8M</w:t>
            </w:r>
          </w:p>
        </w:tc>
        <w:tc>
          <w:tcPr>
            <w:tcW w:type="dxa" w:w="1368"/>
            <w:shd w:val="clear" w:color="auto" w:fill="F2F6FA"/>
          </w:tcPr>
          <w:p>
            <w:pPr>
              <w:spacing w:after="40" w:before="40"/>
              <w:jc w:val="right"/>
            </w:pPr>
            <w:r/>
            <w:r>
              <w:rPr>
                <w:rFonts w:ascii="Calibri" w:hAnsi="Calibri"/>
                <w:b w:val="0"/>
                <w:sz w:val="18"/>
              </w:rPr>
              <w:t>$-1.0M</w:t>
            </w:r>
          </w:p>
        </w:tc>
        <w:tc>
          <w:tcPr>
            <w:tcW w:type="dxa" w:w="1368"/>
            <w:shd w:val="clear" w:color="auto" w:fill="F2F6FA"/>
          </w:tcPr>
          <w:p>
            <w:pPr>
              <w:spacing w:after="40" w:before="40"/>
              <w:jc w:val="right"/>
            </w:pPr>
            <w:r/>
            <w:r>
              <w:rPr>
                <w:rFonts w:ascii="Calibri" w:hAnsi="Calibri"/>
                <w:b w:val="0"/>
                <w:sz w:val="18"/>
              </w:rPr>
              <w:t>$-1.4M</w:t>
            </w:r>
          </w:p>
        </w:tc>
      </w:tr>
      <w:tr>
        <w:tc>
          <w:tcPr>
            <w:tcW w:type="dxa" w:w="3744"/>
          </w:tcPr>
          <w:p>
            <w:pPr>
              <w:spacing w:after="40" w:before="40"/>
            </w:pPr>
            <w:r/>
            <w:r>
              <w:rPr>
                <w:rFonts w:ascii="Calibri" w:hAnsi="Calibri"/>
                <w:b w:val="0"/>
                <w:sz w:val="18"/>
              </w:rPr>
              <w:t>Interest expense</w:t>
            </w:r>
          </w:p>
        </w:tc>
        <w:tc>
          <w:tcPr>
            <w:tcW w:type="dxa" w:w="1368"/>
          </w:tcPr>
          <w:p>
            <w:pPr>
              <w:spacing w:after="40" w:before="40"/>
              <w:jc w:val="right"/>
            </w:pPr>
            <w:r/>
            <w:r>
              <w:rPr>
                <w:rFonts w:ascii="Calibri" w:hAnsi="Calibri"/>
                <w:b w:val="0"/>
                <w:sz w:val="18"/>
              </w:rPr>
              <w:t>$-0.5M</w:t>
            </w:r>
          </w:p>
        </w:tc>
        <w:tc>
          <w:tcPr>
            <w:tcW w:type="dxa" w:w="1368"/>
          </w:tcPr>
          <w:p>
            <w:pPr>
              <w:spacing w:after="40" w:before="40"/>
              <w:jc w:val="right"/>
            </w:pPr>
            <w:r/>
            <w:r>
              <w:rPr>
                <w:rFonts w:ascii="Calibri" w:hAnsi="Calibri"/>
                <w:b w:val="0"/>
                <w:sz w:val="18"/>
              </w:rPr>
              <w:t>$-0.5M</w:t>
            </w:r>
          </w:p>
        </w:tc>
        <w:tc>
          <w:tcPr>
            <w:tcW w:type="dxa" w:w="1368"/>
          </w:tcPr>
          <w:p>
            <w:pPr>
              <w:spacing w:after="40" w:before="40"/>
              <w:jc w:val="right"/>
            </w:pPr>
            <w:r/>
            <w:r>
              <w:rPr>
                <w:rFonts w:ascii="Calibri" w:hAnsi="Calibri"/>
                <w:b w:val="0"/>
                <w:sz w:val="18"/>
              </w:rPr>
              <w:t>$-0.4M</w:t>
            </w:r>
          </w:p>
        </w:tc>
        <w:tc>
          <w:tcPr>
            <w:tcW w:type="dxa" w:w="1368"/>
          </w:tcPr>
          <w:p>
            <w:pPr>
              <w:spacing w:after="40" w:before="40"/>
              <w:jc w:val="right"/>
            </w:pPr>
            <w:r/>
            <w:r>
              <w:rPr>
                <w:rFonts w:ascii="Calibri" w:hAnsi="Calibri"/>
                <w:b w:val="0"/>
                <w:sz w:val="18"/>
              </w:rPr>
              <w:t>$-0.4M</w:t>
            </w:r>
          </w:p>
        </w:tc>
        <w:tc>
          <w:tcPr>
            <w:tcW w:type="dxa" w:w="1368"/>
          </w:tcPr>
          <w:p>
            <w:pPr>
              <w:spacing w:after="40" w:before="40"/>
              <w:jc w:val="right"/>
            </w:pPr>
            <w:r/>
            <w:r>
              <w:rPr>
                <w:rFonts w:ascii="Calibri" w:hAnsi="Calibri"/>
                <w:b w:val="0"/>
                <w:sz w:val="18"/>
              </w:rPr>
              <w:t>$-0.4M</w:t>
            </w:r>
          </w:p>
        </w:tc>
      </w:tr>
      <w:tr>
        <w:tc>
          <w:tcPr>
            <w:tcW w:type="dxa" w:w="3744"/>
            <w:shd w:val="clear" w:color="auto" w:fill="F2F6FA"/>
          </w:tcPr>
          <w:p>
            <w:pPr>
              <w:spacing w:after="40" w:before="40"/>
            </w:pPr>
            <w:r/>
            <w:r>
              <w:rPr>
                <w:rFonts w:ascii="Calibri" w:hAnsi="Calibri"/>
                <w:b w:val="0"/>
                <w:sz w:val="18"/>
              </w:rPr>
              <w:t>Grant income (nonoperating)</w:t>
            </w:r>
          </w:p>
        </w:tc>
        <w:tc>
          <w:tcPr>
            <w:tcW w:type="dxa" w:w="1368"/>
            <w:shd w:val="clear" w:color="auto" w:fill="F2F6FA"/>
          </w:tcPr>
          <w:p>
            <w:pPr>
              <w:spacing w:after="40" w:before="40"/>
              <w:jc w:val="right"/>
            </w:pPr>
            <w:r/>
            <w:r>
              <w:rPr>
                <w:rFonts w:ascii="Calibri" w:hAnsi="Calibri"/>
                <w:b w:val="0"/>
                <w:sz w:val="18"/>
              </w:rPr>
              <w:t>$1.0M</w:t>
            </w:r>
          </w:p>
        </w:tc>
        <w:tc>
          <w:tcPr>
            <w:tcW w:type="dxa" w:w="1368"/>
            <w:shd w:val="clear" w:color="auto" w:fill="F2F6FA"/>
          </w:tcPr>
          <w:p>
            <w:pPr>
              <w:spacing w:after="40" w:before="40"/>
              <w:jc w:val="right"/>
            </w:pPr>
            <w:r/>
            <w:r>
              <w:rPr>
                <w:rFonts w:ascii="Calibri" w:hAnsi="Calibri"/>
                <w:b w:val="0"/>
                <w:sz w:val="18"/>
              </w:rPr>
              <w:t>$0.8M</w:t>
            </w:r>
          </w:p>
        </w:tc>
        <w:tc>
          <w:tcPr>
            <w:tcW w:type="dxa" w:w="1368"/>
            <w:shd w:val="clear" w:color="auto" w:fill="F2F6FA"/>
          </w:tcPr>
          <w:p>
            <w:pPr>
              <w:spacing w:after="40" w:before="40"/>
              <w:jc w:val="right"/>
            </w:pPr>
            <w:r/>
            <w:r>
              <w:rPr>
                <w:rFonts w:ascii="Calibri" w:hAnsi="Calibri"/>
                <w:b w:val="0"/>
                <w:sz w:val="18"/>
              </w:rPr>
              <w:t>$0.7M</w:t>
            </w:r>
          </w:p>
        </w:tc>
        <w:tc>
          <w:tcPr>
            <w:tcW w:type="dxa" w:w="1368"/>
            <w:shd w:val="clear" w:color="auto" w:fill="F2F6FA"/>
          </w:tcPr>
          <w:p>
            <w:pPr>
              <w:spacing w:after="40" w:before="40"/>
              <w:jc w:val="right"/>
            </w:pPr>
            <w:r/>
            <w:r>
              <w:rPr>
                <w:rFonts w:ascii="Calibri" w:hAnsi="Calibri"/>
                <w:b w:val="0"/>
                <w:sz w:val="18"/>
              </w:rPr>
              <w:t>$0.5M</w:t>
            </w:r>
          </w:p>
        </w:tc>
        <w:tc>
          <w:tcPr>
            <w:tcW w:type="dxa" w:w="1368"/>
            <w:shd w:val="clear" w:color="auto" w:fill="F2F6FA"/>
          </w:tcPr>
          <w:p>
            <w:pPr>
              <w:spacing w:after="40" w:before="40"/>
              <w:jc w:val="right"/>
            </w:pPr>
            <w:r/>
            <w:r>
              <w:rPr>
                <w:rFonts w:ascii="Calibri" w:hAnsi="Calibri"/>
                <w:b w:val="0"/>
                <w:sz w:val="18"/>
              </w:rPr>
              <w:t>$0.3M</w:t>
            </w:r>
          </w:p>
        </w:tc>
      </w:tr>
      <w:tr>
        <w:tc>
          <w:tcPr>
            <w:tcW w:type="dxa" w:w="3744"/>
          </w:tcPr>
          <w:p>
            <w:pPr>
              <w:spacing w:after="40" w:before="40"/>
            </w:pPr>
            <w:r/>
            <w:r>
              <w:rPr>
                <w:rFonts w:ascii="Calibri" w:hAnsi="Calibri"/>
                <w:b w:val="0"/>
                <w:sz w:val="18"/>
              </w:rPr>
              <w:t>Net income (loss)</w:t>
            </w:r>
          </w:p>
        </w:tc>
        <w:tc>
          <w:tcPr>
            <w:tcW w:type="dxa" w:w="1368"/>
          </w:tcPr>
          <w:p>
            <w:pPr>
              <w:spacing w:after="40" w:before="40"/>
              <w:jc w:val="right"/>
            </w:pPr>
            <w:r/>
            <w:r>
              <w:rPr>
                <w:rFonts w:ascii="Calibri" w:hAnsi="Calibri"/>
                <w:b w:val="0"/>
                <w:sz w:val="18"/>
              </w:rPr>
              <w:t>$0.1M</w:t>
            </w:r>
          </w:p>
        </w:tc>
        <w:tc>
          <w:tcPr>
            <w:tcW w:type="dxa" w:w="1368"/>
          </w:tcPr>
          <w:p>
            <w:pPr>
              <w:spacing w:after="40" w:before="40"/>
              <w:jc w:val="right"/>
            </w:pPr>
            <w:r/>
            <w:r>
              <w:rPr>
                <w:rFonts w:ascii="Calibri" w:hAnsi="Calibri"/>
                <w:b w:val="0"/>
                <w:sz w:val="18"/>
              </w:rPr>
              <w:t>$-0.2M</w:t>
            </w:r>
          </w:p>
        </w:tc>
        <w:tc>
          <w:tcPr>
            <w:tcW w:type="dxa" w:w="1368"/>
          </w:tcPr>
          <w:p>
            <w:pPr>
              <w:spacing w:after="40" w:before="40"/>
              <w:jc w:val="right"/>
            </w:pPr>
            <w:r/>
            <w:r>
              <w:rPr>
                <w:rFonts w:ascii="Calibri" w:hAnsi="Calibri"/>
                <w:b w:val="0"/>
                <w:sz w:val="18"/>
              </w:rPr>
              <w:t>$-0.6M</w:t>
            </w:r>
          </w:p>
        </w:tc>
        <w:tc>
          <w:tcPr>
            <w:tcW w:type="dxa" w:w="1368"/>
          </w:tcPr>
          <w:p>
            <w:pPr>
              <w:spacing w:after="40" w:before="40"/>
              <w:jc w:val="right"/>
            </w:pPr>
            <w:r/>
            <w:r>
              <w:rPr>
                <w:rFonts w:ascii="Calibri" w:hAnsi="Calibri"/>
                <w:b w:val="0"/>
                <w:sz w:val="18"/>
              </w:rPr>
              <w:t>$-1.0M</w:t>
            </w:r>
          </w:p>
        </w:tc>
        <w:tc>
          <w:tcPr>
            <w:tcW w:type="dxa" w:w="1368"/>
          </w:tcPr>
          <w:p>
            <w:pPr>
              <w:spacing w:after="40" w:before="40"/>
              <w:jc w:val="right"/>
            </w:pPr>
            <w:r/>
            <w:r>
              <w:rPr>
                <w:rFonts w:ascii="Calibri" w:hAnsi="Calibri"/>
                <w:b w:val="0"/>
                <w:sz w:val="18"/>
              </w:rPr>
              <w:t>$-1.5M</w:t>
            </w:r>
          </w:p>
        </w:tc>
      </w:tr>
      <w:tr>
        <w:tc>
          <w:tcPr>
            <w:tcW w:type="dxa" w:w="3744"/>
            <w:shd w:val="clear" w:color="auto" w:fill="F2F6FA"/>
          </w:tcPr>
          <w:p>
            <w:pPr>
              <w:spacing w:after="40" w:before="40"/>
            </w:pPr>
            <w:r/>
            <w:r>
              <w:rPr>
                <w:rFonts w:ascii="Calibri" w:hAnsi="Calibri"/>
                <w:b w:val="0"/>
                <w:sz w:val="18"/>
              </w:rPr>
              <w:t>Capital expenditures</w:t>
            </w:r>
          </w:p>
        </w:tc>
        <w:tc>
          <w:tcPr>
            <w:tcW w:type="dxa" w:w="1368"/>
            <w:shd w:val="clear" w:color="auto" w:fill="F2F6FA"/>
          </w:tcPr>
          <w:p>
            <w:pPr>
              <w:spacing w:after="40" w:before="40"/>
              <w:jc w:val="right"/>
            </w:pPr>
            <w:r/>
            <w:r>
              <w:rPr>
                <w:rFonts w:ascii="Calibri" w:hAnsi="Calibri"/>
                <w:b w:val="0"/>
                <w:sz w:val="18"/>
              </w:rPr>
              <w:t>$9.6M</w:t>
            </w:r>
          </w:p>
        </w:tc>
        <w:tc>
          <w:tcPr>
            <w:tcW w:type="dxa" w:w="1368"/>
            <w:shd w:val="clear" w:color="auto" w:fill="F2F6FA"/>
          </w:tcPr>
          <w:p>
            <w:pPr>
              <w:spacing w:after="40" w:before="40"/>
              <w:jc w:val="right"/>
            </w:pPr>
            <w:r/>
            <w:r>
              <w:rPr>
                <w:rFonts w:ascii="Calibri" w:hAnsi="Calibri"/>
                <w:b w:val="0"/>
                <w:sz w:val="18"/>
              </w:rPr>
              <w:t>$9.8M</w:t>
            </w:r>
          </w:p>
        </w:tc>
        <w:tc>
          <w:tcPr>
            <w:tcW w:type="dxa" w:w="1368"/>
            <w:shd w:val="clear" w:color="auto" w:fill="F2F6FA"/>
          </w:tcPr>
          <w:p>
            <w:pPr>
              <w:spacing w:after="40" w:before="40"/>
              <w:jc w:val="right"/>
            </w:pPr>
            <w:r/>
            <w:r>
              <w:rPr>
                <w:rFonts w:ascii="Calibri" w:hAnsi="Calibri"/>
                <w:b w:val="0"/>
                <w:sz w:val="18"/>
              </w:rPr>
              <w:t>$10.0M</w:t>
            </w:r>
          </w:p>
        </w:tc>
        <w:tc>
          <w:tcPr>
            <w:tcW w:type="dxa" w:w="1368"/>
            <w:shd w:val="clear" w:color="auto" w:fill="F2F6FA"/>
          </w:tcPr>
          <w:p>
            <w:pPr>
              <w:spacing w:after="40" w:before="40"/>
              <w:jc w:val="right"/>
            </w:pPr>
            <w:r/>
            <w:r>
              <w:rPr>
                <w:rFonts w:ascii="Calibri" w:hAnsi="Calibri"/>
                <w:b w:val="0"/>
                <w:sz w:val="18"/>
              </w:rPr>
              <w:t>$9.8M</w:t>
            </w:r>
          </w:p>
        </w:tc>
        <w:tc>
          <w:tcPr>
            <w:tcW w:type="dxa" w:w="1368"/>
            <w:shd w:val="clear" w:color="auto" w:fill="F2F6FA"/>
          </w:tcPr>
          <w:p>
            <w:pPr>
              <w:spacing w:after="40" w:before="40"/>
              <w:jc w:val="right"/>
            </w:pPr>
            <w:r/>
            <w:r>
              <w:rPr>
                <w:rFonts w:ascii="Calibri" w:hAnsi="Calibri"/>
                <w:b w:val="0"/>
                <w:sz w:val="18"/>
              </w:rPr>
              <w:t>$9.7M</w:t>
            </w:r>
          </w:p>
        </w:tc>
      </w:tr>
      <w:tr>
        <w:tc>
          <w:tcPr>
            <w:tcW w:type="dxa" w:w="3744"/>
          </w:tcPr>
          <w:p>
            <w:pPr>
              <w:spacing w:after="40" w:before="40"/>
            </w:pPr>
            <w:r/>
            <w:r>
              <w:rPr>
                <w:rFonts w:ascii="Calibri" w:hAnsi="Calibri"/>
                <w:b w:val="0"/>
                <w:sz w:val="18"/>
              </w:rPr>
              <w:t>Free cash flow (pre-financing)</w:t>
            </w:r>
          </w:p>
        </w:tc>
        <w:tc>
          <w:tcPr>
            <w:tcW w:type="dxa" w:w="1368"/>
          </w:tcPr>
          <w:p>
            <w:pPr>
              <w:spacing w:after="40" w:before="40"/>
              <w:jc w:val="right"/>
            </w:pPr>
            <w:r/>
            <w:r>
              <w:rPr>
                <w:rFonts w:ascii="Calibri" w:hAnsi="Calibri"/>
                <w:b w:val="0"/>
                <w:sz w:val="18"/>
              </w:rPr>
              <w:t>$-9.8M</w:t>
            </w:r>
          </w:p>
        </w:tc>
        <w:tc>
          <w:tcPr>
            <w:tcW w:type="dxa" w:w="1368"/>
          </w:tcPr>
          <w:p>
            <w:pPr>
              <w:spacing w:after="40" w:before="40"/>
              <w:jc w:val="right"/>
            </w:pPr>
            <w:r/>
            <w:r>
              <w:rPr>
                <w:rFonts w:ascii="Calibri" w:hAnsi="Calibri"/>
                <w:b w:val="0"/>
                <w:sz w:val="18"/>
              </w:rPr>
              <w:t>$-9.4M</w:t>
            </w:r>
          </w:p>
        </w:tc>
        <w:tc>
          <w:tcPr>
            <w:tcW w:type="dxa" w:w="1368"/>
          </w:tcPr>
          <w:p>
            <w:pPr>
              <w:spacing w:after="40" w:before="40"/>
              <w:jc w:val="right"/>
            </w:pPr>
            <w:r/>
            <w:r>
              <w:rPr>
                <w:rFonts w:ascii="Calibri" w:hAnsi="Calibri"/>
                <w:b w:val="0"/>
                <w:sz w:val="18"/>
              </w:rPr>
              <w:t>$-8.9M</w:t>
            </w:r>
          </w:p>
        </w:tc>
        <w:tc>
          <w:tcPr>
            <w:tcW w:type="dxa" w:w="1368"/>
          </w:tcPr>
          <w:p>
            <w:pPr>
              <w:spacing w:after="40" w:before="40"/>
              <w:jc w:val="right"/>
            </w:pPr>
            <w:r/>
            <w:r>
              <w:rPr>
                <w:rFonts w:ascii="Calibri" w:hAnsi="Calibri"/>
                <w:b w:val="0"/>
                <w:sz w:val="18"/>
              </w:rPr>
              <w:t>$-8.1M</w:t>
            </w:r>
          </w:p>
        </w:tc>
        <w:tc>
          <w:tcPr>
            <w:tcW w:type="dxa" w:w="1368"/>
          </w:tcPr>
          <w:p>
            <w:pPr>
              <w:spacing w:after="40" w:before="40"/>
              <w:jc w:val="right"/>
            </w:pPr>
            <w:r/>
            <w:r>
              <w:rPr>
                <w:rFonts w:ascii="Calibri" w:hAnsi="Calibri"/>
                <w:b w:val="0"/>
                <w:sz w:val="18"/>
              </w:rPr>
              <w:t>$-7.5M</w:t>
            </w:r>
          </w:p>
        </w:tc>
      </w:tr>
      <w:tr>
        <w:tc>
          <w:tcPr>
            <w:tcW w:type="dxa" w:w="3744"/>
            <w:shd w:val="clear" w:color="auto" w:fill="F2F6FA"/>
          </w:tcPr>
          <w:p>
            <w:pPr>
              <w:spacing w:after="40" w:before="40"/>
            </w:pPr>
            <w:r/>
            <w:r>
              <w:rPr>
                <w:rFonts w:ascii="Calibri" w:hAnsi="Calibri"/>
                <w:b w:val="0"/>
                <w:sz w:val="18"/>
              </w:rPr>
              <w:t>Grant capital reimbursement</w:t>
            </w:r>
          </w:p>
        </w:tc>
        <w:tc>
          <w:tcPr>
            <w:tcW w:type="dxa" w:w="1368"/>
            <w:shd w:val="clear" w:color="auto" w:fill="F2F6FA"/>
          </w:tcPr>
          <w:p>
            <w:pPr>
              <w:spacing w:after="40" w:before="40"/>
              <w:jc w:val="right"/>
            </w:pPr>
            <w:r/>
            <w:r>
              <w:rPr>
                <w:rFonts w:ascii="Calibri" w:hAnsi="Calibri"/>
                <w:b w:val="0"/>
                <w:sz w:val="18"/>
              </w:rPr>
              <w:t>$1.5M</w:t>
            </w:r>
          </w:p>
        </w:tc>
        <w:tc>
          <w:tcPr>
            <w:tcW w:type="dxa" w:w="1368"/>
            <w:shd w:val="clear" w:color="auto" w:fill="F2F6FA"/>
          </w:tcPr>
          <w:p>
            <w:pPr>
              <w:spacing w:after="40" w:before="40"/>
              <w:jc w:val="right"/>
            </w:pPr>
            <w:r/>
            <w:r>
              <w:rPr>
                <w:rFonts w:ascii="Calibri" w:hAnsi="Calibri"/>
                <w:b w:val="0"/>
                <w:sz w:val="18"/>
              </w:rPr>
              <w:t>$2.0M</w:t>
            </w:r>
          </w:p>
        </w:tc>
        <w:tc>
          <w:tcPr>
            <w:tcW w:type="dxa" w:w="1368"/>
            <w:shd w:val="clear" w:color="auto" w:fill="F2F6FA"/>
          </w:tcPr>
          <w:p>
            <w:pPr>
              <w:spacing w:after="40" w:before="40"/>
              <w:jc w:val="right"/>
            </w:pPr>
            <w:r/>
            <w:r>
              <w:rPr>
                <w:rFonts w:ascii="Calibri" w:hAnsi="Calibri"/>
                <w:b w:val="0"/>
                <w:sz w:val="18"/>
              </w:rPr>
              <w:t>$2.5M</w:t>
            </w:r>
          </w:p>
        </w:tc>
        <w:tc>
          <w:tcPr>
            <w:tcW w:type="dxa" w:w="1368"/>
            <w:shd w:val="clear" w:color="auto" w:fill="F2F6FA"/>
          </w:tcPr>
          <w:p>
            <w:pPr>
              <w:spacing w:after="40" w:before="40"/>
              <w:jc w:val="right"/>
            </w:pPr>
            <w:r/>
            <w:r>
              <w:rPr>
                <w:rFonts w:ascii="Calibri" w:hAnsi="Calibri"/>
                <w:b w:val="0"/>
                <w:sz w:val="18"/>
              </w:rPr>
              <w:t>$2.0M</w:t>
            </w:r>
          </w:p>
        </w:tc>
        <w:tc>
          <w:tcPr>
            <w:tcW w:type="dxa" w:w="1368"/>
            <w:shd w:val="clear" w:color="auto" w:fill="F2F6FA"/>
          </w:tcPr>
          <w:p>
            <w:pPr>
              <w:spacing w:after="40" w:before="40"/>
              <w:jc w:val="right"/>
            </w:pPr>
            <w:r/>
            <w:r>
              <w:rPr>
                <w:rFonts w:ascii="Calibri" w:hAnsi="Calibri"/>
                <w:b w:val="0"/>
                <w:sz w:val="18"/>
              </w:rPr>
              <w:t>$1.5M</w:t>
            </w:r>
          </w:p>
        </w:tc>
      </w:tr>
      <w:tr>
        <w:tc>
          <w:tcPr>
            <w:tcW w:type="dxa" w:w="3744"/>
          </w:tcPr>
          <w:p>
            <w:pPr>
              <w:spacing w:after="40" w:before="40"/>
            </w:pPr>
            <w:r/>
            <w:r>
              <w:rPr>
                <w:rFonts w:ascii="Calibri" w:hAnsi="Calibri"/>
                <w:b w:val="0"/>
                <w:sz w:val="18"/>
              </w:rPr>
              <w:t>Cumulative cash requirement</w:t>
            </w:r>
          </w:p>
        </w:tc>
        <w:tc>
          <w:tcPr>
            <w:tcW w:type="dxa" w:w="1368"/>
          </w:tcPr>
          <w:p>
            <w:pPr>
              <w:spacing w:after="40" w:before="40"/>
              <w:jc w:val="right"/>
            </w:pPr>
            <w:r/>
            <w:r>
              <w:rPr>
                <w:rFonts w:ascii="Calibri" w:hAnsi="Calibri"/>
                <w:b w:val="0"/>
                <w:sz w:val="18"/>
              </w:rPr>
              <w:t>$-8.3M</w:t>
            </w:r>
          </w:p>
        </w:tc>
        <w:tc>
          <w:tcPr>
            <w:tcW w:type="dxa" w:w="1368"/>
          </w:tcPr>
          <w:p>
            <w:pPr>
              <w:spacing w:after="40" w:before="40"/>
              <w:jc w:val="right"/>
            </w:pPr>
            <w:r/>
            <w:r>
              <w:rPr>
                <w:rFonts w:ascii="Calibri" w:hAnsi="Calibri"/>
                <w:b w:val="0"/>
                <w:sz w:val="18"/>
              </w:rPr>
              <w:t>$-15.7M</w:t>
            </w:r>
          </w:p>
        </w:tc>
        <w:tc>
          <w:tcPr>
            <w:tcW w:type="dxa" w:w="1368"/>
          </w:tcPr>
          <w:p>
            <w:pPr>
              <w:spacing w:after="40" w:before="40"/>
              <w:jc w:val="right"/>
            </w:pPr>
            <w:r/>
            <w:r>
              <w:rPr>
                <w:rFonts w:ascii="Calibri" w:hAnsi="Calibri"/>
                <w:b w:val="0"/>
                <w:sz w:val="18"/>
              </w:rPr>
              <w:t>$-22.1M</w:t>
            </w:r>
          </w:p>
        </w:tc>
        <w:tc>
          <w:tcPr>
            <w:tcW w:type="dxa" w:w="1368"/>
          </w:tcPr>
          <w:p>
            <w:pPr>
              <w:spacing w:after="40" w:before="40"/>
              <w:jc w:val="right"/>
            </w:pPr>
            <w:r/>
            <w:r>
              <w:rPr>
                <w:rFonts w:ascii="Calibri" w:hAnsi="Calibri"/>
                <w:b w:val="0"/>
                <w:sz w:val="18"/>
              </w:rPr>
              <w:t>$-28.1M</w:t>
            </w:r>
          </w:p>
        </w:tc>
        <w:tc>
          <w:tcPr>
            <w:tcW w:type="dxa" w:w="1368"/>
          </w:tcPr>
          <w:p>
            <w:pPr>
              <w:spacing w:after="40" w:before="40"/>
              <w:jc w:val="right"/>
            </w:pPr>
            <w:r/>
            <w:r>
              <w:rPr>
                <w:rFonts w:ascii="Calibri" w:hAnsi="Calibri"/>
                <w:b w:val="0"/>
                <w:sz w:val="18"/>
              </w:rPr>
              <w:t>$-34.1M</w:t>
            </w:r>
          </w:p>
        </w:tc>
      </w:tr>
    </w:tbl>
    <w:p>
      <w:pPr>
        <w:spacing w:after="40"/>
      </w:pPr>
    </w:p>
    <w:p>
      <w:pPr>
        <w:pStyle w:val="Heading2"/>
      </w:pPr>
      <w:r>
        <w:rPr>
          <w:rFonts w:ascii="Calibri" w:hAnsi="Calibri"/>
          <w:color w:val="2E7D8A"/>
          <w:sz w:val="25"/>
        </w:rPr>
        <w:t>Capital funding reconciliation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744"/>
            <w:shd w:val="clear" w:color="auto" w:fill="1F3B4D"/>
          </w:tcPr>
          <w:p>
            <w:pPr>
              <w:spacing w:after="40" w:before="40"/>
            </w:pPr>
            <w:r/>
            <w:r>
              <w:rPr>
                <w:rFonts w:ascii="Calibri" w:hAnsi="Calibri"/>
                <w:b/>
                <w:color w:val="FFFFFF"/>
                <w:sz w:val="19"/>
              </w:rPr>
              <w:t>$</w:t>
            </w:r>
          </w:p>
        </w:tc>
        <w:tc>
          <w:tcPr>
            <w:tcW w:type="dxa" w:w="1368"/>
            <w:shd w:val="clear" w:color="auto" w:fill="1F3B4D"/>
          </w:tcPr>
          <w:p>
            <w:pPr>
              <w:spacing w:after="40" w:before="40"/>
              <w:jc w:val="center"/>
            </w:pPr>
            <w:r/>
            <w:r>
              <w:rPr>
                <w:rFonts w:ascii="Calibri" w:hAnsi="Calibri"/>
                <w:b/>
                <w:color w:val="FFFFFF"/>
                <w:sz w:val="19"/>
              </w:rPr>
              <w:t>2027</w:t>
            </w:r>
          </w:p>
        </w:tc>
        <w:tc>
          <w:tcPr>
            <w:tcW w:type="dxa" w:w="1368"/>
            <w:shd w:val="clear" w:color="auto" w:fill="1F3B4D"/>
          </w:tcPr>
          <w:p>
            <w:pPr>
              <w:spacing w:after="40" w:before="40"/>
              <w:jc w:val="center"/>
            </w:pPr>
            <w:r/>
            <w:r>
              <w:rPr>
                <w:rFonts w:ascii="Calibri" w:hAnsi="Calibri"/>
                <w:b/>
                <w:color w:val="FFFFFF"/>
                <w:sz w:val="19"/>
              </w:rPr>
              <w:t>2028</w:t>
            </w:r>
          </w:p>
        </w:tc>
        <w:tc>
          <w:tcPr>
            <w:tcW w:type="dxa" w:w="1368"/>
            <w:shd w:val="clear" w:color="auto" w:fill="1F3B4D"/>
          </w:tcPr>
          <w:p>
            <w:pPr>
              <w:spacing w:after="40" w:before="40"/>
              <w:jc w:val="center"/>
            </w:pPr>
            <w:r/>
            <w:r>
              <w:rPr>
                <w:rFonts w:ascii="Calibri" w:hAnsi="Calibri"/>
                <w:b/>
                <w:color w:val="FFFFFF"/>
                <w:sz w:val="19"/>
              </w:rPr>
              <w:t>2029</w:t>
            </w:r>
          </w:p>
        </w:tc>
        <w:tc>
          <w:tcPr>
            <w:tcW w:type="dxa" w:w="1368"/>
            <w:shd w:val="clear" w:color="auto" w:fill="1F3B4D"/>
          </w:tcPr>
          <w:p>
            <w:pPr>
              <w:spacing w:after="40" w:before="40"/>
              <w:jc w:val="center"/>
            </w:pPr>
            <w:r/>
            <w:r>
              <w:rPr>
                <w:rFonts w:ascii="Calibri" w:hAnsi="Calibri"/>
                <w:b/>
                <w:color w:val="FFFFFF"/>
                <w:sz w:val="19"/>
              </w:rPr>
              <w:t>2030</w:t>
            </w:r>
          </w:p>
        </w:tc>
        <w:tc>
          <w:tcPr>
            <w:tcW w:type="dxa" w:w="1368"/>
            <w:shd w:val="clear" w:color="auto" w:fill="1F3B4D"/>
          </w:tcPr>
          <w:p>
            <w:pPr>
              <w:spacing w:after="40" w:before="40"/>
              <w:jc w:val="center"/>
            </w:pPr>
            <w:r/>
            <w:r>
              <w:rPr>
                <w:rFonts w:ascii="Calibri" w:hAnsi="Calibri"/>
                <w:b/>
                <w:color w:val="FFFFFF"/>
                <w:sz w:val="19"/>
              </w:rPr>
              <w:t>2031</w:t>
            </w:r>
          </w:p>
        </w:tc>
      </w:tr>
      <w:tr>
        <w:tc>
          <w:tcPr>
            <w:tcW w:type="dxa" w:w="3744"/>
          </w:tcPr>
          <w:p>
            <w:pPr>
              <w:spacing w:after="40" w:before="40"/>
            </w:pPr>
            <w:r/>
            <w:r>
              <w:rPr>
                <w:rFonts w:ascii="Calibri" w:hAnsi="Calibri"/>
                <w:b w:val="0"/>
                <w:sz w:val="19"/>
              </w:rPr>
              <w:t>Capital funding available</w:t>
            </w:r>
          </w:p>
        </w:tc>
        <w:tc>
          <w:tcPr>
            <w:tcW w:type="dxa" w:w="1368"/>
          </w:tcPr>
          <w:p>
            <w:pPr>
              <w:spacing w:after="40" w:before="40"/>
              <w:jc w:val="right"/>
            </w:pPr>
            <w:r/>
            <w:r>
              <w:rPr>
                <w:rFonts w:ascii="Calibri" w:hAnsi="Calibri"/>
                <w:b w:val="0"/>
                <w:sz w:val="19"/>
              </w:rPr>
              <w:t>$10.0M</w:t>
            </w:r>
          </w:p>
        </w:tc>
        <w:tc>
          <w:tcPr>
            <w:tcW w:type="dxa" w:w="1368"/>
          </w:tcPr>
          <w:p>
            <w:pPr>
              <w:spacing w:after="40" w:before="40"/>
              <w:jc w:val="right"/>
            </w:pPr>
            <w:r/>
            <w:r>
              <w:rPr>
                <w:rFonts w:ascii="Calibri" w:hAnsi="Calibri"/>
                <w:b w:val="0"/>
                <w:sz w:val="19"/>
              </w:rPr>
              <w:t>$10.0M</w:t>
            </w:r>
          </w:p>
        </w:tc>
        <w:tc>
          <w:tcPr>
            <w:tcW w:type="dxa" w:w="1368"/>
          </w:tcPr>
          <w:p>
            <w:pPr>
              <w:spacing w:after="40" w:before="40"/>
              <w:jc w:val="right"/>
            </w:pPr>
            <w:r/>
            <w:r>
              <w:rPr>
                <w:rFonts w:ascii="Calibri" w:hAnsi="Calibri"/>
                <w:b w:val="0"/>
                <w:sz w:val="19"/>
              </w:rPr>
              <w:t>$10.0M</w:t>
            </w:r>
          </w:p>
        </w:tc>
        <w:tc>
          <w:tcPr>
            <w:tcW w:type="dxa" w:w="1368"/>
          </w:tcPr>
          <w:p>
            <w:pPr>
              <w:spacing w:after="40" w:before="40"/>
              <w:jc w:val="right"/>
            </w:pPr>
            <w:r/>
            <w:r>
              <w:rPr>
                <w:rFonts w:ascii="Calibri" w:hAnsi="Calibri"/>
                <w:b w:val="0"/>
                <w:sz w:val="19"/>
              </w:rPr>
              <w:t>$10.0M</w:t>
            </w:r>
          </w:p>
        </w:tc>
        <w:tc>
          <w:tcPr>
            <w:tcW w:type="dxa" w:w="1368"/>
          </w:tcPr>
          <w:p>
            <w:pPr>
              <w:spacing w:after="40" w:before="40"/>
              <w:jc w:val="right"/>
            </w:pPr>
            <w:r/>
            <w:r>
              <w:rPr>
                <w:rFonts w:ascii="Calibri" w:hAnsi="Calibri"/>
                <w:b w:val="0"/>
                <w:sz w:val="19"/>
              </w:rPr>
              <w:t>$10.0M</w:t>
            </w:r>
          </w:p>
        </w:tc>
      </w:tr>
      <w:tr>
        <w:tc>
          <w:tcPr>
            <w:tcW w:type="dxa" w:w="3744"/>
            <w:shd w:val="clear" w:color="auto" w:fill="F2F6FA"/>
          </w:tcPr>
          <w:p>
            <w:pPr>
              <w:spacing w:after="40" w:before="40"/>
            </w:pPr>
            <w:r/>
            <w:r>
              <w:rPr>
                <w:rFonts w:ascii="Calibri" w:hAnsi="Calibri"/>
                <w:b w:val="0"/>
                <w:sz w:val="19"/>
              </w:rPr>
              <w:t>Capital funding used</w:t>
            </w:r>
          </w:p>
        </w:tc>
        <w:tc>
          <w:tcPr>
            <w:tcW w:type="dxa" w:w="1368"/>
            <w:shd w:val="clear" w:color="auto" w:fill="F2F6FA"/>
          </w:tcPr>
          <w:p>
            <w:pPr>
              <w:spacing w:after="40" w:before="40"/>
              <w:jc w:val="right"/>
            </w:pPr>
            <w:r/>
            <w:r>
              <w:rPr>
                <w:rFonts w:ascii="Calibri" w:hAnsi="Calibri"/>
                <w:b w:val="0"/>
                <w:sz w:val="19"/>
              </w:rPr>
              <w:t>$9.6M</w:t>
            </w:r>
          </w:p>
        </w:tc>
        <w:tc>
          <w:tcPr>
            <w:tcW w:type="dxa" w:w="1368"/>
            <w:shd w:val="clear" w:color="auto" w:fill="F2F6FA"/>
          </w:tcPr>
          <w:p>
            <w:pPr>
              <w:spacing w:after="40" w:before="40"/>
              <w:jc w:val="right"/>
            </w:pPr>
            <w:r/>
            <w:r>
              <w:rPr>
                <w:rFonts w:ascii="Calibri" w:hAnsi="Calibri"/>
                <w:b w:val="0"/>
                <w:sz w:val="19"/>
              </w:rPr>
              <w:t>$9.8M</w:t>
            </w:r>
          </w:p>
        </w:tc>
        <w:tc>
          <w:tcPr>
            <w:tcW w:type="dxa" w:w="1368"/>
            <w:shd w:val="clear" w:color="auto" w:fill="F2F6FA"/>
          </w:tcPr>
          <w:p>
            <w:pPr>
              <w:spacing w:after="40" w:before="40"/>
              <w:jc w:val="right"/>
            </w:pPr>
            <w:r/>
            <w:r>
              <w:rPr>
                <w:rFonts w:ascii="Calibri" w:hAnsi="Calibri"/>
                <w:b w:val="0"/>
                <w:sz w:val="19"/>
              </w:rPr>
              <w:t>$10.0M</w:t>
            </w:r>
          </w:p>
        </w:tc>
        <w:tc>
          <w:tcPr>
            <w:tcW w:type="dxa" w:w="1368"/>
            <w:shd w:val="clear" w:color="auto" w:fill="F2F6FA"/>
          </w:tcPr>
          <w:p>
            <w:pPr>
              <w:spacing w:after="40" w:before="40"/>
              <w:jc w:val="right"/>
            </w:pPr>
            <w:r/>
            <w:r>
              <w:rPr>
                <w:rFonts w:ascii="Calibri" w:hAnsi="Calibri"/>
                <w:b w:val="0"/>
                <w:sz w:val="19"/>
              </w:rPr>
              <w:t>$9.8M</w:t>
            </w:r>
          </w:p>
        </w:tc>
        <w:tc>
          <w:tcPr>
            <w:tcW w:type="dxa" w:w="1368"/>
            <w:shd w:val="clear" w:color="auto" w:fill="F2F6FA"/>
          </w:tcPr>
          <w:p>
            <w:pPr>
              <w:spacing w:after="40" w:before="40"/>
              <w:jc w:val="right"/>
            </w:pPr>
            <w:r/>
            <w:r>
              <w:rPr>
                <w:rFonts w:ascii="Calibri" w:hAnsi="Calibri"/>
                <w:b w:val="0"/>
                <w:sz w:val="19"/>
              </w:rPr>
              <w:t>$9.7M</w:t>
            </w:r>
          </w:p>
        </w:tc>
      </w:tr>
      <w:tr>
        <w:tc>
          <w:tcPr>
            <w:tcW w:type="dxa" w:w="3744"/>
          </w:tcPr>
          <w:p>
            <w:pPr>
              <w:spacing w:after="40" w:before="40"/>
            </w:pPr>
            <w:r/>
            <w:r>
              <w:rPr>
                <w:rFonts w:ascii="Calibri" w:hAnsi="Calibri"/>
                <w:b w:val="0"/>
                <w:sz w:val="19"/>
              </w:rPr>
              <w:t>Capital funding remaining</w:t>
            </w:r>
          </w:p>
        </w:tc>
        <w:tc>
          <w:tcPr>
            <w:tcW w:type="dxa" w:w="1368"/>
          </w:tcPr>
          <w:p>
            <w:pPr>
              <w:spacing w:after="40" w:before="40"/>
              <w:jc w:val="right"/>
            </w:pPr>
            <w:r/>
            <w:r>
              <w:rPr>
                <w:rFonts w:ascii="Calibri" w:hAnsi="Calibri"/>
                <w:b w:val="0"/>
                <w:sz w:val="19"/>
              </w:rPr>
              <w:t>$384,000</w:t>
            </w:r>
          </w:p>
        </w:tc>
        <w:tc>
          <w:tcPr>
            <w:tcW w:type="dxa" w:w="1368"/>
          </w:tcPr>
          <w:p>
            <w:pPr>
              <w:spacing w:after="40" w:before="40"/>
              <w:jc w:val="right"/>
            </w:pPr>
            <w:r/>
            <w:r>
              <w:rPr>
                <w:rFonts w:ascii="Calibri" w:hAnsi="Calibri"/>
                <w:b w:val="0"/>
                <w:sz w:val="19"/>
              </w:rPr>
              <w:t>$192,000</w:t>
            </w:r>
          </w:p>
        </w:tc>
        <w:tc>
          <w:tcPr>
            <w:tcW w:type="dxa" w:w="1368"/>
          </w:tcPr>
          <w:p>
            <w:pPr>
              <w:spacing w:after="40" w:before="40"/>
              <w:jc w:val="right"/>
            </w:pPr>
            <w:r/>
            <w:r>
              <w:rPr>
                <w:rFonts w:ascii="Calibri" w:hAnsi="Calibri"/>
                <w:b w:val="0"/>
                <w:sz w:val="19"/>
              </w:rPr>
              <w:t>$0</w:t>
            </w:r>
          </w:p>
        </w:tc>
        <w:tc>
          <w:tcPr>
            <w:tcW w:type="dxa" w:w="1368"/>
          </w:tcPr>
          <w:p>
            <w:pPr>
              <w:spacing w:after="40" w:before="40"/>
              <w:jc w:val="right"/>
            </w:pPr>
            <w:r/>
            <w:r>
              <w:rPr>
                <w:rFonts w:ascii="Calibri" w:hAnsi="Calibri"/>
                <w:b w:val="0"/>
                <w:sz w:val="19"/>
              </w:rPr>
              <w:t>$192,000</w:t>
            </w:r>
          </w:p>
        </w:tc>
        <w:tc>
          <w:tcPr>
            <w:tcW w:type="dxa" w:w="1368"/>
          </w:tcPr>
          <w:p>
            <w:pPr>
              <w:spacing w:after="40" w:before="40"/>
              <w:jc w:val="right"/>
            </w:pPr>
            <w:r/>
            <w:r>
              <w:rPr>
                <w:rFonts w:ascii="Calibri" w:hAnsi="Calibri"/>
                <w:b w:val="0"/>
                <w:sz w:val="19"/>
              </w:rPr>
              <w:t>$288,000</w:t>
            </w:r>
          </w:p>
        </w:tc>
      </w:tr>
    </w:tbl>
    <w:p>
      <w:pPr>
        <w:spacing w:after="40"/>
      </w:pPr>
    </w:p>
    <w:p>
      <w:pPr>
        <w:pStyle w:val="Heading2"/>
      </w:pPr>
      <w:r>
        <w:rPr>
          <w:rFonts w:ascii="Calibri" w:hAnsi="Calibri"/>
          <w:color w:val="2E7D8A"/>
          <w:sz w:val="25"/>
        </w:rPr>
        <w:t>Key financial and operational KPIs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744"/>
            <w:shd w:val="clear" w:color="auto" w:fill="1F3B4D"/>
          </w:tcPr>
          <w:p>
            <w:pPr>
              <w:spacing w:after="40" w:before="40"/>
            </w:pPr>
            <w:r/>
            <w:r>
              <w:rPr>
                <w:rFonts w:ascii="Calibri" w:hAnsi="Calibri"/>
                <w:b/>
                <w:color w:val="FFFFFF"/>
                <w:sz w:val="18"/>
              </w:rPr>
              <w:t>KPI</w:t>
            </w:r>
          </w:p>
        </w:tc>
        <w:tc>
          <w:tcPr>
            <w:tcW w:type="dxa" w:w="1368"/>
            <w:shd w:val="clear" w:color="auto" w:fill="1F3B4D"/>
          </w:tcPr>
          <w:p>
            <w:pPr>
              <w:spacing w:after="40" w:before="40"/>
              <w:jc w:val="center"/>
            </w:pPr>
            <w:r/>
            <w:r>
              <w:rPr>
                <w:rFonts w:ascii="Calibri" w:hAnsi="Calibri"/>
                <w:b/>
                <w:color w:val="FFFFFF"/>
                <w:sz w:val="18"/>
              </w:rPr>
              <w:t>2027</w:t>
            </w:r>
          </w:p>
        </w:tc>
        <w:tc>
          <w:tcPr>
            <w:tcW w:type="dxa" w:w="1368"/>
            <w:shd w:val="clear" w:color="auto" w:fill="1F3B4D"/>
          </w:tcPr>
          <w:p>
            <w:pPr>
              <w:spacing w:after="40" w:before="40"/>
              <w:jc w:val="center"/>
            </w:pPr>
            <w:r/>
            <w:r>
              <w:rPr>
                <w:rFonts w:ascii="Calibri" w:hAnsi="Calibri"/>
                <w:b/>
                <w:color w:val="FFFFFF"/>
                <w:sz w:val="18"/>
              </w:rPr>
              <w:t>2028</w:t>
            </w:r>
          </w:p>
        </w:tc>
        <w:tc>
          <w:tcPr>
            <w:tcW w:type="dxa" w:w="1368"/>
            <w:shd w:val="clear" w:color="auto" w:fill="1F3B4D"/>
          </w:tcPr>
          <w:p>
            <w:pPr>
              <w:spacing w:after="40" w:before="40"/>
              <w:jc w:val="center"/>
            </w:pPr>
            <w:r/>
            <w:r>
              <w:rPr>
                <w:rFonts w:ascii="Calibri" w:hAnsi="Calibri"/>
                <w:b/>
                <w:color w:val="FFFFFF"/>
                <w:sz w:val="18"/>
              </w:rPr>
              <w:t>2029</w:t>
            </w:r>
          </w:p>
        </w:tc>
        <w:tc>
          <w:tcPr>
            <w:tcW w:type="dxa" w:w="1368"/>
            <w:shd w:val="clear" w:color="auto" w:fill="1F3B4D"/>
          </w:tcPr>
          <w:p>
            <w:pPr>
              <w:spacing w:after="40" w:before="40"/>
              <w:jc w:val="center"/>
            </w:pPr>
            <w:r/>
            <w:r>
              <w:rPr>
                <w:rFonts w:ascii="Calibri" w:hAnsi="Calibri"/>
                <w:b/>
                <w:color w:val="FFFFFF"/>
                <w:sz w:val="18"/>
              </w:rPr>
              <w:t>2030</w:t>
            </w:r>
          </w:p>
        </w:tc>
        <w:tc>
          <w:tcPr>
            <w:tcW w:type="dxa" w:w="1368"/>
            <w:shd w:val="clear" w:color="auto" w:fill="1F3B4D"/>
          </w:tcPr>
          <w:p>
            <w:pPr>
              <w:spacing w:after="40" w:before="40"/>
              <w:jc w:val="center"/>
            </w:pPr>
            <w:r/>
            <w:r>
              <w:rPr>
                <w:rFonts w:ascii="Calibri" w:hAnsi="Calibri"/>
                <w:b/>
                <w:color w:val="FFFFFF"/>
                <w:sz w:val="18"/>
              </w:rPr>
              <w:t>2031</w:t>
            </w:r>
          </w:p>
        </w:tc>
      </w:tr>
      <w:tr>
        <w:tc>
          <w:tcPr>
            <w:tcW w:type="dxa" w:w="3744"/>
          </w:tcPr>
          <w:p>
            <w:pPr>
              <w:spacing w:after="40" w:before="40"/>
            </w:pPr>
            <w:r/>
            <w:r>
              <w:rPr>
                <w:rFonts w:ascii="Calibri" w:hAnsi="Calibri"/>
                <w:b w:val="0"/>
                <w:sz w:val="18"/>
              </w:rPr>
              <w:t>Revenue per employee</w:t>
            </w:r>
          </w:p>
        </w:tc>
        <w:tc>
          <w:tcPr>
            <w:tcW w:type="dxa" w:w="1368"/>
          </w:tcPr>
          <w:p>
            <w:pPr>
              <w:spacing w:after="40" w:before="40"/>
              <w:jc w:val="right"/>
            </w:pPr>
            <w:r/>
            <w:r>
              <w:rPr>
                <w:rFonts w:ascii="Calibri" w:hAnsi="Calibri"/>
                <w:b w:val="0"/>
                <w:sz w:val="18"/>
              </w:rPr>
              <w:t>$243,581</w:t>
            </w:r>
          </w:p>
        </w:tc>
        <w:tc>
          <w:tcPr>
            <w:tcW w:type="dxa" w:w="1368"/>
          </w:tcPr>
          <w:p>
            <w:pPr>
              <w:spacing w:after="40" w:before="40"/>
              <w:jc w:val="right"/>
            </w:pPr>
            <w:r/>
            <w:r>
              <w:rPr>
                <w:rFonts w:ascii="Calibri" w:hAnsi="Calibri"/>
                <w:b w:val="0"/>
                <w:sz w:val="18"/>
              </w:rPr>
              <w:t>$252,498</w:t>
            </w:r>
          </w:p>
        </w:tc>
        <w:tc>
          <w:tcPr>
            <w:tcW w:type="dxa" w:w="1368"/>
          </w:tcPr>
          <w:p>
            <w:pPr>
              <w:spacing w:after="40" w:before="40"/>
              <w:jc w:val="right"/>
            </w:pPr>
            <w:r/>
            <w:r>
              <w:rPr>
                <w:rFonts w:ascii="Calibri" w:hAnsi="Calibri"/>
                <w:b w:val="0"/>
                <w:sz w:val="18"/>
              </w:rPr>
              <w:t>$262,354</w:t>
            </w:r>
          </w:p>
        </w:tc>
        <w:tc>
          <w:tcPr>
            <w:tcW w:type="dxa" w:w="1368"/>
          </w:tcPr>
          <w:p>
            <w:pPr>
              <w:spacing w:after="40" w:before="40"/>
              <w:jc w:val="right"/>
            </w:pPr>
            <w:r/>
            <w:r>
              <w:rPr>
                <w:rFonts w:ascii="Calibri" w:hAnsi="Calibri"/>
                <w:b w:val="0"/>
                <w:sz w:val="18"/>
              </w:rPr>
              <w:t>$274,416</w:t>
            </w:r>
          </w:p>
        </w:tc>
        <w:tc>
          <w:tcPr>
            <w:tcW w:type="dxa" w:w="1368"/>
          </w:tcPr>
          <w:p>
            <w:pPr>
              <w:spacing w:after="40" w:before="40"/>
              <w:jc w:val="right"/>
            </w:pPr>
            <w:r/>
            <w:r>
              <w:rPr>
                <w:rFonts w:ascii="Calibri" w:hAnsi="Calibri"/>
                <w:b w:val="0"/>
                <w:sz w:val="18"/>
              </w:rPr>
              <w:t>$278,521</w:t>
            </w:r>
          </w:p>
        </w:tc>
      </w:tr>
      <w:tr>
        <w:tc>
          <w:tcPr>
            <w:tcW w:type="dxa" w:w="3744"/>
            <w:shd w:val="clear" w:color="auto" w:fill="F2F6FA"/>
          </w:tcPr>
          <w:p>
            <w:pPr>
              <w:spacing w:after="40" w:before="40"/>
            </w:pPr>
            <w:r/>
            <w:r>
              <w:rPr>
                <w:rFonts w:ascii="Calibri" w:hAnsi="Calibri"/>
                <w:b w:val="0"/>
                <w:sz w:val="18"/>
              </w:rPr>
              <w:t>EBITDA per subscriber ($/yr)</w:t>
            </w:r>
          </w:p>
        </w:tc>
        <w:tc>
          <w:tcPr>
            <w:tcW w:type="dxa" w:w="1368"/>
            <w:shd w:val="clear" w:color="auto" w:fill="F2F6FA"/>
          </w:tcPr>
          <w:p>
            <w:pPr>
              <w:spacing w:after="40" w:before="40"/>
              <w:jc w:val="right"/>
            </w:pPr>
            <w:r/>
            <w:r>
              <w:rPr>
                <w:rFonts w:ascii="Calibri" w:hAnsi="Calibri"/>
                <w:b w:val="0"/>
                <w:sz w:val="18"/>
              </w:rPr>
              <w:t>$48</w:t>
            </w:r>
          </w:p>
        </w:tc>
        <w:tc>
          <w:tcPr>
            <w:tcW w:type="dxa" w:w="1368"/>
            <w:shd w:val="clear" w:color="auto" w:fill="F2F6FA"/>
          </w:tcPr>
          <w:p>
            <w:pPr>
              <w:spacing w:after="40" w:before="40"/>
              <w:jc w:val="right"/>
            </w:pPr>
            <w:r/>
            <w:r>
              <w:rPr>
                <w:rFonts w:ascii="Calibri" w:hAnsi="Calibri"/>
                <w:b w:val="0"/>
                <w:sz w:val="18"/>
              </w:rPr>
              <w:t>$127</w:t>
            </w:r>
          </w:p>
        </w:tc>
        <w:tc>
          <w:tcPr>
            <w:tcW w:type="dxa" w:w="1368"/>
            <w:shd w:val="clear" w:color="auto" w:fill="F2F6FA"/>
          </w:tcPr>
          <w:p>
            <w:pPr>
              <w:spacing w:after="40" w:before="40"/>
              <w:jc w:val="right"/>
            </w:pPr>
            <w:r/>
            <w:r>
              <w:rPr>
                <w:rFonts w:ascii="Calibri" w:hAnsi="Calibri"/>
                <w:b w:val="0"/>
                <w:sz w:val="18"/>
              </w:rPr>
              <w:t>$183</w:t>
            </w:r>
          </w:p>
        </w:tc>
        <w:tc>
          <w:tcPr>
            <w:tcW w:type="dxa" w:w="1368"/>
            <w:shd w:val="clear" w:color="auto" w:fill="F2F6FA"/>
          </w:tcPr>
          <w:p>
            <w:pPr>
              <w:spacing w:after="40" w:before="40"/>
              <w:jc w:val="right"/>
            </w:pPr>
            <w:r/>
            <w:r>
              <w:rPr>
                <w:rFonts w:ascii="Calibri" w:hAnsi="Calibri"/>
                <w:b w:val="0"/>
                <w:sz w:val="18"/>
              </w:rPr>
              <w:t>$222</w:t>
            </w:r>
          </w:p>
        </w:tc>
        <w:tc>
          <w:tcPr>
            <w:tcW w:type="dxa" w:w="1368"/>
            <w:shd w:val="clear" w:color="auto" w:fill="F2F6FA"/>
          </w:tcPr>
          <w:p>
            <w:pPr>
              <w:spacing w:after="40" w:before="40"/>
              <w:jc w:val="right"/>
            </w:pPr>
            <w:r/>
            <w:r>
              <w:rPr>
                <w:rFonts w:ascii="Calibri" w:hAnsi="Calibri"/>
                <w:b w:val="0"/>
                <w:sz w:val="18"/>
              </w:rPr>
              <w:t>$242</w:t>
            </w:r>
          </w:p>
        </w:tc>
      </w:tr>
      <w:tr>
        <w:tc>
          <w:tcPr>
            <w:tcW w:type="dxa" w:w="3744"/>
          </w:tcPr>
          <w:p>
            <w:pPr>
              <w:spacing w:after="40" w:before="40"/>
            </w:pPr>
            <w:r/>
            <w:r>
              <w:rPr>
                <w:rFonts w:ascii="Calibri" w:hAnsi="Calibri"/>
                <w:b w:val="0"/>
                <w:sz w:val="18"/>
              </w:rPr>
              <w:t>Revenue per passing</w:t>
            </w:r>
          </w:p>
        </w:tc>
        <w:tc>
          <w:tcPr>
            <w:tcW w:type="dxa" w:w="1368"/>
          </w:tcPr>
          <w:p>
            <w:pPr>
              <w:spacing w:after="40" w:before="40"/>
              <w:jc w:val="right"/>
            </w:pPr>
            <w:r/>
            <w:r>
              <w:rPr>
                <w:rFonts w:ascii="Calibri" w:hAnsi="Calibri"/>
                <w:b w:val="0"/>
                <w:sz w:val="18"/>
              </w:rPr>
              <w:t>$300</w:t>
            </w:r>
          </w:p>
        </w:tc>
        <w:tc>
          <w:tcPr>
            <w:tcW w:type="dxa" w:w="1368"/>
          </w:tcPr>
          <w:p>
            <w:pPr>
              <w:spacing w:after="40" w:before="40"/>
              <w:jc w:val="right"/>
            </w:pPr>
            <w:r/>
            <w:r>
              <w:rPr>
                <w:rFonts w:ascii="Calibri" w:hAnsi="Calibri"/>
                <w:b w:val="0"/>
                <w:sz w:val="18"/>
              </w:rPr>
              <w:t>$305</w:t>
            </w:r>
          </w:p>
        </w:tc>
        <w:tc>
          <w:tcPr>
            <w:tcW w:type="dxa" w:w="1368"/>
          </w:tcPr>
          <w:p>
            <w:pPr>
              <w:spacing w:after="40" w:before="40"/>
              <w:jc w:val="right"/>
            </w:pPr>
            <w:r/>
            <w:r>
              <w:rPr>
                <w:rFonts w:ascii="Calibri" w:hAnsi="Calibri"/>
                <w:b w:val="0"/>
                <w:sz w:val="18"/>
              </w:rPr>
              <w:t>$316</w:t>
            </w:r>
          </w:p>
        </w:tc>
        <w:tc>
          <w:tcPr>
            <w:tcW w:type="dxa" w:w="1368"/>
          </w:tcPr>
          <w:p>
            <w:pPr>
              <w:spacing w:after="40" w:before="40"/>
              <w:jc w:val="right"/>
            </w:pPr>
            <w:r/>
            <w:r>
              <w:rPr>
                <w:rFonts w:ascii="Calibri" w:hAnsi="Calibri"/>
                <w:b w:val="0"/>
                <w:sz w:val="18"/>
              </w:rPr>
              <w:t>$325</w:t>
            </w:r>
          </w:p>
        </w:tc>
        <w:tc>
          <w:tcPr>
            <w:tcW w:type="dxa" w:w="1368"/>
          </w:tcPr>
          <w:p>
            <w:pPr>
              <w:spacing w:after="40" w:before="40"/>
              <w:jc w:val="right"/>
            </w:pPr>
            <w:r/>
            <w:r>
              <w:rPr>
                <w:rFonts w:ascii="Calibri" w:hAnsi="Calibri"/>
                <w:b w:val="0"/>
                <w:sz w:val="18"/>
              </w:rPr>
              <w:t>$328</w:t>
            </w:r>
          </w:p>
        </w:tc>
      </w:tr>
      <w:tr>
        <w:tc>
          <w:tcPr>
            <w:tcW w:type="dxa" w:w="3744"/>
            <w:shd w:val="clear" w:color="auto" w:fill="F2F6FA"/>
          </w:tcPr>
          <w:p>
            <w:pPr>
              <w:spacing w:after="40" w:before="40"/>
            </w:pPr>
            <w:r/>
            <w:r>
              <w:rPr>
                <w:rFonts w:ascii="Calibri" w:hAnsi="Calibri"/>
                <w:b w:val="0"/>
                <w:sz w:val="18"/>
              </w:rPr>
              <w:t>Capital cost per new customer</w:t>
            </w:r>
          </w:p>
        </w:tc>
        <w:tc>
          <w:tcPr>
            <w:tcW w:type="dxa" w:w="1368"/>
            <w:shd w:val="clear" w:color="auto" w:fill="F2F6FA"/>
          </w:tcPr>
          <w:p>
            <w:pPr>
              <w:spacing w:after="40" w:before="40"/>
              <w:jc w:val="right"/>
            </w:pPr>
            <w:r/>
            <w:r>
              <w:rPr>
                <w:rFonts w:ascii="Calibri" w:hAnsi="Calibri"/>
                <w:b w:val="0"/>
                <w:sz w:val="18"/>
              </w:rPr>
              <w:t>$7,086</w:t>
            </w:r>
          </w:p>
        </w:tc>
        <w:tc>
          <w:tcPr>
            <w:tcW w:type="dxa" w:w="1368"/>
            <w:shd w:val="clear" w:color="auto" w:fill="F2F6FA"/>
          </w:tcPr>
          <w:p>
            <w:pPr>
              <w:spacing w:after="40" w:before="40"/>
              <w:jc w:val="right"/>
            </w:pPr>
            <w:r/>
            <w:r>
              <w:rPr>
                <w:rFonts w:ascii="Calibri" w:hAnsi="Calibri"/>
                <w:b w:val="0"/>
                <w:sz w:val="18"/>
              </w:rPr>
              <w:t>$6,316</w:t>
            </w:r>
          </w:p>
        </w:tc>
        <w:tc>
          <w:tcPr>
            <w:tcW w:type="dxa" w:w="1368"/>
            <w:shd w:val="clear" w:color="auto" w:fill="F2F6FA"/>
          </w:tcPr>
          <w:p>
            <w:pPr>
              <w:spacing w:after="40" w:before="40"/>
              <w:jc w:val="right"/>
            </w:pPr>
            <w:r/>
            <w:r>
              <w:rPr>
                <w:rFonts w:ascii="Calibri" w:hAnsi="Calibri"/>
                <w:b w:val="0"/>
                <w:sz w:val="18"/>
              </w:rPr>
              <w:t>$6,653</w:t>
            </w:r>
          </w:p>
        </w:tc>
        <w:tc>
          <w:tcPr>
            <w:tcW w:type="dxa" w:w="1368"/>
            <w:shd w:val="clear" w:color="auto" w:fill="F2F6FA"/>
          </w:tcPr>
          <w:p>
            <w:pPr>
              <w:spacing w:after="40" w:before="40"/>
              <w:jc w:val="right"/>
            </w:pPr>
            <w:r/>
            <w:r>
              <w:rPr>
                <w:rFonts w:ascii="Calibri" w:hAnsi="Calibri"/>
                <w:b w:val="0"/>
                <w:sz w:val="18"/>
              </w:rPr>
              <w:t>$7,903</w:t>
            </w:r>
          </w:p>
        </w:tc>
        <w:tc>
          <w:tcPr>
            <w:tcW w:type="dxa" w:w="1368"/>
            <w:shd w:val="clear" w:color="auto" w:fill="F2F6FA"/>
          </w:tcPr>
          <w:p>
            <w:pPr>
              <w:spacing w:after="40" w:before="40"/>
              <w:jc w:val="right"/>
            </w:pPr>
            <w:r/>
            <w:r>
              <w:rPr>
                <w:rFonts w:ascii="Calibri" w:hAnsi="Calibri"/>
                <w:b w:val="0"/>
                <w:sz w:val="18"/>
              </w:rPr>
              <w:t>$10,245</w:t>
            </w:r>
          </w:p>
        </w:tc>
      </w:tr>
      <w:tr>
        <w:tc>
          <w:tcPr>
            <w:tcW w:type="dxa" w:w="3744"/>
          </w:tcPr>
          <w:p>
            <w:pPr>
              <w:spacing w:after="40" w:before="40"/>
            </w:pPr>
            <w:r/>
            <w:r>
              <w:rPr>
                <w:rFonts w:ascii="Calibri" w:hAnsi="Calibri"/>
                <w:b w:val="0"/>
                <w:sz w:val="18"/>
              </w:rPr>
              <w:t>Blended ARPU (recurring, $/mo)</w:t>
            </w:r>
          </w:p>
        </w:tc>
        <w:tc>
          <w:tcPr>
            <w:tcW w:type="dxa" w:w="1368"/>
          </w:tcPr>
          <w:p>
            <w:pPr>
              <w:spacing w:after="40" w:before="40"/>
              <w:jc w:val="right"/>
            </w:pPr>
            <w:r/>
            <w:r>
              <w:rPr>
                <w:rFonts w:ascii="Calibri" w:hAnsi="Calibri"/>
                <w:b w:val="0"/>
                <w:sz w:val="18"/>
              </w:rPr>
              <w:t>$75.20</w:t>
            </w:r>
          </w:p>
        </w:tc>
        <w:tc>
          <w:tcPr>
            <w:tcW w:type="dxa" w:w="1368"/>
          </w:tcPr>
          <w:p>
            <w:pPr>
              <w:spacing w:after="40" w:before="40"/>
              <w:jc w:val="right"/>
            </w:pPr>
            <w:r/>
            <w:r>
              <w:rPr>
                <w:rFonts w:ascii="Calibri" w:hAnsi="Calibri"/>
                <w:b w:val="0"/>
                <w:sz w:val="18"/>
              </w:rPr>
              <w:t>$76.55</w:t>
            </w:r>
          </w:p>
        </w:tc>
        <w:tc>
          <w:tcPr>
            <w:tcW w:type="dxa" w:w="1368"/>
          </w:tcPr>
          <w:p>
            <w:pPr>
              <w:spacing w:after="40" w:before="40"/>
              <w:jc w:val="right"/>
            </w:pPr>
            <w:r/>
            <w:r>
              <w:rPr>
                <w:rFonts w:ascii="Calibri" w:hAnsi="Calibri"/>
                <w:b w:val="0"/>
                <w:sz w:val="18"/>
              </w:rPr>
              <w:t>$78.05</w:t>
            </w:r>
          </w:p>
        </w:tc>
        <w:tc>
          <w:tcPr>
            <w:tcW w:type="dxa" w:w="1368"/>
          </w:tcPr>
          <w:p>
            <w:pPr>
              <w:spacing w:after="40" w:before="40"/>
              <w:jc w:val="right"/>
            </w:pPr>
            <w:r/>
            <w:r>
              <w:rPr>
                <w:rFonts w:ascii="Calibri" w:hAnsi="Calibri"/>
                <w:b w:val="0"/>
                <w:sz w:val="18"/>
              </w:rPr>
              <w:t>$79.68</w:t>
            </w:r>
          </w:p>
        </w:tc>
        <w:tc>
          <w:tcPr>
            <w:tcW w:type="dxa" w:w="1368"/>
          </w:tcPr>
          <w:p>
            <w:pPr>
              <w:spacing w:after="40" w:before="40"/>
              <w:jc w:val="right"/>
            </w:pPr>
            <w:r/>
            <w:r>
              <w:rPr>
                <w:rFonts w:ascii="Calibri" w:hAnsi="Calibri"/>
                <w:b w:val="0"/>
                <w:sz w:val="18"/>
              </w:rPr>
              <w:t>$81.39</w:t>
            </w:r>
          </w:p>
        </w:tc>
      </w:tr>
    </w:tbl>
    <w:p>
      <w:pPr>
        <w:spacing w:after="40"/>
      </w:pPr>
    </w:p>
    <w:p>
      <w:pPr>
        <w:pStyle w:val="Heading2"/>
      </w:pPr>
      <w:r>
        <w:rPr>
          <w:rFonts w:ascii="Calibri" w:hAnsi="Calibri"/>
          <w:color w:val="2E7D8A"/>
          <w:sz w:val="25"/>
        </w:rPr>
        <w:t>Break-even analysis</w:t>
      </w:r>
    </w:p>
    <w:p>
      <w:pPr>
        <w:pStyle w:val="ListBullet"/>
        <w:spacing w:after="60"/>
      </w:pPr>
      <w:r>
        <w:rPr>
          <w:b/>
        </w:rPr>
        <w:t xml:space="preserve">EBITDA break-even: </w:t>
      </w:r>
      <w:r>
        <w:t xml:space="preserve"> The current position is roughly EBITDA break-even (a slight operating loss). The Base Case crosses to positive EBITDA in 2027 and scales the margin to the mid-20s% by 2031.</w:t>
      </w:r>
    </w:p>
    <w:p>
      <w:pPr>
        <w:pStyle w:val="ListBullet"/>
        <w:spacing w:after="60"/>
      </w:pPr>
      <w:r>
        <w:rPr>
          <w:b/>
        </w:rPr>
        <w:t xml:space="preserve">Net income: </w:t>
      </w:r>
      <w:r>
        <w:t xml:space="preserve"> GAAP net income is positive early (grant-supported) but is pressured in later years by rising, non-cash depreciation on the growing $50M plant. This is expected during a heavy fiber build; the business is funded by the capital program and grant reimbursement.</w:t>
      </w:r>
    </w:p>
    <w:p>
      <w:pPr>
        <w:pStyle w:val="ListBullet"/>
        <w:spacing w:after="60"/>
      </w:pPr>
      <w:r>
        <w:rPr>
          <w:b/>
        </w:rPr>
        <w:t xml:space="preserve">Free-cash-flow break-even: </w:t>
      </w:r>
      <w:r>
        <w:t xml:space="preserve"> Reached beyond the five-year horizon; sustained fiber-build capital and interest exceed EBITDA during the plan. Grant reimbursement (~$1.5–2.5M/yr) offsets a meaningful share of capex.</w:t>
      </w:r>
    </w:p>
    <w:p>
      <w:r>
        <w:br w:type="page"/>
      </w:r>
    </w:p>
    <w:p>
      <w:pPr>
        <w:pStyle w:val="Heading1"/>
      </w:pPr>
      <w:r>
        <w:rPr>
          <w:rFonts w:ascii="Calibri" w:hAnsi="Calibri"/>
          <w:color w:val="1F3B4D"/>
          <w:sz w:val="32"/>
        </w:rPr>
        <w:t>11. Scenario Analysis</w:t>
      </w:r>
    </w:p>
    <w:p>
      <w:pPr>
        <w:spacing w:after="120"/>
      </w:pPr>
      <w:r>
        <w:rPr>
          <w:i w:val="0"/>
          <w:sz w:val="21"/>
        </w:rPr>
        <w:t>Three complete scenarios bracket the plan. The Base Case is the recommended operating plan; the Conservative and Aggressive cases stress the drivers in each direction.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032"/>
            <w:shd w:val="clear" w:color="auto" w:fill="1F3B4D"/>
          </w:tcPr>
          <w:p>
            <w:pPr>
              <w:spacing w:after="40" w:before="40"/>
            </w:pPr>
            <w:r/>
            <w:r>
              <w:rPr>
                <w:rFonts w:ascii="Calibri" w:hAnsi="Calibri"/>
                <w:b/>
                <w:color w:val="FFFFFF"/>
                <w:sz w:val="19"/>
              </w:rPr>
              <w:t>5-Year metric</w:t>
            </w:r>
          </w:p>
        </w:tc>
        <w:tc>
          <w:tcPr>
            <w:tcW w:type="dxa" w:w="1944"/>
            <w:shd w:val="clear" w:color="auto" w:fill="1F3B4D"/>
          </w:tcPr>
          <w:p>
            <w:pPr>
              <w:spacing w:after="40" w:before="40"/>
              <w:jc w:val="center"/>
            </w:pPr>
            <w:r/>
            <w:r>
              <w:rPr>
                <w:rFonts w:ascii="Calibri" w:hAnsi="Calibri"/>
                <w:b/>
                <w:color w:val="FFFFFF"/>
                <w:sz w:val="19"/>
              </w:rPr>
              <w:t>Conservative</w:t>
            </w:r>
          </w:p>
        </w:tc>
        <w:tc>
          <w:tcPr>
            <w:tcW w:type="dxa" w:w="1944"/>
            <w:shd w:val="clear" w:color="auto" w:fill="1F3B4D"/>
          </w:tcPr>
          <w:p>
            <w:pPr>
              <w:spacing w:after="40" w:before="40"/>
              <w:jc w:val="center"/>
            </w:pPr>
            <w:r/>
            <w:r>
              <w:rPr>
                <w:rFonts w:ascii="Calibri" w:hAnsi="Calibri"/>
                <w:b/>
                <w:color w:val="FFFFFF"/>
                <w:sz w:val="19"/>
              </w:rPr>
              <w:t>Base</w:t>
            </w:r>
          </w:p>
        </w:tc>
        <w:tc>
          <w:tcPr>
            <w:tcW w:type="dxa" w:w="1944"/>
            <w:shd w:val="clear" w:color="auto" w:fill="1F3B4D"/>
          </w:tcPr>
          <w:p>
            <w:pPr>
              <w:spacing w:after="40" w:before="40"/>
              <w:jc w:val="center"/>
            </w:pPr>
            <w:r/>
            <w:r>
              <w:rPr>
                <w:rFonts w:ascii="Calibri" w:hAnsi="Calibri"/>
                <w:b/>
                <w:color w:val="FFFFFF"/>
                <w:sz w:val="19"/>
              </w:rPr>
              <w:t>Aggressive</w:t>
            </w:r>
          </w:p>
        </w:tc>
      </w:tr>
      <w:tr>
        <w:tc>
          <w:tcPr>
            <w:tcW w:type="dxa" w:w="4032"/>
          </w:tcPr>
          <w:p>
            <w:pPr>
              <w:spacing w:after="40" w:before="40"/>
            </w:pPr>
            <w:r/>
            <w:r>
              <w:rPr>
                <w:rFonts w:ascii="Calibri" w:hAnsi="Calibri"/>
                <w:b w:val="0"/>
                <w:sz w:val="19"/>
              </w:rPr>
              <w:t>Total revenue</w:t>
            </w:r>
          </w:p>
        </w:tc>
        <w:tc>
          <w:tcPr>
            <w:tcW w:type="dxa" w:w="1944"/>
          </w:tcPr>
          <w:p>
            <w:pPr>
              <w:spacing w:after="40" w:before="40"/>
              <w:jc w:val="right"/>
            </w:pPr>
            <w:r/>
            <w:r>
              <w:rPr>
                <w:rFonts w:ascii="Calibri" w:hAnsi="Calibri"/>
                <w:b w:val="0"/>
                <w:sz w:val="19"/>
              </w:rPr>
              <w:t>$32.6M</w:t>
            </w:r>
          </w:p>
        </w:tc>
        <w:tc>
          <w:tcPr>
            <w:tcW w:type="dxa" w:w="1944"/>
          </w:tcPr>
          <w:p>
            <w:pPr>
              <w:spacing w:after="40" w:before="40"/>
              <w:jc w:val="right"/>
            </w:pPr>
            <w:r/>
            <w:r>
              <w:rPr>
                <w:rFonts w:ascii="Calibri" w:hAnsi="Calibri"/>
                <w:b w:val="0"/>
                <w:sz w:val="19"/>
              </w:rPr>
              <w:t>$40.3M</w:t>
            </w:r>
          </w:p>
        </w:tc>
        <w:tc>
          <w:tcPr>
            <w:tcW w:type="dxa" w:w="1944"/>
          </w:tcPr>
          <w:p>
            <w:pPr>
              <w:spacing w:after="40" w:before="40"/>
              <w:jc w:val="right"/>
            </w:pPr>
            <w:r/>
            <w:r>
              <w:rPr>
                <w:rFonts w:ascii="Calibri" w:hAnsi="Calibri"/>
                <w:b w:val="0"/>
                <w:sz w:val="19"/>
              </w:rPr>
              <w:t>$50.6M</w:t>
            </w:r>
          </w:p>
        </w:tc>
      </w:tr>
      <w:tr>
        <w:tc>
          <w:tcPr>
            <w:tcW w:type="dxa" w:w="4032"/>
            <w:shd w:val="clear" w:color="auto" w:fill="F2F6FA"/>
          </w:tcPr>
          <w:p>
            <w:pPr>
              <w:spacing w:after="40" w:before="40"/>
            </w:pPr>
            <w:r/>
            <w:r>
              <w:rPr>
                <w:rFonts w:ascii="Calibri" w:hAnsi="Calibri"/>
                <w:b w:val="0"/>
                <w:sz w:val="19"/>
              </w:rPr>
              <w:t>Total operating expense</w:t>
            </w:r>
          </w:p>
        </w:tc>
        <w:tc>
          <w:tcPr>
            <w:tcW w:type="dxa" w:w="1944"/>
            <w:shd w:val="clear" w:color="auto" w:fill="F2F6FA"/>
          </w:tcPr>
          <w:p>
            <w:pPr>
              <w:spacing w:after="40" w:before="40"/>
              <w:jc w:val="right"/>
            </w:pPr>
            <w:r/>
            <w:r>
              <w:rPr>
                <w:rFonts w:ascii="Calibri" w:hAnsi="Calibri"/>
                <w:b w:val="0"/>
                <w:sz w:val="19"/>
              </w:rPr>
              <w:t>$31.9M</w:t>
            </w:r>
          </w:p>
        </w:tc>
        <w:tc>
          <w:tcPr>
            <w:tcW w:type="dxa" w:w="1944"/>
            <w:shd w:val="clear" w:color="auto" w:fill="F2F6FA"/>
          </w:tcPr>
          <w:p>
            <w:pPr>
              <w:spacing w:after="40" w:before="40"/>
              <w:jc w:val="right"/>
            </w:pPr>
            <w:r/>
            <w:r>
              <w:rPr>
                <w:rFonts w:ascii="Calibri" w:hAnsi="Calibri"/>
                <w:b w:val="0"/>
                <w:sz w:val="19"/>
              </w:rPr>
              <w:t>$32.7M</w:t>
            </w:r>
          </w:p>
        </w:tc>
        <w:tc>
          <w:tcPr>
            <w:tcW w:type="dxa" w:w="1944"/>
            <w:shd w:val="clear" w:color="auto" w:fill="F2F6FA"/>
          </w:tcPr>
          <w:p>
            <w:pPr>
              <w:spacing w:after="40" w:before="40"/>
              <w:jc w:val="right"/>
            </w:pPr>
            <w:r/>
            <w:r>
              <w:rPr>
                <w:rFonts w:ascii="Calibri" w:hAnsi="Calibri"/>
                <w:b w:val="0"/>
                <w:sz w:val="19"/>
              </w:rPr>
              <w:t>$35.9M</w:t>
            </w:r>
          </w:p>
        </w:tc>
      </w:tr>
      <w:tr>
        <w:tc>
          <w:tcPr>
            <w:tcW w:type="dxa" w:w="4032"/>
          </w:tcPr>
          <w:p>
            <w:pPr>
              <w:spacing w:after="40" w:before="40"/>
            </w:pPr>
            <w:r/>
            <w:r>
              <w:rPr>
                <w:rFonts w:ascii="Calibri" w:hAnsi="Calibri"/>
                <w:b w:val="0"/>
                <w:sz w:val="19"/>
              </w:rPr>
              <w:t>Total EBITDA</w:t>
            </w:r>
          </w:p>
        </w:tc>
        <w:tc>
          <w:tcPr>
            <w:tcW w:type="dxa" w:w="1944"/>
          </w:tcPr>
          <w:p>
            <w:pPr>
              <w:spacing w:after="40" w:before="40"/>
              <w:jc w:val="right"/>
            </w:pPr>
            <w:r/>
            <w:r>
              <w:rPr>
                <w:rFonts w:ascii="Calibri" w:hAnsi="Calibri"/>
                <w:b w:val="0"/>
                <w:sz w:val="19"/>
              </w:rPr>
              <w:t>$0.7M</w:t>
            </w:r>
          </w:p>
        </w:tc>
        <w:tc>
          <w:tcPr>
            <w:tcW w:type="dxa" w:w="1944"/>
          </w:tcPr>
          <w:p>
            <w:pPr>
              <w:spacing w:after="40" w:before="40"/>
              <w:jc w:val="right"/>
            </w:pPr>
            <w:r/>
            <w:r>
              <w:rPr>
                <w:rFonts w:ascii="Calibri" w:hAnsi="Calibri"/>
                <w:b w:val="0"/>
                <w:sz w:val="19"/>
              </w:rPr>
              <w:t>$7.5M</w:t>
            </w:r>
          </w:p>
        </w:tc>
        <w:tc>
          <w:tcPr>
            <w:tcW w:type="dxa" w:w="1944"/>
          </w:tcPr>
          <w:p>
            <w:pPr>
              <w:spacing w:after="40" w:before="40"/>
              <w:jc w:val="right"/>
            </w:pPr>
            <w:r/>
            <w:r>
              <w:rPr>
                <w:rFonts w:ascii="Calibri" w:hAnsi="Calibri"/>
                <w:b w:val="0"/>
                <w:sz w:val="19"/>
              </w:rPr>
              <w:t>$14.7M</w:t>
            </w:r>
          </w:p>
        </w:tc>
      </w:tr>
      <w:tr>
        <w:tc>
          <w:tcPr>
            <w:tcW w:type="dxa" w:w="4032"/>
            <w:shd w:val="clear" w:color="auto" w:fill="F2F6FA"/>
          </w:tcPr>
          <w:p>
            <w:pPr>
              <w:spacing w:after="40" w:before="40"/>
            </w:pPr>
            <w:r/>
            <w:r>
              <w:rPr>
                <w:rFonts w:ascii="Calibri" w:hAnsi="Calibri"/>
                <w:b w:val="0"/>
                <w:sz w:val="19"/>
              </w:rPr>
              <w:t>EBITDA margin (2031)</w:t>
            </w:r>
          </w:p>
        </w:tc>
        <w:tc>
          <w:tcPr>
            <w:tcW w:type="dxa" w:w="1944"/>
            <w:shd w:val="clear" w:color="auto" w:fill="F2F6FA"/>
          </w:tcPr>
          <w:p>
            <w:pPr>
              <w:spacing w:after="40" w:before="40"/>
              <w:jc w:val="right"/>
            </w:pPr>
            <w:r/>
            <w:r>
              <w:rPr>
                <w:rFonts w:ascii="Calibri" w:hAnsi="Calibri"/>
                <w:b w:val="0"/>
                <w:sz w:val="19"/>
              </w:rPr>
              <w:t>3.8%</w:t>
            </w:r>
          </w:p>
        </w:tc>
        <w:tc>
          <w:tcPr>
            <w:tcW w:type="dxa" w:w="1944"/>
            <w:shd w:val="clear" w:color="auto" w:fill="F2F6FA"/>
          </w:tcPr>
          <w:p>
            <w:pPr>
              <w:spacing w:after="40" w:before="40"/>
              <w:jc w:val="right"/>
            </w:pPr>
            <w:r/>
            <w:r>
              <w:rPr>
                <w:rFonts w:ascii="Calibri" w:hAnsi="Calibri"/>
                <w:b w:val="0"/>
                <w:sz w:val="19"/>
              </w:rPr>
              <w:t>24.4%</w:t>
            </w:r>
          </w:p>
        </w:tc>
        <w:tc>
          <w:tcPr>
            <w:tcW w:type="dxa" w:w="1944"/>
            <w:shd w:val="clear" w:color="auto" w:fill="F2F6FA"/>
          </w:tcPr>
          <w:p>
            <w:pPr>
              <w:spacing w:after="40" w:before="40"/>
              <w:jc w:val="right"/>
            </w:pPr>
            <w:r/>
            <w:r>
              <w:rPr>
                <w:rFonts w:ascii="Calibri" w:hAnsi="Calibri"/>
                <w:b w:val="0"/>
                <w:sz w:val="19"/>
              </w:rPr>
              <w:t>35.5%</w:t>
            </w:r>
          </w:p>
        </w:tc>
      </w:tr>
      <w:tr>
        <w:tc>
          <w:tcPr>
            <w:tcW w:type="dxa" w:w="4032"/>
          </w:tcPr>
          <w:p>
            <w:pPr>
              <w:spacing w:after="40" w:before="40"/>
            </w:pPr>
            <w:r/>
            <w:r>
              <w:rPr>
                <w:rFonts w:ascii="Calibri" w:hAnsi="Calibri"/>
                <w:b w:val="0"/>
                <w:sz w:val="19"/>
              </w:rPr>
              <w:t>Capital deployed</w:t>
            </w:r>
          </w:p>
        </w:tc>
        <w:tc>
          <w:tcPr>
            <w:tcW w:type="dxa" w:w="1944"/>
          </w:tcPr>
          <w:p>
            <w:pPr>
              <w:spacing w:after="40" w:before="40"/>
              <w:jc w:val="right"/>
            </w:pPr>
            <w:r/>
            <w:r>
              <w:rPr>
                <w:rFonts w:ascii="Calibri" w:hAnsi="Calibri"/>
                <w:b w:val="0"/>
                <w:sz w:val="19"/>
              </w:rPr>
              <w:t>$44.5M</w:t>
            </w:r>
          </w:p>
        </w:tc>
        <w:tc>
          <w:tcPr>
            <w:tcW w:type="dxa" w:w="1944"/>
          </w:tcPr>
          <w:p>
            <w:pPr>
              <w:spacing w:after="40" w:before="40"/>
              <w:jc w:val="right"/>
            </w:pPr>
            <w:r/>
            <w:r>
              <w:rPr>
                <w:rFonts w:ascii="Calibri" w:hAnsi="Calibri"/>
                <w:b w:val="0"/>
                <w:sz w:val="19"/>
              </w:rPr>
              <w:t>$48.9M</w:t>
            </w:r>
          </w:p>
        </w:tc>
        <w:tc>
          <w:tcPr>
            <w:tcW w:type="dxa" w:w="1944"/>
          </w:tcPr>
          <w:p>
            <w:pPr>
              <w:spacing w:after="40" w:before="40"/>
              <w:jc w:val="right"/>
            </w:pPr>
            <w:r/>
            <w:r>
              <w:rPr>
                <w:rFonts w:ascii="Calibri" w:hAnsi="Calibri"/>
                <w:b w:val="0"/>
                <w:sz w:val="19"/>
              </w:rPr>
              <w:t>$50.0M</w:t>
            </w:r>
          </w:p>
        </w:tc>
      </w:tr>
      <w:tr>
        <w:tc>
          <w:tcPr>
            <w:tcW w:type="dxa" w:w="4032"/>
            <w:shd w:val="clear" w:color="auto" w:fill="F2F6FA"/>
          </w:tcPr>
          <w:p>
            <w:pPr>
              <w:spacing w:after="40" w:before="40"/>
            </w:pPr>
            <w:r/>
            <w:r>
              <w:rPr>
                <w:rFonts w:ascii="Calibri" w:hAnsi="Calibri"/>
                <w:b w:val="0"/>
                <w:sz w:val="19"/>
              </w:rPr>
              <w:t>Ending subscribers (2031)</w:t>
            </w:r>
          </w:p>
        </w:tc>
        <w:tc>
          <w:tcPr>
            <w:tcW w:type="dxa" w:w="1944"/>
            <w:shd w:val="clear" w:color="auto" w:fill="F2F6FA"/>
          </w:tcPr>
          <w:p>
            <w:pPr>
              <w:spacing w:after="40" w:before="40"/>
              <w:jc w:val="right"/>
            </w:pPr>
            <w:r/>
            <w:r>
              <w:rPr>
                <w:rFonts w:ascii="Calibri" w:hAnsi="Calibri"/>
                <w:b w:val="0"/>
                <w:sz w:val="19"/>
              </w:rPr>
              <w:t>8,459</w:t>
            </w:r>
          </w:p>
        </w:tc>
        <w:tc>
          <w:tcPr>
            <w:tcW w:type="dxa" w:w="1944"/>
            <w:shd w:val="clear" w:color="auto" w:fill="F2F6FA"/>
          </w:tcPr>
          <w:p>
            <w:pPr>
              <w:spacing w:after="40" w:before="40"/>
              <w:jc w:val="right"/>
            </w:pPr>
            <w:r/>
            <w:r>
              <w:rPr>
                <w:rFonts w:ascii="Calibri" w:hAnsi="Calibri"/>
                <w:b w:val="0"/>
                <w:sz w:val="19"/>
              </w:rPr>
              <w:t>11,425</w:t>
            </w:r>
          </w:p>
        </w:tc>
        <w:tc>
          <w:tcPr>
            <w:tcW w:type="dxa" w:w="1944"/>
            <w:shd w:val="clear" w:color="auto" w:fill="F2F6FA"/>
          </w:tcPr>
          <w:p>
            <w:pPr>
              <w:spacing w:after="40" w:before="40"/>
              <w:jc w:val="right"/>
            </w:pPr>
            <w:r/>
            <w:r>
              <w:rPr>
                <w:rFonts w:ascii="Calibri" w:hAnsi="Calibri"/>
                <w:b w:val="0"/>
                <w:sz w:val="19"/>
              </w:rPr>
              <w:t>14,996</w:t>
            </w:r>
          </w:p>
        </w:tc>
      </w:tr>
      <w:tr>
        <w:tc>
          <w:tcPr>
            <w:tcW w:type="dxa" w:w="4032"/>
          </w:tcPr>
          <w:p>
            <w:pPr>
              <w:spacing w:after="40" w:before="40"/>
            </w:pPr>
            <w:r/>
            <w:r>
              <w:rPr>
                <w:rFonts w:ascii="Calibri" w:hAnsi="Calibri"/>
                <w:b w:val="0"/>
                <w:sz w:val="19"/>
              </w:rPr>
              <w:t>Ending employees (2031)</w:t>
            </w:r>
          </w:p>
        </w:tc>
        <w:tc>
          <w:tcPr>
            <w:tcW w:type="dxa" w:w="1944"/>
          </w:tcPr>
          <w:p>
            <w:pPr>
              <w:spacing w:after="40" w:before="40"/>
              <w:jc w:val="right"/>
            </w:pPr>
            <w:r/>
            <w:r>
              <w:rPr>
                <w:rFonts w:ascii="Calibri" w:hAnsi="Calibri"/>
                <w:b w:val="0"/>
                <w:sz w:val="19"/>
              </w:rPr>
              <w:t>33</w:t>
            </w:r>
          </w:p>
        </w:tc>
        <w:tc>
          <w:tcPr>
            <w:tcW w:type="dxa" w:w="1944"/>
          </w:tcPr>
          <w:p>
            <w:pPr>
              <w:spacing w:after="40" w:before="40"/>
              <w:jc w:val="right"/>
            </w:pPr>
            <w:r/>
            <w:r>
              <w:rPr>
                <w:rFonts w:ascii="Calibri" w:hAnsi="Calibri"/>
                <w:b w:val="0"/>
                <w:sz w:val="19"/>
              </w:rPr>
              <w:t>39</w:t>
            </w:r>
          </w:p>
        </w:tc>
        <w:tc>
          <w:tcPr>
            <w:tcW w:type="dxa" w:w="1944"/>
          </w:tcPr>
          <w:p>
            <w:pPr>
              <w:spacing w:after="40" w:before="40"/>
              <w:jc w:val="right"/>
            </w:pPr>
            <w:r/>
            <w:r>
              <w:rPr>
                <w:rFonts w:ascii="Calibri" w:hAnsi="Calibri"/>
                <w:b w:val="0"/>
                <w:sz w:val="19"/>
              </w:rPr>
              <w:t>45</w:t>
            </w:r>
          </w:p>
        </w:tc>
      </w:tr>
      <w:tr>
        <w:tc>
          <w:tcPr>
            <w:tcW w:type="dxa" w:w="4032"/>
            <w:shd w:val="clear" w:color="auto" w:fill="F2F6FA"/>
          </w:tcPr>
          <w:p>
            <w:pPr>
              <w:spacing w:after="40" w:before="40"/>
            </w:pPr>
            <w:r/>
            <w:r>
              <w:rPr>
                <w:rFonts w:ascii="Calibri" w:hAnsi="Calibri"/>
                <w:b w:val="0"/>
                <w:sz w:val="19"/>
              </w:rPr>
              <w:t>Free cash flow (5-yr, pre-financing)</w:t>
            </w:r>
          </w:p>
        </w:tc>
        <w:tc>
          <w:tcPr>
            <w:tcW w:type="dxa" w:w="1944"/>
            <w:shd w:val="clear" w:color="auto" w:fill="F2F6FA"/>
          </w:tcPr>
          <w:p>
            <w:pPr>
              <w:spacing w:after="40" w:before="40"/>
              <w:jc w:val="right"/>
            </w:pPr>
            <w:r/>
            <w:r>
              <w:rPr>
                <w:rFonts w:ascii="Calibri" w:hAnsi="Calibri"/>
                <w:b w:val="0"/>
                <w:sz w:val="19"/>
              </w:rPr>
              <w:t>$-46.0M</w:t>
            </w:r>
          </w:p>
        </w:tc>
        <w:tc>
          <w:tcPr>
            <w:tcW w:type="dxa" w:w="1944"/>
            <w:shd w:val="clear" w:color="auto" w:fill="F2F6FA"/>
          </w:tcPr>
          <w:p>
            <w:pPr>
              <w:spacing w:after="40" w:before="40"/>
              <w:jc w:val="right"/>
            </w:pPr>
            <w:r/>
            <w:r>
              <w:rPr>
                <w:rFonts w:ascii="Calibri" w:hAnsi="Calibri"/>
                <w:b w:val="0"/>
                <w:sz w:val="19"/>
              </w:rPr>
              <w:t>$-43.6M</w:t>
            </w:r>
          </w:p>
        </w:tc>
        <w:tc>
          <w:tcPr>
            <w:tcW w:type="dxa" w:w="1944"/>
            <w:shd w:val="clear" w:color="auto" w:fill="F2F6FA"/>
          </w:tcPr>
          <w:p>
            <w:pPr>
              <w:spacing w:after="40" w:before="40"/>
              <w:jc w:val="right"/>
            </w:pPr>
            <w:r/>
            <w:r>
              <w:rPr>
                <w:rFonts w:ascii="Calibri" w:hAnsi="Calibri"/>
                <w:b w:val="0"/>
                <w:sz w:val="19"/>
              </w:rPr>
              <w:t>$-37.5M</w:t>
            </w:r>
          </w:p>
        </w:tc>
      </w:tr>
      <w:tr>
        <w:tc>
          <w:tcPr>
            <w:tcW w:type="dxa" w:w="4032"/>
          </w:tcPr>
          <w:p>
            <w:pPr>
              <w:spacing w:after="40" w:before="40"/>
            </w:pPr>
            <w:r/>
            <w:r>
              <w:rPr>
                <w:rFonts w:ascii="Calibri" w:hAnsi="Calibri"/>
                <w:b w:val="0"/>
                <w:sz w:val="19"/>
              </w:rPr>
              <w:t>Capital cost per net new sub</w:t>
            </w:r>
          </w:p>
        </w:tc>
        <w:tc>
          <w:tcPr>
            <w:tcW w:type="dxa" w:w="1944"/>
          </w:tcPr>
          <w:p>
            <w:pPr>
              <w:spacing w:after="40" w:before="40"/>
              <w:jc w:val="right"/>
            </w:pPr>
            <w:r/>
            <w:r>
              <w:rPr>
                <w:rFonts w:ascii="Calibri" w:hAnsi="Calibri"/>
                <w:b w:val="0"/>
                <w:sz w:val="19"/>
              </w:rPr>
              <w:t>$12,246</w:t>
            </w:r>
          </w:p>
        </w:tc>
        <w:tc>
          <w:tcPr>
            <w:tcW w:type="dxa" w:w="1944"/>
          </w:tcPr>
          <w:p>
            <w:pPr>
              <w:spacing w:after="40" w:before="40"/>
              <w:jc w:val="right"/>
            </w:pPr>
            <w:r/>
            <w:r>
              <w:rPr>
                <w:rFonts w:ascii="Calibri" w:hAnsi="Calibri"/>
                <w:b w:val="0"/>
                <w:sz w:val="19"/>
              </w:rPr>
              <w:t>$7,414</w:t>
            </w:r>
          </w:p>
        </w:tc>
        <w:tc>
          <w:tcPr>
            <w:tcW w:type="dxa" w:w="1944"/>
          </w:tcPr>
          <w:p>
            <w:pPr>
              <w:spacing w:after="40" w:before="40"/>
              <w:jc w:val="right"/>
            </w:pPr>
            <w:r/>
            <w:r>
              <w:rPr>
                <w:rFonts w:ascii="Calibri" w:hAnsi="Calibri"/>
                <w:b w:val="0"/>
                <w:sz w:val="19"/>
              </w:rPr>
              <w:t>$4,915</w:t>
            </w:r>
          </w:p>
        </w:tc>
      </w:tr>
    </w:tbl>
    <w:p>
      <w:pPr>
        <w:spacing w:after="40"/>
      </w:pPr>
    </w:p>
    <w:p>
      <w:pPr>
        <w:pStyle w:val="Heading2"/>
      </w:pPr>
      <w:r>
        <w:rPr>
          <w:rFonts w:ascii="Calibri" w:hAnsi="Calibri"/>
          <w:color w:val="2E7D8A"/>
          <w:sz w:val="25"/>
        </w:rPr>
        <w:t>Scenario assumptions and major risks</w:t>
      </w:r>
    </w:p>
    <w:p>
      <w:pPr>
        <w:pStyle w:val="ListBullet"/>
        <w:spacing w:after="60"/>
      </w:pPr>
      <w:r>
        <w:rPr>
          <w:b/>
        </w:rPr>
        <w:t xml:space="preserve">Conservative: </w:t>
      </w:r>
      <w:r>
        <w:t xml:space="preserve"> Slower subscriber growth, lower take rate, higher churn, higher construction cost, slower capital deployment, greater opex pressure. Risk: revenue undershoot pressures margins and capital efficiency (cost per net sub ~$12,200).</w:t>
      </w:r>
    </w:p>
    <w:p>
      <w:pPr>
        <w:pStyle w:val="ListBullet"/>
        <w:spacing w:after="60"/>
      </w:pPr>
      <w:r>
        <w:rPr>
          <w:b/>
        </w:rPr>
        <w:t xml:space="preserve">Base: </w:t>
      </w:r>
      <w:r>
        <w:t xml:space="preserve"> Realistic management forecast; disciplined annual capital deployment; moderate subscriber and revenue growth; staffing added as triggers are reached.</w:t>
      </w:r>
    </w:p>
    <w:p>
      <w:pPr>
        <w:pStyle w:val="ListBullet"/>
        <w:spacing w:after="60"/>
      </w:pPr>
      <w:r>
        <w:rPr>
          <w:b/>
        </w:rPr>
        <w:t xml:space="preserve">Aggressive: </w:t>
      </w:r>
      <w:r>
        <w:t xml:space="preserve"> Faster construction, higher take rate, lower churn, faster hiring, higher acquisition expense, greater business/enterprise growth. Risk: execution and hiring strain, higher upfront CAC.</w:t>
      </w:r>
    </w:p>
    <w:p>
      <w:pPr>
        <w:pStyle w:val="Heading2"/>
      </w:pPr>
      <w:r>
        <w:rPr>
          <w:rFonts w:ascii="Calibri" w:hAnsi="Calibri"/>
          <w:color w:val="2E7D8A"/>
          <w:sz w:val="25"/>
        </w:rPr>
        <w:t>Sensitivity analysis</w:t>
      </w:r>
    </w:p>
    <w:p>
      <w:pPr>
        <w:spacing w:after="120"/>
      </w:pPr>
      <w:r>
        <w:rPr>
          <w:i w:val="0"/>
          <w:sz w:val="21"/>
        </w:rPr>
        <w:t>The Excel 'Sensitivity Analysis' tab flexes each driver individually against Year-5 EBITDA (exact where the relationship is linear; contribution-margin approximations are labeled). Drivers tested: ARPU, churn, take rate, construction cost per passing, new subscribers per month, labor cost, and annual capital deployment. ARPU and churn are the highest-leverage levers on EBITDA; construction cost per passing and capital-deployment pace most affect how much footprint the $50M program builds.</w:t>
      </w:r>
    </w:p>
    <w:p>
      <w:r>
        <w:br w:type="page"/>
      </w:r>
    </w:p>
    <w:p>
      <w:pPr>
        <w:pStyle w:val="Heading1"/>
      </w:pPr>
      <w:r>
        <w:rPr>
          <w:rFonts w:ascii="Calibri" w:hAnsi="Calibri"/>
          <w:color w:val="1F3B4D"/>
          <w:sz w:val="32"/>
        </w:rPr>
        <w:t>12. Risk Register</w:t>
      </w:r>
    </w:p>
    <w:p>
      <w:pPr>
        <w:spacing w:after="120"/>
      </w:pPr>
      <w:r>
        <w:rPr>
          <w:i w:val="0"/>
          <w:sz w:val="21"/>
        </w:rPr>
        <w:t>Each risk is scored on probability and impact (1–5 each; score 1–25) with a named owner and mitigation. Tiers: High ≥16, Medium 9–15, Low &lt;9. The full register is on the Excel 'Risk Register' tab.</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736"/>
            <w:shd w:val="clear" w:color="auto" w:fill="1F3B4D"/>
          </w:tcPr>
          <w:p>
            <w:pPr>
              <w:spacing w:after="40" w:before="40"/>
            </w:pPr>
            <w:r/>
            <w:r>
              <w:rPr>
                <w:rFonts w:ascii="Calibri" w:hAnsi="Calibri"/>
                <w:b/>
                <w:color w:val="FFFFFF"/>
                <w:sz w:val="17"/>
              </w:rPr>
              <w:t>Risk</w:t>
            </w:r>
          </w:p>
        </w:tc>
        <w:tc>
          <w:tcPr>
            <w:tcW w:type="dxa" w:w="504"/>
            <w:shd w:val="clear" w:color="auto" w:fill="1F3B4D"/>
          </w:tcPr>
          <w:p>
            <w:pPr>
              <w:spacing w:after="40" w:before="40"/>
              <w:jc w:val="center"/>
            </w:pPr>
            <w:r/>
            <w:r>
              <w:rPr>
                <w:rFonts w:ascii="Calibri" w:hAnsi="Calibri"/>
                <w:b/>
                <w:color w:val="FFFFFF"/>
                <w:sz w:val="17"/>
              </w:rPr>
              <w:t>P</w:t>
            </w:r>
          </w:p>
        </w:tc>
        <w:tc>
          <w:tcPr>
            <w:tcW w:type="dxa" w:w="504"/>
            <w:shd w:val="clear" w:color="auto" w:fill="1F3B4D"/>
          </w:tcPr>
          <w:p>
            <w:pPr>
              <w:spacing w:after="40" w:before="40"/>
              <w:jc w:val="center"/>
            </w:pPr>
            <w:r/>
            <w:r>
              <w:rPr>
                <w:rFonts w:ascii="Calibri" w:hAnsi="Calibri"/>
                <w:b/>
                <w:color w:val="FFFFFF"/>
                <w:sz w:val="17"/>
              </w:rPr>
              <w:t>I</w:t>
            </w:r>
          </w:p>
        </w:tc>
        <w:tc>
          <w:tcPr>
            <w:tcW w:type="dxa" w:w="792"/>
            <w:shd w:val="clear" w:color="auto" w:fill="1F3B4D"/>
          </w:tcPr>
          <w:p>
            <w:pPr>
              <w:spacing w:after="40" w:before="40"/>
              <w:jc w:val="center"/>
            </w:pPr>
            <w:r/>
            <w:r>
              <w:rPr>
                <w:rFonts w:ascii="Calibri" w:hAnsi="Calibri"/>
                <w:b/>
                <w:color w:val="FFFFFF"/>
                <w:sz w:val="17"/>
              </w:rPr>
              <w:t>Score</w:t>
            </w:r>
          </w:p>
        </w:tc>
        <w:tc>
          <w:tcPr>
            <w:tcW w:type="dxa" w:w="1008"/>
            <w:shd w:val="clear" w:color="auto" w:fill="1F3B4D"/>
          </w:tcPr>
          <w:p>
            <w:pPr>
              <w:spacing w:after="40" w:before="40"/>
              <w:jc w:val="center"/>
            </w:pPr>
            <w:r/>
            <w:r>
              <w:rPr>
                <w:rFonts w:ascii="Calibri" w:hAnsi="Calibri"/>
                <w:b/>
                <w:color w:val="FFFFFF"/>
                <w:sz w:val="17"/>
              </w:rPr>
              <w:t>Tier</w:t>
            </w:r>
          </w:p>
        </w:tc>
        <w:tc>
          <w:tcPr>
            <w:tcW w:type="dxa" w:w="1944"/>
            <w:shd w:val="clear" w:color="auto" w:fill="1F3B4D"/>
          </w:tcPr>
          <w:p>
            <w:pPr>
              <w:spacing w:after="40" w:before="40"/>
              <w:jc w:val="center"/>
            </w:pPr>
            <w:r/>
            <w:r>
              <w:rPr>
                <w:rFonts w:ascii="Calibri" w:hAnsi="Calibri"/>
                <w:b/>
                <w:color w:val="FFFFFF"/>
                <w:sz w:val="17"/>
              </w:rPr>
              <w:t>Owner</w:t>
            </w:r>
          </w:p>
        </w:tc>
        <w:tc>
          <w:tcPr>
            <w:tcW w:type="dxa" w:w="2736"/>
            <w:shd w:val="clear" w:color="auto" w:fill="1F3B4D"/>
          </w:tcPr>
          <w:p>
            <w:pPr>
              <w:spacing w:after="40" w:before="40"/>
              <w:jc w:val="center"/>
            </w:pPr>
            <w:r/>
            <w:r>
              <w:rPr>
                <w:rFonts w:ascii="Calibri" w:hAnsi="Calibri"/>
                <w:b/>
                <w:color w:val="FFFFFF"/>
                <w:sz w:val="17"/>
              </w:rPr>
              <w:t>Mitigation</w:t>
            </w:r>
          </w:p>
        </w:tc>
      </w:tr>
      <w:tr>
        <w:tc>
          <w:tcPr>
            <w:tcW w:type="dxa" w:w="2736"/>
          </w:tcPr>
          <w:p>
            <w:pPr>
              <w:spacing w:after="40" w:before="40"/>
            </w:pPr>
            <w:r/>
            <w:r>
              <w:rPr>
                <w:rFonts w:ascii="Calibri" w:hAnsi="Calibri"/>
                <w:b w:val="0"/>
                <w:sz w:val="17"/>
              </w:rPr>
              <w:t>Construction-cost inflation</w:t>
            </w:r>
          </w:p>
        </w:tc>
        <w:tc>
          <w:tcPr>
            <w:tcW w:type="dxa" w:w="504"/>
          </w:tcPr>
          <w:p>
            <w:pPr>
              <w:spacing w:after="40" w:before="40"/>
              <w:jc w:val="right"/>
            </w:pPr>
            <w:r/>
            <w:r>
              <w:rPr>
                <w:rFonts w:ascii="Calibri" w:hAnsi="Calibri"/>
                <w:b w:val="0"/>
                <w:sz w:val="17"/>
              </w:rPr>
              <w:t>4</w:t>
            </w:r>
          </w:p>
        </w:tc>
        <w:tc>
          <w:tcPr>
            <w:tcW w:type="dxa" w:w="504"/>
          </w:tcPr>
          <w:p>
            <w:pPr>
              <w:spacing w:after="40" w:before="40"/>
              <w:jc w:val="right"/>
            </w:pPr>
            <w:r/>
            <w:r>
              <w:rPr>
                <w:rFonts w:ascii="Calibri" w:hAnsi="Calibri"/>
                <w:b w:val="0"/>
                <w:sz w:val="17"/>
              </w:rPr>
              <w:t>4</w:t>
            </w:r>
          </w:p>
        </w:tc>
        <w:tc>
          <w:tcPr>
            <w:tcW w:type="dxa" w:w="792"/>
          </w:tcPr>
          <w:p>
            <w:pPr>
              <w:spacing w:after="40" w:before="40"/>
              <w:jc w:val="right"/>
            </w:pPr>
            <w:r/>
            <w:r>
              <w:rPr>
                <w:rFonts w:ascii="Calibri" w:hAnsi="Calibri"/>
                <w:b w:val="0"/>
                <w:sz w:val="17"/>
              </w:rPr>
              <w:t>16</w:t>
            </w:r>
          </w:p>
        </w:tc>
        <w:tc>
          <w:tcPr>
            <w:tcW w:type="dxa" w:w="1008"/>
          </w:tcPr>
          <w:p>
            <w:pPr>
              <w:spacing w:after="40" w:before="40"/>
              <w:jc w:val="right"/>
            </w:pPr>
            <w:r/>
            <w:r>
              <w:rPr>
                <w:rFonts w:ascii="Calibri" w:hAnsi="Calibri"/>
                <w:b w:val="0"/>
                <w:sz w:val="17"/>
              </w:rPr>
              <w:t>High</w:t>
            </w:r>
          </w:p>
        </w:tc>
        <w:tc>
          <w:tcPr>
            <w:tcW w:type="dxa" w:w="1944"/>
          </w:tcPr>
          <w:p>
            <w:pPr>
              <w:spacing w:after="40" w:before="40"/>
              <w:jc w:val="right"/>
            </w:pPr>
            <w:r/>
            <w:r>
              <w:rPr>
                <w:rFonts w:ascii="Calibri" w:hAnsi="Calibri"/>
                <w:b w:val="0"/>
                <w:sz w:val="17"/>
              </w:rPr>
              <w:t>CFO / Dir OSP</w:t>
            </w:r>
          </w:p>
        </w:tc>
        <w:tc>
          <w:tcPr>
            <w:tcW w:type="dxa" w:w="2736"/>
          </w:tcPr>
          <w:p>
            <w:pPr>
              <w:spacing w:after="40" w:before="40"/>
              <w:jc w:val="right"/>
            </w:pPr>
            <w:r/>
            <w:r>
              <w:rPr>
                <w:rFonts w:ascii="Calibri" w:hAnsi="Calibri"/>
                <w:b w:val="0"/>
                <w:sz w:val="17"/>
              </w:rPr>
              <w:t>Fixed-price contracts; contingency reserve</w:t>
            </w:r>
          </w:p>
        </w:tc>
      </w:tr>
      <w:tr>
        <w:tc>
          <w:tcPr>
            <w:tcW w:type="dxa" w:w="2736"/>
            <w:shd w:val="clear" w:color="auto" w:fill="F2F6FA"/>
          </w:tcPr>
          <w:p>
            <w:pPr>
              <w:spacing w:after="40" w:before="40"/>
            </w:pPr>
            <w:r/>
            <w:r>
              <w:rPr>
                <w:rFonts w:ascii="Calibri" w:hAnsi="Calibri"/>
                <w:b w:val="0"/>
                <w:sz w:val="17"/>
              </w:rPr>
              <w:t>Grant compliance / clawback</w:t>
            </w:r>
          </w:p>
        </w:tc>
        <w:tc>
          <w:tcPr>
            <w:tcW w:type="dxa" w:w="504"/>
            <w:shd w:val="clear" w:color="auto" w:fill="F2F6FA"/>
          </w:tcPr>
          <w:p>
            <w:pPr>
              <w:spacing w:after="40" w:before="40"/>
              <w:jc w:val="right"/>
            </w:pPr>
            <w:r/>
            <w:r>
              <w:rPr>
                <w:rFonts w:ascii="Calibri" w:hAnsi="Calibri"/>
                <w:b w:val="0"/>
                <w:sz w:val="17"/>
              </w:rPr>
              <w:t>3</w:t>
            </w:r>
          </w:p>
        </w:tc>
        <w:tc>
          <w:tcPr>
            <w:tcW w:type="dxa" w:w="504"/>
            <w:shd w:val="clear" w:color="auto" w:fill="F2F6FA"/>
          </w:tcPr>
          <w:p>
            <w:pPr>
              <w:spacing w:after="40" w:before="40"/>
              <w:jc w:val="right"/>
            </w:pPr>
            <w:r/>
            <w:r>
              <w:rPr>
                <w:rFonts w:ascii="Calibri" w:hAnsi="Calibri"/>
                <w:b w:val="0"/>
                <w:sz w:val="17"/>
              </w:rPr>
              <w:t>5</w:t>
            </w:r>
          </w:p>
        </w:tc>
        <w:tc>
          <w:tcPr>
            <w:tcW w:type="dxa" w:w="792"/>
            <w:shd w:val="clear" w:color="auto" w:fill="F2F6FA"/>
          </w:tcPr>
          <w:p>
            <w:pPr>
              <w:spacing w:after="40" w:before="40"/>
              <w:jc w:val="right"/>
            </w:pPr>
            <w:r/>
            <w:r>
              <w:rPr>
                <w:rFonts w:ascii="Calibri" w:hAnsi="Calibri"/>
                <w:b w:val="0"/>
                <w:sz w:val="17"/>
              </w:rPr>
              <w:t>15</w:t>
            </w:r>
          </w:p>
        </w:tc>
        <w:tc>
          <w:tcPr>
            <w:tcW w:type="dxa" w:w="1008"/>
            <w:shd w:val="clear" w:color="auto" w:fill="F2F6FA"/>
          </w:tcPr>
          <w:p>
            <w:pPr>
              <w:spacing w:after="40" w:before="40"/>
              <w:jc w:val="right"/>
            </w:pPr>
            <w:r/>
            <w:r>
              <w:rPr>
                <w:rFonts w:ascii="Calibri" w:hAnsi="Calibri"/>
                <w:b w:val="0"/>
                <w:sz w:val="17"/>
              </w:rPr>
              <w:t>Medium</w:t>
            </w:r>
          </w:p>
        </w:tc>
        <w:tc>
          <w:tcPr>
            <w:tcW w:type="dxa" w:w="1944"/>
            <w:shd w:val="clear" w:color="auto" w:fill="F2F6FA"/>
          </w:tcPr>
          <w:p>
            <w:pPr>
              <w:spacing w:after="40" w:before="40"/>
              <w:jc w:val="right"/>
            </w:pPr>
            <w:r/>
            <w:r>
              <w:rPr>
                <w:rFonts w:ascii="Calibri" w:hAnsi="Calibri"/>
                <w:b w:val="0"/>
                <w:sz w:val="17"/>
              </w:rPr>
              <w:t>CFO / Grants Mgr</w:t>
            </w:r>
          </w:p>
        </w:tc>
        <w:tc>
          <w:tcPr>
            <w:tcW w:type="dxa" w:w="2736"/>
            <w:shd w:val="clear" w:color="auto" w:fill="F2F6FA"/>
          </w:tcPr>
          <w:p>
            <w:pPr>
              <w:spacing w:after="40" w:before="40"/>
              <w:jc w:val="right"/>
            </w:pPr>
            <w:r/>
            <w:r>
              <w:rPr>
                <w:rFonts w:ascii="Calibri" w:hAnsi="Calibri"/>
                <w:b w:val="0"/>
                <w:sz w:val="17"/>
              </w:rPr>
              <w:t>Compliance calendar; inspector; audit readiness</w:t>
            </w:r>
          </w:p>
        </w:tc>
      </w:tr>
      <w:tr>
        <w:tc>
          <w:tcPr>
            <w:tcW w:type="dxa" w:w="2736"/>
          </w:tcPr>
          <w:p>
            <w:pPr>
              <w:spacing w:after="40" w:before="40"/>
            </w:pPr>
            <w:r/>
            <w:r>
              <w:rPr>
                <w:rFonts w:ascii="Calibri" w:hAnsi="Calibri"/>
                <w:b w:val="0"/>
                <w:sz w:val="17"/>
              </w:rPr>
              <w:t>Workforce shortages</w:t>
            </w:r>
          </w:p>
        </w:tc>
        <w:tc>
          <w:tcPr>
            <w:tcW w:type="dxa" w:w="504"/>
          </w:tcPr>
          <w:p>
            <w:pPr>
              <w:spacing w:after="40" w:before="40"/>
              <w:jc w:val="right"/>
            </w:pPr>
            <w:r/>
            <w:r>
              <w:rPr>
                <w:rFonts w:ascii="Calibri" w:hAnsi="Calibri"/>
                <w:b w:val="0"/>
                <w:sz w:val="17"/>
              </w:rPr>
              <w:t>4</w:t>
            </w:r>
          </w:p>
        </w:tc>
        <w:tc>
          <w:tcPr>
            <w:tcW w:type="dxa" w:w="504"/>
          </w:tcPr>
          <w:p>
            <w:pPr>
              <w:spacing w:after="40" w:before="40"/>
              <w:jc w:val="right"/>
            </w:pPr>
            <w:r/>
            <w:r>
              <w:rPr>
                <w:rFonts w:ascii="Calibri" w:hAnsi="Calibri"/>
                <w:b w:val="0"/>
                <w:sz w:val="17"/>
              </w:rPr>
              <w:t>4</w:t>
            </w:r>
          </w:p>
        </w:tc>
        <w:tc>
          <w:tcPr>
            <w:tcW w:type="dxa" w:w="792"/>
          </w:tcPr>
          <w:p>
            <w:pPr>
              <w:spacing w:after="40" w:before="40"/>
              <w:jc w:val="right"/>
            </w:pPr>
            <w:r/>
            <w:r>
              <w:rPr>
                <w:rFonts w:ascii="Calibri" w:hAnsi="Calibri"/>
                <w:b w:val="0"/>
                <w:sz w:val="17"/>
              </w:rPr>
              <w:t>16</w:t>
            </w:r>
          </w:p>
        </w:tc>
        <w:tc>
          <w:tcPr>
            <w:tcW w:type="dxa" w:w="1008"/>
          </w:tcPr>
          <w:p>
            <w:pPr>
              <w:spacing w:after="40" w:before="40"/>
              <w:jc w:val="right"/>
            </w:pPr>
            <w:r/>
            <w:r>
              <w:rPr>
                <w:rFonts w:ascii="Calibri" w:hAnsi="Calibri"/>
                <w:b w:val="0"/>
                <w:sz w:val="17"/>
              </w:rPr>
              <w:t>High</w:t>
            </w:r>
          </w:p>
        </w:tc>
        <w:tc>
          <w:tcPr>
            <w:tcW w:type="dxa" w:w="1944"/>
          </w:tcPr>
          <w:p>
            <w:pPr>
              <w:spacing w:after="40" w:before="40"/>
              <w:jc w:val="right"/>
            </w:pPr>
            <w:r/>
            <w:r>
              <w:rPr>
                <w:rFonts w:ascii="Calibri" w:hAnsi="Calibri"/>
                <w:b w:val="0"/>
                <w:sz w:val="17"/>
              </w:rPr>
              <w:t>COO / HR</w:t>
            </w:r>
          </w:p>
        </w:tc>
        <w:tc>
          <w:tcPr>
            <w:tcW w:type="dxa" w:w="2736"/>
          </w:tcPr>
          <w:p>
            <w:pPr>
              <w:spacing w:after="40" w:before="40"/>
              <w:jc w:val="right"/>
            </w:pPr>
            <w:r/>
            <w:r>
              <w:rPr>
                <w:rFonts w:ascii="Calibri" w:hAnsi="Calibri"/>
                <w:b w:val="0"/>
                <w:sz w:val="17"/>
              </w:rPr>
              <w:t>Trigger-based hiring; apprenticeships; retention</w:t>
            </w:r>
          </w:p>
        </w:tc>
      </w:tr>
      <w:tr>
        <w:tc>
          <w:tcPr>
            <w:tcW w:type="dxa" w:w="2736"/>
            <w:shd w:val="clear" w:color="auto" w:fill="F2F6FA"/>
          </w:tcPr>
          <w:p>
            <w:pPr>
              <w:spacing w:after="40" w:before="40"/>
            </w:pPr>
            <w:r/>
            <w:r>
              <w:rPr>
                <w:rFonts w:ascii="Calibri" w:hAnsi="Calibri"/>
                <w:b w:val="0"/>
                <w:sz w:val="17"/>
              </w:rPr>
              <w:t>Subscriber growth below forecast</w:t>
            </w:r>
          </w:p>
        </w:tc>
        <w:tc>
          <w:tcPr>
            <w:tcW w:type="dxa" w:w="504"/>
            <w:shd w:val="clear" w:color="auto" w:fill="F2F6FA"/>
          </w:tcPr>
          <w:p>
            <w:pPr>
              <w:spacing w:after="40" w:before="40"/>
              <w:jc w:val="right"/>
            </w:pPr>
            <w:r/>
            <w:r>
              <w:rPr>
                <w:rFonts w:ascii="Calibri" w:hAnsi="Calibri"/>
                <w:b w:val="0"/>
                <w:sz w:val="17"/>
              </w:rPr>
              <w:t>3</w:t>
            </w:r>
          </w:p>
        </w:tc>
        <w:tc>
          <w:tcPr>
            <w:tcW w:type="dxa" w:w="504"/>
            <w:shd w:val="clear" w:color="auto" w:fill="F2F6FA"/>
          </w:tcPr>
          <w:p>
            <w:pPr>
              <w:spacing w:after="40" w:before="40"/>
              <w:jc w:val="right"/>
            </w:pPr>
            <w:r/>
            <w:r>
              <w:rPr>
                <w:rFonts w:ascii="Calibri" w:hAnsi="Calibri"/>
                <w:b w:val="0"/>
                <w:sz w:val="17"/>
              </w:rPr>
              <w:t>5</w:t>
            </w:r>
          </w:p>
        </w:tc>
        <w:tc>
          <w:tcPr>
            <w:tcW w:type="dxa" w:w="792"/>
            <w:shd w:val="clear" w:color="auto" w:fill="F2F6FA"/>
          </w:tcPr>
          <w:p>
            <w:pPr>
              <w:spacing w:after="40" w:before="40"/>
              <w:jc w:val="right"/>
            </w:pPr>
            <w:r/>
            <w:r>
              <w:rPr>
                <w:rFonts w:ascii="Calibri" w:hAnsi="Calibri"/>
                <w:b w:val="0"/>
                <w:sz w:val="17"/>
              </w:rPr>
              <w:t>15</w:t>
            </w:r>
          </w:p>
        </w:tc>
        <w:tc>
          <w:tcPr>
            <w:tcW w:type="dxa" w:w="1008"/>
            <w:shd w:val="clear" w:color="auto" w:fill="F2F6FA"/>
          </w:tcPr>
          <w:p>
            <w:pPr>
              <w:spacing w:after="40" w:before="40"/>
              <w:jc w:val="right"/>
            </w:pPr>
            <w:r/>
            <w:r>
              <w:rPr>
                <w:rFonts w:ascii="Calibri" w:hAnsi="Calibri"/>
                <w:b w:val="0"/>
                <w:sz w:val="17"/>
              </w:rPr>
              <w:t>Medium</w:t>
            </w:r>
          </w:p>
        </w:tc>
        <w:tc>
          <w:tcPr>
            <w:tcW w:type="dxa" w:w="1944"/>
            <w:shd w:val="clear" w:color="auto" w:fill="F2F6FA"/>
          </w:tcPr>
          <w:p>
            <w:pPr>
              <w:spacing w:after="40" w:before="40"/>
              <w:jc w:val="right"/>
            </w:pPr>
            <w:r/>
            <w:r>
              <w:rPr>
                <w:rFonts w:ascii="Calibri" w:hAnsi="Calibri"/>
                <w:b w:val="0"/>
                <w:sz w:val="17"/>
              </w:rPr>
              <w:t>VP Sales</w:t>
            </w:r>
          </w:p>
        </w:tc>
        <w:tc>
          <w:tcPr>
            <w:tcW w:type="dxa" w:w="2736"/>
            <w:shd w:val="clear" w:color="auto" w:fill="F2F6FA"/>
          </w:tcPr>
          <w:p>
            <w:pPr>
              <w:spacing w:after="40" w:before="40"/>
              <w:jc w:val="right"/>
            </w:pPr>
            <w:r/>
            <w:r>
              <w:rPr>
                <w:rFonts w:ascii="Calibri" w:hAnsi="Calibri"/>
                <w:b w:val="0"/>
                <w:sz w:val="17"/>
              </w:rPr>
              <w:t>Take-rate campaigns; pace capex to demand</w:t>
            </w:r>
          </w:p>
        </w:tc>
      </w:tr>
      <w:tr>
        <w:tc>
          <w:tcPr>
            <w:tcW w:type="dxa" w:w="2736"/>
          </w:tcPr>
          <w:p>
            <w:pPr>
              <w:spacing w:after="40" w:before="40"/>
            </w:pPr>
            <w:r/>
            <w:r>
              <w:rPr>
                <w:rFonts w:ascii="Calibri" w:hAnsi="Calibri"/>
                <w:b w:val="0"/>
                <w:sz w:val="17"/>
              </w:rPr>
              <w:t>Cybersecurity breach</w:t>
            </w:r>
          </w:p>
        </w:tc>
        <w:tc>
          <w:tcPr>
            <w:tcW w:type="dxa" w:w="504"/>
          </w:tcPr>
          <w:p>
            <w:pPr>
              <w:spacing w:after="40" w:before="40"/>
              <w:jc w:val="right"/>
            </w:pPr>
            <w:r/>
            <w:r>
              <w:rPr>
                <w:rFonts w:ascii="Calibri" w:hAnsi="Calibri"/>
                <w:b w:val="0"/>
                <w:sz w:val="17"/>
              </w:rPr>
              <w:t>3</w:t>
            </w:r>
          </w:p>
        </w:tc>
        <w:tc>
          <w:tcPr>
            <w:tcW w:type="dxa" w:w="504"/>
          </w:tcPr>
          <w:p>
            <w:pPr>
              <w:spacing w:after="40" w:before="40"/>
              <w:jc w:val="right"/>
            </w:pPr>
            <w:r/>
            <w:r>
              <w:rPr>
                <w:rFonts w:ascii="Calibri" w:hAnsi="Calibri"/>
                <w:b w:val="0"/>
                <w:sz w:val="17"/>
              </w:rPr>
              <w:t>5</w:t>
            </w:r>
          </w:p>
        </w:tc>
        <w:tc>
          <w:tcPr>
            <w:tcW w:type="dxa" w:w="792"/>
          </w:tcPr>
          <w:p>
            <w:pPr>
              <w:spacing w:after="40" w:before="40"/>
              <w:jc w:val="right"/>
            </w:pPr>
            <w:r/>
            <w:r>
              <w:rPr>
                <w:rFonts w:ascii="Calibri" w:hAnsi="Calibri"/>
                <w:b w:val="0"/>
                <w:sz w:val="17"/>
              </w:rPr>
              <w:t>15</w:t>
            </w:r>
          </w:p>
        </w:tc>
        <w:tc>
          <w:tcPr>
            <w:tcW w:type="dxa" w:w="1008"/>
          </w:tcPr>
          <w:p>
            <w:pPr>
              <w:spacing w:after="40" w:before="40"/>
              <w:jc w:val="right"/>
            </w:pPr>
            <w:r/>
            <w:r>
              <w:rPr>
                <w:rFonts w:ascii="Calibri" w:hAnsi="Calibri"/>
                <w:b w:val="0"/>
                <w:sz w:val="17"/>
              </w:rPr>
              <w:t>Medium</w:t>
            </w:r>
          </w:p>
        </w:tc>
        <w:tc>
          <w:tcPr>
            <w:tcW w:type="dxa" w:w="1944"/>
          </w:tcPr>
          <w:p>
            <w:pPr>
              <w:spacing w:after="40" w:before="40"/>
              <w:jc w:val="right"/>
            </w:pPr>
            <w:r/>
            <w:r>
              <w:rPr>
                <w:rFonts w:ascii="Calibri" w:hAnsi="Calibri"/>
                <w:b w:val="0"/>
                <w:sz w:val="17"/>
              </w:rPr>
              <w:t>IT / CISO</w:t>
            </w:r>
          </w:p>
        </w:tc>
        <w:tc>
          <w:tcPr>
            <w:tcW w:type="dxa" w:w="2736"/>
          </w:tcPr>
          <w:p>
            <w:pPr>
              <w:spacing w:after="40" w:before="40"/>
              <w:jc w:val="right"/>
            </w:pPr>
            <w:r/>
            <w:r>
              <w:rPr>
                <w:rFonts w:ascii="Calibri" w:hAnsi="Calibri"/>
                <w:b w:val="0"/>
                <w:sz w:val="17"/>
              </w:rPr>
              <w:t>Defense-in-depth; MFA; IR plan; security capex</w:t>
            </w:r>
          </w:p>
        </w:tc>
      </w:tr>
      <w:tr>
        <w:tc>
          <w:tcPr>
            <w:tcW w:type="dxa" w:w="2736"/>
            <w:shd w:val="clear" w:color="auto" w:fill="F2F6FA"/>
          </w:tcPr>
          <w:p>
            <w:pPr>
              <w:spacing w:after="40" w:before="40"/>
            </w:pPr>
            <w:r/>
            <w:r>
              <w:rPr>
                <w:rFonts w:ascii="Calibri" w:hAnsi="Calibri"/>
                <w:b w:val="0"/>
                <w:sz w:val="17"/>
              </w:rPr>
              <w:t>Network outages</w:t>
            </w:r>
          </w:p>
        </w:tc>
        <w:tc>
          <w:tcPr>
            <w:tcW w:type="dxa" w:w="504"/>
            <w:shd w:val="clear" w:color="auto" w:fill="F2F6FA"/>
          </w:tcPr>
          <w:p>
            <w:pPr>
              <w:spacing w:after="40" w:before="40"/>
              <w:jc w:val="right"/>
            </w:pPr>
            <w:r/>
            <w:r>
              <w:rPr>
                <w:rFonts w:ascii="Calibri" w:hAnsi="Calibri"/>
                <w:b w:val="0"/>
                <w:sz w:val="17"/>
              </w:rPr>
              <w:t>3</w:t>
            </w:r>
          </w:p>
        </w:tc>
        <w:tc>
          <w:tcPr>
            <w:tcW w:type="dxa" w:w="504"/>
            <w:shd w:val="clear" w:color="auto" w:fill="F2F6FA"/>
          </w:tcPr>
          <w:p>
            <w:pPr>
              <w:spacing w:after="40" w:before="40"/>
              <w:jc w:val="right"/>
            </w:pPr>
            <w:r/>
            <w:r>
              <w:rPr>
                <w:rFonts w:ascii="Calibri" w:hAnsi="Calibri"/>
                <w:b w:val="0"/>
                <w:sz w:val="17"/>
              </w:rPr>
              <w:t>5</w:t>
            </w:r>
          </w:p>
        </w:tc>
        <w:tc>
          <w:tcPr>
            <w:tcW w:type="dxa" w:w="792"/>
            <w:shd w:val="clear" w:color="auto" w:fill="F2F6FA"/>
          </w:tcPr>
          <w:p>
            <w:pPr>
              <w:spacing w:after="40" w:before="40"/>
              <w:jc w:val="right"/>
            </w:pPr>
            <w:r/>
            <w:r>
              <w:rPr>
                <w:rFonts w:ascii="Calibri" w:hAnsi="Calibri"/>
                <w:b w:val="0"/>
                <w:sz w:val="17"/>
              </w:rPr>
              <w:t>15</w:t>
            </w:r>
          </w:p>
        </w:tc>
        <w:tc>
          <w:tcPr>
            <w:tcW w:type="dxa" w:w="1008"/>
            <w:shd w:val="clear" w:color="auto" w:fill="F2F6FA"/>
          </w:tcPr>
          <w:p>
            <w:pPr>
              <w:spacing w:after="40" w:before="40"/>
              <w:jc w:val="right"/>
            </w:pPr>
            <w:r/>
            <w:r>
              <w:rPr>
                <w:rFonts w:ascii="Calibri" w:hAnsi="Calibri"/>
                <w:b w:val="0"/>
                <w:sz w:val="17"/>
              </w:rPr>
              <w:t>Medium</w:t>
            </w:r>
          </w:p>
        </w:tc>
        <w:tc>
          <w:tcPr>
            <w:tcW w:type="dxa" w:w="1944"/>
            <w:shd w:val="clear" w:color="auto" w:fill="F2F6FA"/>
          </w:tcPr>
          <w:p>
            <w:pPr>
              <w:spacing w:after="40" w:before="40"/>
              <w:jc w:val="right"/>
            </w:pPr>
            <w:r/>
            <w:r>
              <w:rPr>
                <w:rFonts w:ascii="Calibri" w:hAnsi="Calibri"/>
                <w:b w:val="0"/>
                <w:sz w:val="17"/>
              </w:rPr>
              <w:t>NOC / Dir OSP</w:t>
            </w:r>
          </w:p>
        </w:tc>
        <w:tc>
          <w:tcPr>
            <w:tcW w:type="dxa" w:w="2736"/>
            <w:shd w:val="clear" w:color="auto" w:fill="F2F6FA"/>
          </w:tcPr>
          <w:p>
            <w:pPr>
              <w:spacing w:after="40" w:before="40"/>
              <w:jc w:val="right"/>
            </w:pPr>
            <w:r/>
            <w:r>
              <w:rPr>
                <w:rFonts w:ascii="Calibri" w:hAnsi="Calibri"/>
                <w:b w:val="0"/>
                <w:sz w:val="17"/>
              </w:rPr>
              <w:t>Redundancy; generators; restoration reserve</w:t>
            </w:r>
          </w:p>
        </w:tc>
      </w:tr>
      <w:tr>
        <w:tc>
          <w:tcPr>
            <w:tcW w:type="dxa" w:w="2736"/>
          </w:tcPr>
          <w:p>
            <w:pPr>
              <w:spacing w:after="40" w:before="40"/>
            </w:pPr>
            <w:r/>
            <w:r>
              <w:rPr>
                <w:rFonts w:ascii="Calibri" w:hAnsi="Calibri"/>
                <w:b w:val="0"/>
                <w:sz w:val="17"/>
              </w:rPr>
              <w:t>Cash-flow timing</w:t>
            </w:r>
          </w:p>
        </w:tc>
        <w:tc>
          <w:tcPr>
            <w:tcW w:type="dxa" w:w="504"/>
          </w:tcPr>
          <w:p>
            <w:pPr>
              <w:spacing w:after="40" w:before="40"/>
              <w:jc w:val="right"/>
            </w:pPr>
            <w:r/>
            <w:r>
              <w:rPr>
                <w:rFonts w:ascii="Calibri" w:hAnsi="Calibri"/>
                <w:b w:val="0"/>
                <w:sz w:val="17"/>
              </w:rPr>
              <w:t>3</w:t>
            </w:r>
          </w:p>
        </w:tc>
        <w:tc>
          <w:tcPr>
            <w:tcW w:type="dxa" w:w="504"/>
          </w:tcPr>
          <w:p>
            <w:pPr>
              <w:spacing w:after="40" w:before="40"/>
              <w:jc w:val="right"/>
            </w:pPr>
            <w:r/>
            <w:r>
              <w:rPr>
                <w:rFonts w:ascii="Calibri" w:hAnsi="Calibri"/>
                <w:b w:val="0"/>
                <w:sz w:val="17"/>
              </w:rPr>
              <w:t>4</w:t>
            </w:r>
          </w:p>
        </w:tc>
        <w:tc>
          <w:tcPr>
            <w:tcW w:type="dxa" w:w="792"/>
          </w:tcPr>
          <w:p>
            <w:pPr>
              <w:spacing w:after="40" w:before="40"/>
              <w:jc w:val="right"/>
            </w:pPr>
            <w:r/>
            <w:r>
              <w:rPr>
                <w:rFonts w:ascii="Calibri" w:hAnsi="Calibri"/>
                <w:b w:val="0"/>
                <w:sz w:val="17"/>
              </w:rPr>
              <w:t>12</w:t>
            </w:r>
          </w:p>
        </w:tc>
        <w:tc>
          <w:tcPr>
            <w:tcW w:type="dxa" w:w="1008"/>
          </w:tcPr>
          <w:p>
            <w:pPr>
              <w:spacing w:after="40" w:before="40"/>
              <w:jc w:val="right"/>
            </w:pPr>
            <w:r/>
            <w:r>
              <w:rPr>
                <w:rFonts w:ascii="Calibri" w:hAnsi="Calibri"/>
                <w:b w:val="0"/>
                <w:sz w:val="17"/>
              </w:rPr>
              <w:t>Medium</w:t>
            </w:r>
          </w:p>
        </w:tc>
        <w:tc>
          <w:tcPr>
            <w:tcW w:type="dxa" w:w="1944"/>
          </w:tcPr>
          <w:p>
            <w:pPr>
              <w:spacing w:after="40" w:before="40"/>
              <w:jc w:val="right"/>
            </w:pPr>
            <w:r/>
            <w:r>
              <w:rPr>
                <w:rFonts w:ascii="Calibri" w:hAnsi="Calibri"/>
                <w:b w:val="0"/>
                <w:sz w:val="17"/>
              </w:rPr>
              <w:t>CFO</w:t>
            </w:r>
          </w:p>
        </w:tc>
        <w:tc>
          <w:tcPr>
            <w:tcW w:type="dxa" w:w="2736"/>
          </w:tcPr>
          <w:p>
            <w:pPr>
              <w:spacing w:after="40" w:before="40"/>
              <w:jc w:val="right"/>
            </w:pPr>
            <w:r/>
            <w:r>
              <w:rPr>
                <w:rFonts w:ascii="Calibri" w:hAnsi="Calibri"/>
                <w:b w:val="0"/>
                <w:sz w:val="17"/>
              </w:rPr>
              <w:t>Capital governance; reserves; milestone billing</w:t>
            </w:r>
          </w:p>
        </w:tc>
      </w:tr>
      <w:tr>
        <w:tc>
          <w:tcPr>
            <w:tcW w:type="dxa" w:w="2736"/>
            <w:shd w:val="clear" w:color="auto" w:fill="F2F6FA"/>
          </w:tcPr>
          <w:p>
            <w:pPr>
              <w:spacing w:after="40" w:before="40"/>
            </w:pPr>
            <w:r/>
            <w:r>
              <w:rPr>
                <w:rFonts w:ascii="Calibri" w:hAnsi="Calibri"/>
                <w:b w:val="0"/>
                <w:sz w:val="17"/>
              </w:rPr>
              <w:t>Pole-attachment delays</w:t>
            </w:r>
          </w:p>
        </w:tc>
        <w:tc>
          <w:tcPr>
            <w:tcW w:type="dxa" w:w="504"/>
            <w:shd w:val="clear" w:color="auto" w:fill="F2F6FA"/>
          </w:tcPr>
          <w:p>
            <w:pPr>
              <w:spacing w:after="40" w:before="40"/>
              <w:jc w:val="right"/>
            </w:pPr>
            <w:r/>
            <w:r>
              <w:rPr>
                <w:rFonts w:ascii="Calibri" w:hAnsi="Calibri"/>
                <w:b w:val="0"/>
                <w:sz w:val="17"/>
              </w:rPr>
              <w:t>4</w:t>
            </w:r>
          </w:p>
        </w:tc>
        <w:tc>
          <w:tcPr>
            <w:tcW w:type="dxa" w:w="504"/>
            <w:shd w:val="clear" w:color="auto" w:fill="F2F6FA"/>
          </w:tcPr>
          <w:p>
            <w:pPr>
              <w:spacing w:after="40" w:before="40"/>
              <w:jc w:val="right"/>
            </w:pPr>
            <w:r/>
            <w:r>
              <w:rPr>
                <w:rFonts w:ascii="Calibri" w:hAnsi="Calibri"/>
                <w:b w:val="0"/>
                <w:sz w:val="17"/>
              </w:rPr>
              <w:t>3</w:t>
            </w:r>
          </w:p>
        </w:tc>
        <w:tc>
          <w:tcPr>
            <w:tcW w:type="dxa" w:w="792"/>
            <w:shd w:val="clear" w:color="auto" w:fill="F2F6FA"/>
          </w:tcPr>
          <w:p>
            <w:pPr>
              <w:spacing w:after="40" w:before="40"/>
              <w:jc w:val="right"/>
            </w:pPr>
            <w:r/>
            <w:r>
              <w:rPr>
                <w:rFonts w:ascii="Calibri" w:hAnsi="Calibri"/>
                <w:b w:val="0"/>
                <w:sz w:val="17"/>
              </w:rPr>
              <w:t>12</w:t>
            </w:r>
          </w:p>
        </w:tc>
        <w:tc>
          <w:tcPr>
            <w:tcW w:type="dxa" w:w="1008"/>
            <w:shd w:val="clear" w:color="auto" w:fill="F2F6FA"/>
          </w:tcPr>
          <w:p>
            <w:pPr>
              <w:spacing w:after="40" w:before="40"/>
              <w:jc w:val="right"/>
            </w:pPr>
            <w:r/>
            <w:r>
              <w:rPr>
                <w:rFonts w:ascii="Calibri" w:hAnsi="Calibri"/>
                <w:b w:val="0"/>
                <w:sz w:val="17"/>
              </w:rPr>
              <w:t>Medium</w:t>
            </w:r>
          </w:p>
        </w:tc>
        <w:tc>
          <w:tcPr>
            <w:tcW w:type="dxa" w:w="1944"/>
            <w:shd w:val="clear" w:color="auto" w:fill="F2F6FA"/>
          </w:tcPr>
          <w:p>
            <w:pPr>
              <w:spacing w:after="40" w:before="40"/>
              <w:jc w:val="right"/>
            </w:pPr>
            <w:r/>
            <w:r>
              <w:rPr>
                <w:rFonts w:ascii="Calibri" w:hAnsi="Calibri"/>
                <w:b w:val="0"/>
                <w:sz w:val="17"/>
              </w:rPr>
              <w:t>Dir OSP</w:t>
            </w:r>
          </w:p>
        </w:tc>
        <w:tc>
          <w:tcPr>
            <w:tcW w:type="dxa" w:w="2736"/>
            <w:shd w:val="clear" w:color="auto" w:fill="F2F6FA"/>
          </w:tcPr>
          <w:p>
            <w:pPr>
              <w:spacing w:after="40" w:before="40"/>
              <w:jc w:val="right"/>
            </w:pPr>
            <w:r/>
            <w:r>
              <w:rPr>
                <w:rFonts w:ascii="Calibri" w:hAnsi="Calibri"/>
                <w:b w:val="0"/>
                <w:sz w:val="17"/>
              </w:rPr>
              <w:t>Early applications; make-ready tracking</w:t>
            </w:r>
          </w:p>
        </w:tc>
      </w:tr>
      <w:tr>
        <w:tc>
          <w:tcPr>
            <w:tcW w:type="dxa" w:w="2736"/>
          </w:tcPr>
          <w:p>
            <w:pPr>
              <w:spacing w:after="40" w:before="40"/>
            </w:pPr>
            <w:r/>
            <w:r>
              <w:rPr>
                <w:rFonts w:ascii="Calibri" w:hAnsi="Calibri"/>
                <w:b w:val="0"/>
                <w:sz w:val="17"/>
              </w:rPr>
              <w:t>Overbuilding low-take areas</w:t>
            </w:r>
          </w:p>
        </w:tc>
        <w:tc>
          <w:tcPr>
            <w:tcW w:type="dxa" w:w="504"/>
          </w:tcPr>
          <w:p>
            <w:pPr>
              <w:spacing w:after="40" w:before="40"/>
              <w:jc w:val="right"/>
            </w:pPr>
            <w:r/>
            <w:r>
              <w:rPr>
                <w:rFonts w:ascii="Calibri" w:hAnsi="Calibri"/>
                <w:b w:val="0"/>
                <w:sz w:val="17"/>
              </w:rPr>
              <w:t>3</w:t>
            </w:r>
          </w:p>
        </w:tc>
        <w:tc>
          <w:tcPr>
            <w:tcW w:type="dxa" w:w="504"/>
          </w:tcPr>
          <w:p>
            <w:pPr>
              <w:spacing w:after="40" w:before="40"/>
              <w:jc w:val="right"/>
            </w:pPr>
            <w:r/>
            <w:r>
              <w:rPr>
                <w:rFonts w:ascii="Calibri" w:hAnsi="Calibri"/>
                <w:b w:val="0"/>
                <w:sz w:val="17"/>
              </w:rPr>
              <w:t>4</w:t>
            </w:r>
          </w:p>
        </w:tc>
        <w:tc>
          <w:tcPr>
            <w:tcW w:type="dxa" w:w="792"/>
          </w:tcPr>
          <w:p>
            <w:pPr>
              <w:spacing w:after="40" w:before="40"/>
              <w:jc w:val="right"/>
            </w:pPr>
            <w:r/>
            <w:r>
              <w:rPr>
                <w:rFonts w:ascii="Calibri" w:hAnsi="Calibri"/>
                <w:b w:val="0"/>
                <w:sz w:val="17"/>
              </w:rPr>
              <w:t>12</w:t>
            </w:r>
          </w:p>
        </w:tc>
        <w:tc>
          <w:tcPr>
            <w:tcW w:type="dxa" w:w="1008"/>
          </w:tcPr>
          <w:p>
            <w:pPr>
              <w:spacing w:after="40" w:before="40"/>
              <w:jc w:val="right"/>
            </w:pPr>
            <w:r/>
            <w:r>
              <w:rPr>
                <w:rFonts w:ascii="Calibri" w:hAnsi="Calibri"/>
                <w:b w:val="0"/>
                <w:sz w:val="17"/>
              </w:rPr>
              <w:t>Medium</w:t>
            </w:r>
          </w:p>
        </w:tc>
        <w:tc>
          <w:tcPr>
            <w:tcW w:type="dxa" w:w="1944"/>
          </w:tcPr>
          <w:p>
            <w:pPr>
              <w:spacing w:after="40" w:before="40"/>
              <w:jc w:val="right"/>
            </w:pPr>
            <w:r/>
            <w:r>
              <w:rPr>
                <w:rFonts w:ascii="Calibri" w:hAnsi="Calibri"/>
                <w:b w:val="0"/>
                <w:sz w:val="17"/>
              </w:rPr>
              <w:t>CEO / CFO</w:t>
            </w:r>
          </w:p>
        </w:tc>
        <w:tc>
          <w:tcPr>
            <w:tcW w:type="dxa" w:w="2736"/>
          </w:tcPr>
          <w:p>
            <w:pPr>
              <w:spacing w:after="40" w:before="40"/>
              <w:jc w:val="right"/>
            </w:pPr>
            <w:r/>
            <w:r>
              <w:rPr>
                <w:rFonts w:ascii="Calibri" w:hAnsi="Calibri"/>
                <w:b w:val="0"/>
                <w:sz w:val="17"/>
              </w:rPr>
              <w:t>Demand-led builds; ROI gate per project</w:t>
            </w:r>
          </w:p>
        </w:tc>
      </w:tr>
      <w:tr>
        <w:tc>
          <w:tcPr>
            <w:tcW w:type="dxa" w:w="2736"/>
            <w:shd w:val="clear" w:color="auto" w:fill="F2F6FA"/>
          </w:tcPr>
          <w:p>
            <w:pPr>
              <w:spacing w:after="40" w:before="40"/>
            </w:pPr>
            <w:r/>
            <w:r>
              <w:rPr>
                <w:rFonts w:ascii="Calibri" w:hAnsi="Calibri"/>
                <w:b w:val="0"/>
                <w:sz w:val="17"/>
              </w:rPr>
              <w:t>Competitive pricing / overbuild</w:t>
            </w:r>
          </w:p>
        </w:tc>
        <w:tc>
          <w:tcPr>
            <w:tcW w:type="dxa" w:w="504"/>
            <w:shd w:val="clear" w:color="auto" w:fill="F2F6FA"/>
          </w:tcPr>
          <w:p>
            <w:pPr>
              <w:spacing w:after="40" w:before="40"/>
              <w:jc w:val="right"/>
            </w:pPr>
            <w:r/>
            <w:r>
              <w:rPr>
                <w:rFonts w:ascii="Calibri" w:hAnsi="Calibri"/>
                <w:b w:val="0"/>
                <w:sz w:val="17"/>
              </w:rPr>
              <w:t>3</w:t>
            </w:r>
          </w:p>
        </w:tc>
        <w:tc>
          <w:tcPr>
            <w:tcW w:type="dxa" w:w="504"/>
            <w:shd w:val="clear" w:color="auto" w:fill="F2F6FA"/>
          </w:tcPr>
          <w:p>
            <w:pPr>
              <w:spacing w:after="40" w:before="40"/>
              <w:jc w:val="right"/>
            </w:pPr>
            <w:r/>
            <w:r>
              <w:rPr>
                <w:rFonts w:ascii="Calibri" w:hAnsi="Calibri"/>
                <w:b w:val="0"/>
                <w:sz w:val="17"/>
              </w:rPr>
              <w:t>4</w:t>
            </w:r>
          </w:p>
        </w:tc>
        <w:tc>
          <w:tcPr>
            <w:tcW w:type="dxa" w:w="792"/>
            <w:shd w:val="clear" w:color="auto" w:fill="F2F6FA"/>
          </w:tcPr>
          <w:p>
            <w:pPr>
              <w:spacing w:after="40" w:before="40"/>
              <w:jc w:val="right"/>
            </w:pPr>
            <w:r/>
            <w:r>
              <w:rPr>
                <w:rFonts w:ascii="Calibri" w:hAnsi="Calibri"/>
                <w:b w:val="0"/>
                <w:sz w:val="17"/>
              </w:rPr>
              <w:t>12</w:t>
            </w:r>
          </w:p>
        </w:tc>
        <w:tc>
          <w:tcPr>
            <w:tcW w:type="dxa" w:w="1008"/>
            <w:shd w:val="clear" w:color="auto" w:fill="F2F6FA"/>
          </w:tcPr>
          <w:p>
            <w:pPr>
              <w:spacing w:after="40" w:before="40"/>
              <w:jc w:val="right"/>
            </w:pPr>
            <w:r/>
            <w:r>
              <w:rPr>
                <w:rFonts w:ascii="Calibri" w:hAnsi="Calibri"/>
                <w:b w:val="0"/>
                <w:sz w:val="17"/>
              </w:rPr>
              <w:t>Medium</w:t>
            </w:r>
          </w:p>
        </w:tc>
        <w:tc>
          <w:tcPr>
            <w:tcW w:type="dxa" w:w="1944"/>
            <w:shd w:val="clear" w:color="auto" w:fill="F2F6FA"/>
          </w:tcPr>
          <w:p>
            <w:pPr>
              <w:spacing w:after="40" w:before="40"/>
              <w:jc w:val="right"/>
            </w:pPr>
            <w:r/>
            <w:r>
              <w:rPr>
                <w:rFonts w:ascii="Calibri" w:hAnsi="Calibri"/>
                <w:b w:val="0"/>
                <w:sz w:val="17"/>
              </w:rPr>
              <w:t>CEO / VP Sales</w:t>
            </w:r>
          </w:p>
        </w:tc>
        <w:tc>
          <w:tcPr>
            <w:tcW w:type="dxa" w:w="2736"/>
            <w:shd w:val="clear" w:color="auto" w:fill="F2F6FA"/>
          </w:tcPr>
          <w:p>
            <w:pPr>
              <w:spacing w:after="40" w:before="40"/>
              <w:jc w:val="right"/>
            </w:pPr>
            <w:r/>
            <w:r>
              <w:rPr>
                <w:rFonts w:ascii="Calibri" w:hAnsi="Calibri"/>
                <w:b w:val="0"/>
                <w:sz w:val="17"/>
              </w:rPr>
              <w:t>Differentiate on reliability &amp; local service</w:t>
            </w:r>
          </w:p>
        </w:tc>
      </w:tr>
    </w:tbl>
    <w:p>
      <w:pPr>
        <w:spacing w:after="40"/>
      </w:pPr>
    </w:p>
    <w:p>
      <w:pPr>
        <w:spacing w:after="120"/>
      </w:pPr>
      <w:r>
        <w:rPr>
          <w:i/>
          <w:color w:val="606060"/>
          <w:sz w:val="19"/>
        </w:rPr>
        <w:t>Table shows the ten highest-priority risks; the Excel register covers all 19 risk categories including material availability, contractor performance, churn, technology obsolescence, equipment failure, regulatory change, permitting delays, customer concentration, and vendor concentration.</w:t>
      </w:r>
    </w:p>
    <w:p>
      <w:r>
        <w:br w:type="page"/>
      </w:r>
    </w:p>
    <w:p>
      <w:pPr>
        <w:pStyle w:val="Heading1"/>
      </w:pPr>
      <w:r>
        <w:rPr>
          <w:rFonts w:ascii="Calibri" w:hAnsi="Calibri"/>
          <w:color w:val="1F3B4D"/>
          <w:sz w:val="32"/>
        </w:rPr>
        <w:t>13. Strategic Initiatives</w:t>
      </w:r>
    </w:p>
    <w:p>
      <w:pPr>
        <w:spacing w:after="120"/>
      </w:pPr>
      <w:r>
        <w:rPr>
          <w:i w:val="0"/>
          <w:sz w:val="21"/>
        </w:rPr>
        <w:t>Prioritized initiatives, each with an owner, timeline, estimated cost, expected benefit, success metric, risk, and dependency. Costs are planning estimates (placeholders).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024"/>
            <w:shd w:val="clear" w:color="auto" w:fill="1F3B4D"/>
          </w:tcPr>
          <w:p>
            <w:pPr>
              <w:spacing w:after="40" w:before="40"/>
            </w:pPr>
            <w:r/>
            <w:r>
              <w:rPr>
                <w:rFonts w:ascii="Calibri" w:hAnsi="Calibri"/>
                <w:b/>
                <w:color w:val="FFFFFF"/>
                <w:sz w:val="17"/>
              </w:rPr>
              <w:t>Initiative</w:t>
            </w:r>
          </w:p>
        </w:tc>
        <w:tc>
          <w:tcPr>
            <w:tcW w:type="dxa" w:w="1728"/>
            <w:shd w:val="clear" w:color="auto" w:fill="1F3B4D"/>
          </w:tcPr>
          <w:p>
            <w:pPr>
              <w:spacing w:after="40" w:before="40"/>
              <w:jc w:val="center"/>
            </w:pPr>
            <w:r/>
            <w:r>
              <w:rPr>
                <w:rFonts w:ascii="Calibri" w:hAnsi="Calibri"/>
                <w:b/>
                <w:color w:val="FFFFFF"/>
                <w:sz w:val="17"/>
              </w:rPr>
              <w:t>Owner</w:t>
            </w:r>
          </w:p>
        </w:tc>
        <w:tc>
          <w:tcPr>
            <w:tcW w:type="dxa" w:w="1440"/>
            <w:shd w:val="clear" w:color="auto" w:fill="1F3B4D"/>
          </w:tcPr>
          <w:p>
            <w:pPr>
              <w:spacing w:after="40" w:before="40"/>
              <w:jc w:val="center"/>
            </w:pPr>
            <w:r/>
            <w:r>
              <w:rPr>
                <w:rFonts w:ascii="Calibri" w:hAnsi="Calibri"/>
                <w:b/>
                <w:color w:val="FFFFFF"/>
                <w:sz w:val="17"/>
              </w:rPr>
              <w:t>Timeline</w:t>
            </w:r>
          </w:p>
        </w:tc>
        <w:tc>
          <w:tcPr>
            <w:tcW w:type="dxa" w:w="2160"/>
            <w:shd w:val="clear" w:color="auto" w:fill="1F3B4D"/>
          </w:tcPr>
          <w:p>
            <w:pPr>
              <w:spacing w:after="40" w:before="40"/>
              <w:jc w:val="center"/>
            </w:pPr>
            <w:r/>
            <w:r>
              <w:rPr>
                <w:rFonts w:ascii="Calibri" w:hAnsi="Calibri"/>
                <w:b/>
                <w:color w:val="FFFFFF"/>
                <w:sz w:val="17"/>
              </w:rPr>
              <w:t>Expected benefit</w:t>
            </w:r>
          </w:p>
        </w:tc>
        <w:tc>
          <w:tcPr>
            <w:tcW w:type="dxa" w:w="2016"/>
            <w:shd w:val="clear" w:color="auto" w:fill="1F3B4D"/>
          </w:tcPr>
          <w:p>
            <w:pPr>
              <w:spacing w:after="40" w:before="40"/>
              <w:jc w:val="center"/>
            </w:pPr>
            <w:r/>
            <w:r>
              <w:rPr>
                <w:rFonts w:ascii="Calibri" w:hAnsi="Calibri"/>
                <w:b/>
                <w:color w:val="FFFFFF"/>
                <w:sz w:val="17"/>
              </w:rPr>
              <w:t>Key dependency</w:t>
            </w:r>
          </w:p>
        </w:tc>
      </w:tr>
      <w:tr>
        <w:tc>
          <w:tcPr>
            <w:tcW w:type="dxa" w:w="3024"/>
          </w:tcPr>
          <w:p>
            <w:pPr>
              <w:spacing w:after="40" w:before="40"/>
            </w:pPr>
            <w:r/>
            <w:r>
              <w:rPr>
                <w:rFonts w:ascii="Calibri" w:hAnsi="Calibri"/>
                <w:b w:val="0"/>
                <w:sz w:val="17"/>
              </w:rPr>
              <w:t>Residential subscriber growth</w:t>
            </w:r>
          </w:p>
        </w:tc>
        <w:tc>
          <w:tcPr>
            <w:tcW w:type="dxa" w:w="1728"/>
          </w:tcPr>
          <w:p>
            <w:pPr>
              <w:spacing w:after="40" w:before="40"/>
              <w:jc w:val="right"/>
            </w:pPr>
            <w:r/>
            <w:r>
              <w:rPr>
                <w:rFonts w:ascii="Calibri" w:hAnsi="Calibri"/>
                <w:b w:val="0"/>
                <w:sz w:val="17"/>
              </w:rPr>
              <w:t>VP Sales</w:t>
            </w:r>
          </w:p>
        </w:tc>
        <w:tc>
          <w:tcPr>
            <w:tcW w:type="dxa" w:w="1440"/>
          </w:tcPr>
          <w:p>
            <w:pPr>
              <w:spacing w:after="40" w:before="40"/>
              <w:jc w:val="right"/>
            </w:pPr>
            <w:r/>
            <w:r>
              <w:rPr>
                <w:rFonts w:ascii="Calibri" w:hAnsi="Calibri"/>
                <w:b w:val="0"/>
                <w:sz w:val="17"/>
              </w:rPr>
              <w:t>2027-2031</w:t>
            </w:r>
          </w:p>
        </w:tc>
        <w:tc>
          <w:tcPr>
            <w:tcW w:type="dxa" w:w="2160"/>
          </w:tcPr>
          <w:p>
            <w:pPr>
              <w:spacing w:after="40" w:before="40"/>
              <w:jc w:val="right"/>
            </w:pPr>
            <w:r/>
            <w:r>
              <w:rPr>
                <w:rFonts w:ascii="Calibri" w:hAnsi="Calibri"/>
                <w:b w:val="0"/>
                <w:sz w:val="17"/>
              </w:rPr>
              <w:t>Take rate ↑ to 40%+</w:t>
            </w:r>
          </w:p>
        </w:tc>
        <w:tc>
          <w:tcPr>
            <w:tcW w:type="dxa" w:w="2016"/>
          </w:tcPr>
          <w:p>
            <w:pPr>
              <w:spacing w:after="40" w:before="40"/>
              <w:jc w:val="right"/>
            </w:pPr>
            <w:r/>
            <w:r>
              <w:rPr>
                <w:rFonts w:ascii="Calibri" w:hAnsi="Calibri"/>
                <w:b w:val="0"/>
                <w:sz w:val="17"/>
              </w:rPr>
              <w:t>New passings, retention</w:t>
            </w:r>
          </w:p>
        </w:tc>
      </w:tr>
      <w:tr>
        <w:tc>
          <w:tcPr>
            <w:tcW w:type="dxa" w:w="3024"/>
            <w:shd w:val="clear" w:color="auto" w:fill="F2F6FA"/>
          </w:tcPr>
          <w:p>
            <w:pPr>
              <w:spacing w:after="40" w:before="40"/>
            </w:pPr>
            <w:r/>
            <w:r>
              <w:rPr>
                <w:rFonts w:ascii="Calibri" w:hAnsi="Calibri"/>
                <w:b w:val="0"/>
                <w:sz w:val="17"/>
              </w:rPr>
              <w:t>Business &amp; enterprise sales</w:t>
            </w:r>
          </w:p>
        </w:tc>
        <w:tc>
          <w:tcPr>
            <w:tcW w:type="dxa" w:w="1728"/>
            <w:shd w:val="clear" w:color="auto" w:fill="F2F6FA"/>
          </w:tcPr>
          <w:p>
            <w:pPr>
              <w:spacing w:after="40" w:before="40"/>
              <w:jc w:val="right"/>
            </w:pPr>
            <w:r/>
            <w:r>
              <w:rPr>
                <w:rFonts w:ascii="Calibri" w:hAnsi="Calibri"/>
                <w:b w:val="0"/>
                <w:sz w:val="17"/>
              </w:rPr>
              <w:t>VP Sales / Eng</w:t>
            </w:r>
          </w:p>
        </w:tc>
        <w:tc>
          <w:tcPr>
            <w:tcW w:type="dxa" w:w="1440"/>
            <w:shd w:val="clear" w:color="auto" w:fill="F2F6FA"/>
          </w:tcPr>
          <w:p>
            <w:pPr>
              <w:spacing w:after="40" w:before="40"/>
              <w:jc w:val="right"/>
            </w:pPr>
            <w:r/>
            <w:r>
              <w:rPr>
                <w:rFonts w:ascii="Calibri" w:hAnsi="Calibri"/>
                <w:b w:val="0"/>
                <w:sz w:val="17"/>
              </w:rPr>
              <w:t>2027-2031</w:t>
            </w:r>
          </w:p>
        </w:tc>
        <w:tc>
          <w:tcPr>
            <w:tcW w:type="dxa" w:w="2160"/>
            <w:shd w:val="clear" w:color="auto" w:fill="F2F6FA"/>
          </w:tcPr>
          <w:p>
            <w:pPr>
              <w:spacing w:after="40" w:before="40"/>
              <w:jc w:val="right"/>
            </w:pPr>
            <w:r/>
            <w:r>
              <w:rPr>
                <w:rFonts w:ascii="Calibri" w:hAnsi="Calibri"/>
                <w:b w:val="0"/>
                <w:sz w:val="17"/>
              </w:rPr>
              <w:t>Higher-ARPU B2B revenue</w:t>
            </w:r>
          </w:p>
        </w:tc>
        <w:tc>
          <w:tcPr>
            <w:tcW w:type="dxa" w:w="2016"/>
            <w:shd w:val="clear" w:color="auto" w:fill="F2F6FA"/>
          </w:tcPr>
          <w:p>
            <w:pPr>
              <w:spacing w:after="40" w:before="40"/>
              <w:jc w:val="right"/>
            </w:pPr>
            <w:r/>
            <w:r>
              <w:rPr>
                <w:rFonts w:ascii="Calibri" w:hAnsi="Calibri"/>
                <w:b w:val="0"/>
                <w:sz w:val="17"/>
              </w:rPr>
              <w:t>Enterprise sales hire</w:t>
            </w:r>
          </w:p>
        </w:tc>
      </w:tr>
      <w:tr>
        <w:tc>
          <w:tcPr>
            <w:tcW w:type="dxa" w:w="3024"/>
          </w:tcPr>
          <w:p>
            <w:pPr>
              <w:spacing w:after="40" w:before="40"/>
            </w:pPr>
            <w:r/>
            <w:r>
              <w:rPr>
                <w:rFonts w:ascii="Calibri" w:hAnsi="Calibri"/>
                <w:b w:val="0"/>
                <w:sz w:val="17"/>
              </w:rPr>
              <w:t>Network expansion</w:t>
            </w:r>
          </w:p>
        </w:tc>
        <w:tc>
          <w:tcPr>
            <w:tcW w:type="dxa" w:w="1728"/>
          </w:tcPr>
          <w:p>
            <w:pPr>
              <w:spacing w:after="40" w:before="40"/>
              <w:jc w:val="right"/>
            </w:pPr>
            <w:r/>
            <w:r>
              <w:rPr>
                <w:rFonts w:ascii="Calibri" w:hAnsi="Calibri"/>
                <w:b w:val="0"/>
                <w:sz w:val="17"/>
              </w:rPr>
              <w:t>Dir OSP</w:t>
            </w:r>
          </w:p>
        </w:tc>
        <w:tc>
          <w:tcPr>
            <w:tcW w:type="dxa" w:w="1440"/>
          </w:tcPr>
          <w:p>
            <w:pPr>
              <w:spacing w:after="40" w:before="40"/>
              <w:jc w:val="right"/>
            </w:pPr>
            <w:r/>
            <w:r>
              <w:rPr>
                <w:rFonts w:ascii="Calibri" w:hAnsi="Calibri"/>
                <w:b w:val="0"/>
                <w:sz w:val="17"/>
              </w:rPr>
              <w:t>Continuous</w:t>
            </w:r>
          </w:p>
        </w:tc>
        <w:tc>
          <w:tcPr>
            <w:tcW w:type="dxa" w:w="2160"/>
          </w:tcPr>
          <w:p>
            <w:pPr>
              <w:spacing w:after="40" w:before="40"/>
              <w:jc w:val="right"/>
            </w:pPr>
            <w:r/>
            <w:r>
              <w:rPr>
                <w:rFonts w:ascii="Calibri" w:hAnsi="Calibri"/>
                <w:b w:val="0"/>
                <w:sz w:val="17"/>
              </w:rPr>
              <w:t>New passings per plan</w:t>
            </w:r>
          </w:p>
        </w:tc>
        <w:tc>
          <w:tcPr>
            <w:tcW w:type="dxa" w:w="2016"/>
          </w:tcPr>
          <w:p>
            <w:pPr>
              <w:spacing w:after="40" w:before="40"/>
              <w:jc w:val="right"/>
            </w:pPr>
            <w:r/>
            <w:r>
              <w:rPr>
                <w:rFonts w:ascii="Calibri" w:hAnsi="Calibri"/>
                <w:b w:val="0"/>
                <w:sz w:val="17"/>
              </w:rPr>
              <w:t>Permitting, make-ready</w:t>
            </w:r>
          </w:p>
        </w:tc>
      </w:tr>
      <w:tr>
        <w:tc>
          <w:tcPr>
            <w:tcW w:type="dxa" w:w="3024"/>
            <w:shd w:val="clear" w:color="auto" w:fill="F2F6FA"/>
          </w:tcPr>
          <w:p>
            <w:pPr>
              <w:spacing w:after="40" w:before="40"/>
            </w:pPr>
            <w:r/>
            <w:r>
              <w:rPr>
                <w:rFonts w:ascii="Calibri" w:hAnsi="Calibri"/>
                <w:b w:val="0"/>
                <w:sz w:val="17"/>
              </w:rPr>
              <w:t>Grant-funded construction</w:t>
            </w:r>
          </w:p>
        </w:tc>
        <w:tc>
          <w:tcPr>
            <w:tcW w:type="dxa" w:w="1728"/>
            <w:shd w:val="clear" w:color="auto" w:fill="F2F6FA"/>
          </w:tcPr>
          <w:p>
            <w:pPr>
              <w:spacing w:after="40" w:before="40"/>
              <w:jc w:val="right"/>
            </w:pPr>
            <w:r/>
            <w:r>
              <w:rPr>
                <w:rFonts w:ascii="Calibri" w:hAnsi="Calibri"/>
                <w:b w:val="0"/>
                <w:sz w:val="17"/>
              </w:rPr>
              <w:t>CFO / Grants</w:t>
            </w:r>
          </w:p>
        </w:tc>
        <w:tc>
          <w:tcPr>
            <w:tcW w:type="dxa" w:w="1440"/>
            <w:shd w:val="clear" w:color="auto" w:fill="F2F6FA"/>
          </w:tcPr>
          <w:p>
            <w:pPr>
              <w:spacing w:after="40" w:before="40"/>
              <w:jc w:val="right"/>
            </w:pPr>
            <w:r/>
            <w:r>
              <w:rPr>
                <w:rFonts w:ascii="Calibri" w:hAnsi="Calibri"/>
                <w:b w:val="0"/>
                <w:sz w:val="17"/>
              </w:rPr>
              <w:t>Per award</w:t>
            </w:r>
          </w:p>
        </w:tc>
        <w:tc>
          <w:tcPr>
            <w:tcW w:type="dxa" w:w="2160"/>
            <w:shd w:val="clear" w:color="auto" w:fill="F2F6FA"/>
          </w:tcPr>
          <w:p>
            <w:pPr>
              <w:spacing w:after="40" w:before="40"/>
              <w:jc w:val="right"/>
            </w:pPr>
            <w:r/>
            <w:r>
              <w:rPr>
                <w:rFonts w:ascii="Calibri" w:hAnsi="Calibri"/>
                <w:b w:val="0"/>
                <w:sz w:val="17"/>
              </w:rPr>
              <w:t>External capital leverage</w:t>
            </w:r>
          </w:p>
        </w:tc>
        <w:tc>
          <w:tcPr>
            <w:tcW w:type="dxa" w:w="2016"/>
            <w:shd w:val="clear" w:color="auto" w:fill="F2F6FA"/>
          </w:tcPr>
          <w:p>
            <w:pPr>
              <w:spacing w:after="40" w:before="40"/>
              <w:jc w:val="right"/>
            </w:pPr>
            <w:r/>
            <w:r>
              <w:rPr>
                <w:rFonts w:ascii="Calibri" w:hAnsi="Calibri"/>
                <w:b w:val="0"/>
                <w:sz w:val="17"/>
              </w:rPr>
              <w:t>Grant awards</w:t>
            </w:r>
          </w:p>
        </w:tc>
      </w:tr>
      <w:tr>
        <w:tc>
          <w:tcPr>
            <w:tcW w:type="dxa" w:w="3024"/>
          </w:tcPr>
          <w:p>
            <w:pPr>
              <w:spacing w:after="40" w:before="40"/>
            </w:pPr>
            <w:r/>
            <w:r>
              <w:rPr>
                <w:rFonts w:ascii="Calibri" w:hAnsi="Calibri"/>
                <w:b w:val="0"/>
                <w:sz w:val="17"/>
              </w:rPr>
              <w:t>Customer retention</w:t>
            </w:r>
          </w:p>
        </w:tc>
        <w:tc>
          <w:tcPr>
            <w:tcW w:type="dxa" w:w="1728"/>
          </w:tcPr>
          <w:p>
            <w:pPr>
              <w:spacing w:after="40" w:before="40"/>
              <w:jc w:val="right"/>
            </w:pPr>
            <w:r/>
            <w:r>
              <w:rPr>
                <w:rFonts w:ascii="Calibri" w:hAnsi="Calibri"/>
                <w:b w:val="0"/>
                <w:sz w:val="17"/>
              </w:rPr>
              <w:t>CX Manager</w:t>
            </w:r>
          </w:p>
        </w:tc>
        <w:tc>
          <w:tcPr>
            <w:tcW w:type="dxa" w:w="1440"/>
          </w:tcPr>
          <w:p>
            <w:pPr>
              <w:spacing w:after="40" w:before="40"/>
              <w:jc w:val="right"/>
            </w:pPr>
            <w:r/>
            <w:r>
              <w:rPr>
                <w:rFonts w:ascii="Calibri" w:hAnsi="Calibri"/>
                <w:b w:val="0"/>
                <w:sz w:val="17"/>
              </w:rPr>
              <w:t>2028+</w:t>
            </w:r>
          </w:p>
        </w:tc>
        <w:tc>
          <w:tcPr>
            <w:tcW w:type="dxa" w:w="2160"/>
          </w:tcPr>
          <w:p>
            <w:pPr>
              <w:spacing w:after="40" w:before="40"/>
              <w:jc w:val="right"/>
            </w:pPr>
            <w:r/>
            <w:r>
              <w:rPr>
                <w:rFonts w:ascii="Calibri" w:hAnsi="Calibri"/>
                <w:b w:val="0"/>
                <w:sz w:val="17"/>
              </w:rPr>
              <w:t>Lower churn / higher NRR</w:t>
            </w:r>
          </w:p>
        </w:tc>
        <w:tc>
          <w:tcPr>
            <w:tcW w:type="dxa" w:w="2016"/>
          </w:tcPr>
          <w:p>
            <w:pPr>
              <w:spacing w:after="40" w:before="40"/>
              <w:jc w:val="right"/>
            </w:pPr>
            <w:r/>
            <w:r>
              <w:rPr>
                <w:rFonts w:ascii="Calibri" w:hAnsi="Calibri"/>
                <w:b w:val="0"/>
                <w:sz w:val="17"/>
              </w:rPr>
              <w:t>CX hire, systems</w:t>
            </w:r>
          </w:p>
        </w:tc>
      </w:tr>
      <w:tr>
        <w:tc>
          <w:tcPr>
            <w:tcW w:type="dxa" w:w="3024"/>
            <w:shd w:val="clear" w:color="auto" w:fill="F2F6FA"/>
          </w:tcPr>
          <w:p>
            <w:pPr>
              <w:spacing w:after="40" w:before="40"/>
            </w:pPr>
            <w:r/>
            <w:r>
              <w:rPr>
                <w:rFonts w:ascii="Calibri" w:hAnsi="Calibri"/>
                <w:b w:val="0"/>
                <w:sz w:val="17"/>
              </w:rPr>
              <w:t>Installation-cycle reduction</w:t>
            </w:r>
          </w:p>
        </w:tc>
        <w:tc>
          <w:tcPr>
            <w:tcW w:type="dxa" w:w="1728"/>
            <w:shd w:val="clear" w:color="auto" w:fill="F2F6FA"/>
          </w:tcPr>
          <w:p>
            <w:pPr>
              <w:spacing w:after="40" w:before="40"/>
              <w:jc w:val="right"/>
            </w:pPr>
            <w:r/>
            <w:r>
              <w:rPr>
                <w:rFonts w:ascii="Calibri" w:hAnsi="Calibri"/>
                <w:b w:val="0"/>
                <w:sz w:val="17"/>
              </w:rPr>
              <w:t>Field Ops</w:t>
            </w:r>
          </w:p>
        </w:tc>
        <w:tc>
          <w:tcPr>
            <w:tcW w:type="dxa" w:w="1440"/>
            <w:shd w:val="clear" w:color="auto" w:fill="F2F6FA"/>
          </w:tcPr>
          <w:p>
            <w:pPr>
              <w:spacing w:after="40" w:before="40"/>
              <w:jc w:val="right"/>
            </w:pPr>
            <w:r/>
            <w:r>
              <w:rPr>
                <w:rFonts w:ascii="Calibri" w:hAnsi="Calibri"/>
                <w:b w:val="0"/>
                <w:sz w:val="17"/>
              </w:rPr>
              <w:t>2027-2029</w:t>
            </w:r>
          </w:p>
        </w:tc>
        <w:tc>
          <w:tcPr>
            <w:tcW w:type="dxa" w:w="2160"/>
            <w:shd w:val="clear" w:color="auto" w:fill="F2F6FA"/>
          </w:tcPr>
          <w:p>
            <w:pPr>
              <w:spacing w:after="40" w:before="40"/>
              <w:jc w:val="right"/>
            </w:pPr>
            <w:r/>
            <w:r>
              <w:rPr>
                <w:rFonts w:ascii="Calibri" w:hAnsi="Calibri"/>
                <w:b w:val="0"/>
                <w:sz w:val="17"/>
              </w:rPr>
              <w:t>Interval 9→6 days</w:t>
            </w:r>
          </w:p>
        </w:tc>
        <w:tc>
          <w:tcPr>
            <w:tcW w:type="dxa" w:w="2016"/>
            <w:shd w:val="clear" w:color="auto" w:fill="F2F6FA"/>
          </w:tcPr>
          <w:p>
            <w:pPr>
              <w:spacing w:after="40" w:before="40"/>
              <w:jc w:val="right"/>
            </w:pPr>
            <w:r/>
            <w:r>
              <w:rPr>
                <w:rFonts w:ascii="Calibri" w:hAnsi="Calibri"/>
                <w:b w:val="0"/>
                <w:sz w:val="17"/>
              </w:rPr>
              <w:t>Install techs, WFM</w:t>
            </w:r>
          </w:p>
        </w:tc>
      </w:tr>
      <w:tr>
        <w:tc>
          <w:tcPr>
            <w:tcW w:type="dxa" w:w="3024"/>
          </w:tcPr>
          <w:p>
            <w:pPr>
              <w:spacing w:after="40" w:before="40"/>
            </w:pPr>
            <w:r/>
            <w:r>
              <w:rPr>
                <w:rFonts w:ascii="Calibri" w:hAnsi="Calibri"/>
                <w:b w:val="0"/>
                <w:sz w:val="17"/>
              </w:rPr>
              <w:t>Preventive maintenance</w:t>
            </w:r>
          </w:p>
        </w:tc>
        <w:tc>
          <w:tcPr>
            <w:tcW w:type="dxa" w:w="1728"/>
          </w:tcPr>
          <w:p>
            <w:pPr>
              <w:spacing w:after="40" w:before="40"/>
              <w:jc w:val="right"/>
            </w:pPr>
            <w:r/>
            <w:r>
              <w:rPr>
                <w:rFonts w:ascii="Calibri" w:hAnsi="Calibri"/>
                <w:b w:val="0"/>
                <w:sz w:val="17"/>
              </w:rPr>
              <w:t>Dir OSP</w:t>
            </w:r>
          </w:p>
        </w:tc>
        <w:tc>
          <w:tcPr>
            <w:tcW w:type="dxa" w:w="1440"/>
          </w:tcPr>
          <w:p>
            <w:pPr>
              <w:spacing w:after="40" w:before="40"/>
              <w:jc w:val="right"/>
            </w:pPr>
            <w:r/>
            <w:r>
              <w:rPr>
                <w:rFonts w:ascii="Calibri" w:hAnsi="Calibri"/>
                <w:b w:val="0"/>
                <w:sz w:val="17"/>
              </w:rPr>
              <w:t>Continuous</w:t>
            </w:r>
          </w:p>
        </w:tc>
        <w:tc>
          <w:tcPr>
            <w:tcW w:type="dxa" w:w="2160"/>
          </w:tcPr>
          <w:p>
            <w:pPr>
              <w:spacing w:after="40" w:before="40"/>
              <w:jc w:val="right"/>
            </w:pPr>
            <w:r/>
            <w:r>
              <w:rPr>
                <w:rFonts w:ascii="Calibri" w:hAnsi="Calibri"/>
                <w:b w:val="0"/>
                <w:sz w:val="17"/>
              </w:rPr>
              <w:t>Fewer outages</w:t>
            </w:r>
          </w:p>
        </w:tc>
        <w:tc>
          <w:tcPr>
            <w:tcW w:type="dxa" w:w="2016"/>
          </w:tcPr>
          <w:p>
            <w:pPr>
              <w:spacing w:after="40" w:before="40"/>
              <w:jc w:val="right"/>
            </w:pPr>
            <w:r/>
            <w:r>
              <w:rPr>
                <w:rFonts w:ascii="Calibri" w:hAnsi="Calibri"/>
                <w:b w:val="0"/>
                <w:sz w:val="17"/>
              </w:rPr>
              <w:t>Maintenance program</w:t>
            </w:r>
          </w:p>
        </w:tc>
      </w:tr>
      <w:tr>
        <w:tc>
          <w:tcPr>
            <w:tcW w:type="dxa" w:w="3024"/>
            <w:shd w:val="clear" w:color="auto" w:fill="F2F6FA"/>
          </w:tcPr>
          <w:p>
            <w:pPr>
              <w:spacing w:after="40" w:before="40"/>
            </w:pPr>
            <w:r/>
            <w:r>
              <w:rPr>
                <w:rFonts w:ascii="Calibri" w:hAnsi="Calibri"/>
                <w:b w:val="0"/>
                <w:sz w:val="17"/>
              </w:rPr>
              <w:t>Equipment lifecycle mgmt</w:t>
            </w:r>
          </w:p>
        </w:tc>
        <w:tc>
          <w:tcPr>
            <w:tcW w:type="dxa" w:w="1728"/>
            <w:shd w:val="clear" w:color="auto" w:fill="F2F6FA"/>
          </w:tcPr>
          <w:p>
            <w:pPr>
              <w:spacing w:after="40" w:before="40"/>
              <w:jc w:val="right"/>
            </w:pPr>
            <w:r/>
            <w:r>
              <w:rPr>
                <w:rFonts w:ascii="Calibri" w:hAnsi="Calibri"/>
                <w:b w:val="0"/>
                <w:sz w:val="17"/>
              </w:rPr>
              <w:t>COO / Net Eng</w:t>
            </w:r>
          </w:p>
        </w:tc>
        <w:tc>
          <w:tcPr>
            <w:tcW w:type="dxa" w:w="1440"/>
            <w:shd w:val="clear" w:color="auto" w:fill="F2F6FA"/>
          </w:tcPr>
          <w:p>
            <w:pPr>
              <w:spacing w:after="40" w:before="40"/>
              <w:jc w:val="right"/>
            </w:pPr>
            <w:r/>
            <w:r>
              <w:rPr>
                <w:rFonts w:ascii="Calibri" w:hAnsi="Calibri"/>
                <w:b w:val="0"/>
                <w:sz w:val="17"/>
              </w:rPr>
              <w:t>Annual</w:t>
            </w:r>
          </w:p>
        </w:tc>
        <w:tc>
          <w:tcPr>
            <w:tcW w:type="dxa" w:w="2160"/>
            <w:shd w:val="clear" w:color="auto" w:fill="F2F6FA"/>
          </w:tcPr>
          <w:p>
            <w:pPr>
              <w:spacing w:after="40" w:before="40"/>
              <w:jc w:val="right"/>
            </w:pPr>
            <w:r/>
            <w:r>
              <w:rPr>
                <w:rFonts w:ascii="Calibri" w:hAnsi="Calibri"/>
                <w:b w:val="0"/>
                <w:sz w:val="17"/>
              </w:rPr>
              <w:t>Avoid emergency capex</w:t>
            </w:r>
          </w:p>
        </w:tc>
        <w:tc>
          <w:tcPr>
            <w:tcW w:type="dxa" w:w="2016"/>
            <w:shd w:val="clear" w:color="auto" w:fill="F2F6FA"/>
          </w:tcPr>
          <w:p>
            <w:pPr>
              <w:spacing w:after="40" w:before="40"/>
              <w:jc w:val="right"/>
            </w:pPr>
            <w:r/>
            <w:r>
              <w:rPr>
                <w:rFonts w:ascii="Calibri" w:hAnsi="Calibri"/>
                <w:b w:val="0"/>
                <w:sz w:val="17"/>
              </w:rPr>
              <w:t>Refresh funding</w:t>
            </w:r>
          </w:p>
        </w:tc>
      </w:tr>
      <w:tr>
        <w:tc>
          <w:tcPr>
            <w:tcW w:type="dxa" w:w="3024"/>
          </w:tcPr>
          <w:p>
            <w:pPr>
              <w:spacing w:after="40" w:before="40"/>
            </w:pPr>
            <w:r/>
            <w:r>
              <w:rPr>
                <w:rFonts w:ascii="Calibri" w:hAnsi="Calibri"/>
                <w:b w:val="0"/>
                <w:sz w:val="17"/>
              </w:rPr>
              <w:t>Workforce development</w:t>
            </w:r>
          </w:p>
        </w:tc>
        <w:tc>
          <w:tcPr>
            <w:tcW w:type="dxa" w:w="1728"/>
          </w:tcPr>
          <w:p>
            <w:pPr>
              <w:spacing w:after="40" w:before="40"/>
              <w:jc w:val="right"/>
            </w:pPr>
            <w:r/>
            <w:r>
              <w:rPr>
                <w:rFonts w:ascii="Calibri" w:hAnsi="Calibri"/>
                <w:b w:val="0"/>
                <w:sz w:val="17"/>
              </w:rPr>
              <w:t>COO / HR</w:t>
            </w:r>
          </w:p>
        </w:tc>
        <w:tc>
          <w:tcPr>
            <w:tcW w:type="dxa" w:w="1440"/>
          </w:tcPr>
          <w:p>
            <w:pPr>
              <w:spacing w:after="40" w:before="40"/>
              <w:jc w:val="right"/>
            </w:pPr>
            <w:r/>
            <w:r>
              <w:rPr>
                <w:rFonts w:ascii="Calibri" w:hAnsi="Calibri"/>
                <w:b w:val="0"/>
                <w:sz w:val="17"/>
              </w:rPr>
              <w:t>Continuous</w:t>
            </w:r>
          </w:p>
        </w:tc>
        <w:tc>
          <w:tcPr>
            <w:tcW w:type="dxa" w:w="2160"/>
          </w:tcPr>
          <w:p>
            <w:pPr>
              <w:spacing w:after="40" w:before="40"/>
              <w:jc w:val="right"/>
            </w:pPr>
            <w:r/>
            <w:r>
              <w:rPr>
                <w:rFonts w:ascii="Calibri" w:hAnsi="Calibri"/>
                <w:b w:val="0"/>
                <w:sz w:val="17"/>
              </w:rPr>
              <w:t>Retention, productivity</w:t>
            </w:r>
          </w:p>
        </w:tc>
        <w:tc>
          <w:tcPr>
            <w:tcW w:type="dxa" w:w="2016"/>
          </w:tcPr>
          <w:p>
            <w:pPr>
              <w:spacing w:after="40" w:before="40"/>
              <w:jc w:val="right"/>
            </w:pPr>
            <w:r/>
            <w:r>
              <w:rPr>
                <w:rFonts w:ascii="Calibri" w:hAnsi="Calibri"/>
                <w:b w:val="0"/>
                <w:sz w:val="17"/>
              </w:rPr>
              <w:t>Training budget</w:t>
            </w:r>
          </w:p>
        </w:tc>
      </w:tr>
      <w:tr>
        <w:tc>
          <w:tcPr>
            <w:tcW w:type="dxa" w:w="3024"/>
            <w:shd w:val="clear" w:color="auto" w:fill="F2F6FA"/>
          </w:tcPr>
          <w:p>
            <w:pPr>
              <w:spacing w:after="40" w:before="40"/>
            </w:pPr>
            <w:r/>
            <w:r>
              <w:rPr>
                <w:rFonts w:ascii="Calibri" w:hAnsi="Calibri"/>
                <w:b w:val="0"/>
                <w:sz w:val="17"/>
              </w:rPr>
              <w:t>Automation &amp; systems integration</w:t>
            </w:r>
          </w:p>
        </w:tc>
        <w:tc>
          <w:tcPr>
            <w:tcW w:type="dxa" w:w="1728"/>
            <w:shd w:val="clear" w:color="auto" w:fill="F2F6FA"/>
          </w:tcPr>
          <w:p>
            <w:pPr>
              <w:spacing w:after="40" w:before="40"/>
              <w:jc w:val="right"/>
            </w:pPr>
            <w:r/>
            <w:r>
              <w:rPr>
                <w:rFonts w:ascii="Calibri" w:hAnsi="Calibri"/>
                <w:b w:val="0"/>
                <w:sz w:val="17"/>
              </w:rPr>
              <w:t>CIO / COO</w:t>
            </w:r>
          </w:p>
        </w:tc>
        <w:tc>
          <w:tcPr>
            <w:tcW w:type="dxa" w:w="1440"/>
            <w:shd w:val="clear" w:color="auto" w:fill="F2F6FA"/>
          </w:tcPr>
          <w:p>
            <w:pPr>
              <w:spacing w:after="40" w:before="40"/>
              <w:jc w:val="right"/>
            </w:pPr>
            <w:r/>
            <w:r>
              <w:rPr>
                <w:rFonts w:ascii="Calibri" w:hAnsi="Calibri"/>
                <w:b w:val="0"/>
                <w:sz w:val="17"/>
              </w:rPr>
              <w:t>2027-2030</w:t>
            </w:r>
          </w:p>
        </w:tc>
        <w:tc>
          <w:tcPr>
            <w:tcW w:type="dxa" w:w="2160"/>
            <w:shd w:val="clear" w:color="auto" w:fill="F2F6FA"/>
          </w:tcPr>
          <w:p>
            <w:pPr>
              <w:spacing w:after="40" w:before="40"/>
              <w:jc w:val="right"/>
            </w:pPr>
            <w:r/>
            <w:r>
              <w:rPr>
                <w:rFonts w:ascii="Calibri" w:hAnsi="Calibri"/>
                <w:b w:val="0"/>
                <w:sz w:val="17"/>
              </w:rPr>
              <w:t>Lower cost/sub</w:t>
            </w:r>
          </w:p>
        </w:tc>
        <w:tc>
          <w:tcPr>
            <w:tcW w:type="dxa" w:w="2016"/>
            <w:shd w:val="clear" w:color="auto" w:fill="F2F6FA"/>
          </w:tcPr>
          <w:p>
            <w:pPr>
              <w:spacing w:after="40" w:before="40"/>
              <w:jc w:val="right"/>
            </w:pPr>
            <w:r/>
            <w:r>
              <w:rPr>
                <w:rFonts w:ascii="Calibri" w:hAnsi="Calibri"/>
                <w:b w:val="0"/>
                <w:sz w:val="17"/>
              </w:rPr>
              <w:t>OSS/BSS capital</w:t>
            </w:r>
          </w:p>
        </w:tc>
      </w:tr>
      <w:tr>
        <w:tc>
          <w:tcPr>
            <w:tcW w:type="dxa" w:w="3024"/>
          </w:tcPr>
          <w:p>
            <w:pPr>
              <w:spacing w:after="40" w:before="40"/>
            </w:pPr>
            <w:r/>
            <w:r>
              <w:rPr>
                <w:rFonts w:ascii="Calibri" w:hAnsi="Calibri"/>
                <w:b w:val="0"/>
                <w:sz w:val="17"/>
              </w:rPr>
              <w:t>Cybersecurity &amp; disaster recovery</w:t>
            </w:r>
          </w:p>
        </w:tc>
        <w:tc>
          <w:tcPr>
            <w:tcW w:type="dxa" w:w="1728"/>
          </w:tcPr>
          <w:p>
            <w:pPr>
              <w:spacing w:after="40" w:before="40"/>
              <w:jc w:val="right"/>
            </w:pPr>
            <w:r/>
            <w:r>
              <w:rPr>
                <w:rFonts w:ascii="Calibri" w:hAnsi="Calibri"/>
                <w:b w:val="0"/>
                <w:sz w:val="17"/>
              </w:rPr>
              <w:t>IT / CISO</w:t>
            </w:r>
          </w:p>
        </w:tc>
        <w:tc>
          <w:tcPr>
            <w:tcW w:type="dxa" w:w="1440"/>
          </w:tcPr>
          <w:p>
            <w:pPr>
              <w:spacing w:after="40" w:before="40"/>
              <w:jc w:val="right"/>
            </w:pPr>
            <w:r/>
            <w:r>
              <w:rPr>
                <w:rFonts w:ascii="Calibri" w:hAnsi="Calibri"/>
                <w:b w:val="0"/>
                <w:sz w:val="17"/>
              </w:rPr>
              <w:t>2027+</w:t>
            </w:r>
          </w:p>
        </w:tc>
        <w:tc>
          <w:tcPr>
            <w:tcW w:type="dxa" w:w="2160"/>
          </w:tcPr>
          <w:p>
            <w:pPr>
              <w:spacing w:after="40" w:before="40"/>
              <w:jc w:val="right"/>
            </w:pPr>
            <w:r/>
            <w:r>
              <w:rPr>
                <w:rFonts w:ascii="Calibri" w:hAnsi="Calibri"/>
                <w:b w:val="0"/>
                <w:sz w:val="17"/>
              </w:rPr>
              <w:t>Risk reduction</w:t>
            </w:r>
          </w:p>
        </w:tc>
        <w:tc>
          <w:tcPr>
            <w:tcW w:type="dxa" w:w="2016"/>
          </w:tcPr>
          <w:p>
            <w:pPr>
              <w:spacing w:after="40" w:before="40"/>
              <w:jc w:val="right"/>
            </w:pPr>
            <w:r/>
            <w:r>
              <w:rPr>
                <w:rFonts w:ascii="Calibri" w:hAnsi="Calibri"/>
                <w:b w:val="0"/>
                <w:sz w:val="17"/>
              </w:rPr>
              <w:t>Security capital</w:t>
            </w:r>
          </w:p>
        </w:tc>
      </w:tr>
      <w:tr>
        <w:tc>
          <w:tcPr>
            <w:tcW w:type="dxa" w:w="3024"/>
            <w:shd w:val="clear" w:color="auto" w:fill="F2F6FA"/>
          </w:tcPr>
          <w:p>
            <w:pPr>
              <w:spacing w:after="40" w:before="40"/>
            </w:pPr>
            <w:r/>
            <w:r>
              <w:rPr>
                <w:rFonts w:ascii="Calibri" w:hAnsi="Calibri"/>
                <w:b w:val="0"/>
                <w:sz w:val="17"/>
              </w:rPr>
              <w:t>Wholesale fiber monetization</w:t>
            </w:r>
          </w:p>
        </w:tc>
        <w:tc>
          <w:tcPr>
            <w:tcW w:type="dxa" w:w="1728"/>
            <w:shd w:val="clear" w:color="auto" w:fill="F2F6FA"/>
          </w:tcPr>
          <w:p>
            <w:pPr>
              <w:spacing w:after="40" w:before="40"/>
              <w:jc w:val="right"/>
            </w:pPr>
            <w:r/>
            <w:r>
              <w:rPr>
                <w:rFonts w:ascii="Calibri" w:hAnsi="Calibri"/>
                <w:b w:val="0"/>
                <w:sz w:val="17"/>
              </w:rPr>
              <w:t>VP Sales / Eng</w:t>
            </w:r>
          </w:p>
        </w:tc>
        <w:tc>
          <w:tcPr>
            <w:tcW w:type="dxa" w:w="1440"/>
            <w:shd w:val="clear" w:color="auto" w:fill="F2F6FA"/>
          </w:tcPr>
          <w:p>
            <w:pPr>
              <w:spacing w:after="40" w:before="40"/>
              <w:jc w:val="right"/>
            </w:pPr>
            <w:r/>
            <w:r>
              <w:rPr>
                <w:rFonts w:ascii="Calibri" w:hAnsi="Calibri"/>
                <w:b w:val="0"/>
                <w:sz w:val="17"/>
              </w:rPr>
              <w:t>2028+</w:t>
            </w:r>
          </w:p>
        </w:tc>
        <w:tc>
          <w:tcPr>
            <w:tcW w:type="dxa" w:w="2160"/>
            <w:shd w:val="clear" w:color="auto" w:fill="F2F6FA"/>
          </w:tcPr>
          <w:p>
            <w:pPr>
              <w:spacing w:after="40" w:before="40"/>
              <w:jc w:val="right"/>
            </w:pPr>
            <w:r/>
            <w:r>
              <w:rPr>
                <w:rFonts w:ascii="Calibri" w:hAnsi="Calibri"/>
                <w:b w:val="0"/>
                <w:sz w:val="17"/>
              </w:rPr>
              <w:t>Incremental transport revenue</w:t>
            </w:r>
          </w:p>
        </w:tc>
        <w:tc>
          <w:tcPr>
            <w:tcW w:type="dxa" w:w="2016"/>
            <w:shd w:val="clear" w:color="auto" w:fill="F2F6FA"/>
          </w:tcPr>
          <w:p>
            <w:pPr>
              <w:spacing w:after="40" w:before="40"/>
              <w:jc w:val="right"/>
            </w:pPr>
            <w:r/>
            <w:r>
              <w:rPr>
                <w:rFonts w:ascii="Calibri" w:hAnsi="Calibri"/>
                <w:b w:val="0"/>
                <w:sz w:val="17"/>
              </w:rPr>
              <w:t>Backbone capacity</w:t>
            </w:r>
          </w:p>
        </w:tc>
      </w:tr>
      <w:tr>
        <w:tc>
          <w:tcPr>
            <w:tcW w:type="dxa" w:w="3024"/>
          </w:tcPr>
          <w:p>
            <w:pPr>
              <w:spacing w:after="40" w:before="40"/>
            </w:pPr>
            <w:r/>
            <w:r>
              <w:rPr>
                <w:rFonts w:ascii="Calibri" w:hAnsi="Calibri"/>
                <w:b w:val="0"/>
                <w:sz w:val="17"/>
              </w:rPr>
              <w:t>Community &amp; tribal partnerships</w:t>
            </w:r>
          </w:p>
        </w:tc>
        <w:tc>
          <w:tcPr>
            <w:tcW w:type="dxa" w:w="1728"/>
          </w:tcPr>
          <w:p>
            <w:pPr>
              <w:spacing w:after="40" w:before="40"/>
              <w:jc w:val="right"/>
            </w:pPr>
            <w:r/>
            <w:r>
              <w:rPr>
                <w:rFonts w:ascii="Calibri" w:hAnsi="Calibri"/>
                <w:b w:val="0"/>
                <w:sz w:val="17"/>
              </w:rPr>
              <w:t>CEO</w:t>
            </w:r>
          </w:p>
        </w:tc>
        <w:tc>
          <w:tcPr>
            <w:tcW w:type="dxa" w:w="1440"/>
          </w:tcPr>
          <w:p>
            <w:pPr>
              <w:spacing w:after="40" w:before="40"/>
              <w:jc w:val="right"/>
            </w:pPr>
            <w:r/>
            <w:r>
              <w:rPr>
                <w:rFonts w:ascii="Calibri" w:hAnsi="Calibri"/>
                <w:b w:val="0"/>
                <w:sz w:val="17"/>
              </w:rPr>
              <w:t>Continuous</w:t>
            </w:r>
          </w:p>
        </w:tc>
        <w:tc>
          <w:tcPr>
            <w:tcW w:type="dxa" w:w="2160"/>
          </w:tcPr>
          <w:p>
            <w:pPr>
              <w:spacing w:after="40" w:before="40"/>
              <w:jc w:val="right"/>
            </w:pPr>
            <w:r/>
            <w:r>
              <w:rPr>
                <w:rFonts w:ascii="Calibri" w:hAnsi="Calibri"/>
                <w:b w:val="0"/>
                <w:sz w:val="17"/>
              </w:rPr>
              <w:t>Access &amp; goodwill</w:t>
            </w:r>
          </w:p>
        </w:tc>
        <w:tc>
          <w:tcPr>
            <w:tcW w:type="dxa" w:w="2016"/>
          </w:tcPr>
          <w:p>
            <w:pPr>
              <w:spacing w:after="40" w:before="40"/>
              <w:jc w:val="right"/>
            </w:pPr>
            <w:r/>
            <w:r>
              <w:rPr>
                <w:rFonts w:ascii="Calibri" w:hAnsi="Calibri"/>
                <w:b w:val="0"/>
                <w:sz w:val="17"/>
              </w:rPr>
              <w:t>Local relationships</w:t>
            </w:r>
          </w:p>
        </w:tc>
      </w:tr>
    </w:tbl>
    <w:p>
      <w:pPr>
        <w:spacing w:after="40"/>
      </w:pPr>
    </w:p>
    <w:p>
      <w:r>
        <w:br w:type="page"/>
      </w:r>
    </w:p>
    <w:p>
      <w:pPr>
        <w:pStyle w:val="Heading1"/>
      </w:pPr>
      <w:r>
        <w:rPr>
          <w:rFonts w:ascii="Calibri" w:hAnsi="Calibri"/>
          <w:color w:val="1F3B4D"/>
          <w:sz w:val="32"/>
        </w:rPr>
        <w:t>14. Implementation Roadmap</w:t>
      </w:r>
    </w:p>
    <w:p>
      <w:pPr>
        <w:pStyle w:val="Heading2"/>
      </w:pPr>
      <w:r>
        <w:rPr>
          <w:rFonts w:ascii="Calibri" w:hAnsi="Calibri"/>
          <w:color w:val="2E7D8A"/>
          <w:sz w:val="25"/>
        </w:rPr>
        <w:t>Year 1 (2027) — quarterly</w:t>
      </w:r>
    </w:p>
    <w:tbl>
      <w:tblPr>
        <w:tblStyle w:val="TableGrid"/>
        <w:tblW w:type="auto" w:w="0"/>
        <w:jc w:val="center"/>
        <w:tblLook w:firstColumn="1" w:firstRow="1" w:lastColumn="0" w:lastRow="0" w:noHBand="0" w:noVBand="1" w:val="04A0"/>
      </w:tblPr>
      <w:tblGrid>
        <w:gridCol w:w="4320"/>
        <w:gridCol w:w="4320"/>
      </w:tblGrid>
      <w:tr>
        <w:tc>
          <w:tcPr>
            <w:tcW w:type="dxa" w:w="1584"/>
            <w:shd w:val="clear" w:color="auto" w:fill="1F3B4D"/>
          </w:tcPr>
          <w:p>
            <w:pPr>
              <w:spacing w:after="40" w:before="40"/>
            </w:pPr>
            <w:r/>
            <w:r>
              <w:rPr>
                <w:rFonts w:ascii="Calibri" w:hAnsi="Calibri"/>
                <w:b/>
                <w:color w:val="FFFFFF"/>
                <w:sz w:val="19"/>
              </w:rPr>
              <w:t>Quarter</w:t>
            </w:r>
          </w:p>
        </w:tc>
        <w:tc>
          <w:tcPr>
            <w:tcW w:type="dxa" w:w="8208"/>
            <w:shd w:val="clear" w:color="auto" w:fill="1F3B4D"/>
          </w:tcPr>
          <w:p>
            <w:pPr>
              <w:spacing w:after="40" w:before="40"/>
              <w:jc w:val="center"/>
            </w:pPr>
            <w:r/>
            <w:r>
              <w:rPr>
                <w:rFonts w:ascii="Calibri" w:hAnsi="Calibri"/>
                <w:b/>
                <w:color w:val="FFFFFF"/>
                <w:sz w:val="19"/>
              </w:rPr>
              <w:t>Priorities</w:t>
            </w:r>
          </w:p>
        </w:tc>
      </w:tr>
      <w:tr>
        <w:tc>
          <w:tcPr>
            <w:tcW w:type="dxa" w:w="1584"/>
          </w:tcPr>
          <w:p>
            <w:pPr>
              <w:spacing w:after="40" w:before="40"/>
            </w:pPr>
            <w:r/>
            <w:r>
              <w:rPr>
                <w:rFonts w:ascii="Calibri" w:hAnsi="Calibri"/>
                <w:b w:val="0"/>
                <w:sz w:val="19"/>
              </w:rPr>
              <w:t>Q1 2027</w:t>
            </w:r>
          </w:p>
        </w:tc>
        <w:tc>
          <w:tcPr>
            <w:tcW w:type="dxa" w:w="8208"/>
          </w:tcPr>
          <w:p>
            <w:pPr>
              <w:spacing w:after="40" w:before="40"/>
              <w:jc w:val="right"/>
            </w:pPr>
            <w:r/>
            <w:r>
              <w:rPr>
                <w:rFonts w:ascii="Calibri" w:hAnsi="Calibri"/>
                <w:b w:val="0"/>
                <w:sz w:val="19"/>
              </w:rPr>
              <w:t>Fill 1 sales rep + 2 fiber technician openings; finalize capital-allocation governance; establish the $400K equipment-refresh schedule; stand up monthly KPI reporting.</w:t>
            </w:r>
          </w:p>
        </w:tc>
      </w:tr>
      <w:tr>
        <w:tc>
          <w:tcPr>
            <w:tcW w:type="dxa" w:w="1584"/>
            <w:shd w:val="clear" w:color="auto" w:fill="F2F6FA"/>
          </w:tcPr>
          <w:p>
            <w:pPr>
              <w:spacing w:after="40" w:before="40"/>
            </w:pPr>
            <w:r/>
            <w:r>
              <w:rPr>
                <w:rFonts w:ascii="Calibri" w:hAnsi="Calibri"/>
                <w:b w:val="0"/>
                <w:sz w:val="19"/>
              </w:rPr>
              <w:t>Q2 2027</w:t>
            </w:r>
          </w:p>
        </w:tc>
        <w:tc>
          <w:tcPr>
            <w:tcW w:type="dxa" w:w="8208"/>
            <w:shd w:val="clear" w:color="auto" w:fill="F2F6FA"/>
          </w:tcPr>
          <w:p>
            <w:pPr>
              <w:spacing w:after="40" w:before="40"/>
              <w:jc w:val="right"/>
            </w:pPr>
            <w:r/>
            <w:r>
              <w:rPr>
                <w:rFonts w:ascii="Calibri" w:hAnsi="Calibri"/>
                <w:b w:val="0"/>
                <w:sz w:val="19"/>
              </w:rPr>
              <w:t>Implement construction-prioritization criteria; create hiring triggers; begin quarterly forecast updates; hire Network Engineer / NOC Technician per triggers.</w:t>
            </w:r>
          </w:p>
        </w:tc>
      </w:tr>
      <w:tr>
        <w:tc>
          <w:tcPr>
            <w:tcW w:type="dxa" w:w="1584"/>
          </w:tcPr>
          <w:p>
            <w:pPr>
              <w:spacing w:after="40" w:before="40"/>
            </w:pPr>
            <w:r/>
            <w:r>
              <w:rPr>
                <w:rFonts w:ascii="Calibri" w:hAnsi="Calibri"/>
                <w:b w:val="0"/>
                <w:sz w:val="19"/>
              </w:rPr>
              <w:t>Q3 2027</w:t>
            </w:r>
          </w:p>
        </w:tc>
        <w:tc>
          <w:tcPr>
            <w:tcW w:type="dxa" w:w="8208"/>
          </w:tcPr>
          <w:p>
            <w:pPr>
              <w:spacing w:after="40" w:before="40"/>
              <w:jc w:val="right"/>
            </w:pPr>
            <w:r/>
            <w:r>
              <w:rPr>
                <w:rFonts w:ascii="Calibri" w:hAnsi="Calibri"/>
                <w:b w:val="0"/>
                <w:sz w:val="19"/>
              </w:rPr>
              <w:t>Launch project-level ROI review; establish equipment-lifecycle and replacement standards; scale residential sales on newly-passed plant.</w:t>
            </w:r>
          </w:p>
        </w:tc>
      </w:tr>
      <w:tr>
        <w:tc>
          <w:tcPr>
            <w:tcW w:type="dxa" w:w="1584"/>
            <w:shd w:val="clear" w:color="auto" w:fill="F2F6FA"/>
          </w:tcPr>
          <w:p>
            <w:pPr>
              <w:spacing w:after="40" w:before="40"/>
            </w:pPr>
            <w:r/>
            <w:r>
              <w:rPr>
                <w:rFonts w:ascii="Calibri" w:hAnsi="Calibri"/>
                <w:b w:val="0"/>
                <w:sz w:val="19"/>
              </w:rPr>
              <w:t>Q4 2027</w:t>
            </w:r>
          </w:p>
        </w:tc>
        <w:tc>
          <w:tcPr>
            <w:tcW w:type="dxa" w:w="8208"/>
            <w:shd w:val="clear" w:color="auto" w:fill="F2F6FA"/>
          </w:tcPr>
          <w:p>
            <w:pPr>
              <w:spacing w:after="40" w:before="40"/>
              <w:jc w:val="right"/>
            </w:pPr>
            <w:r/>
            <w:r>
              <w:rPr>
                <w:rFonts w:ascii="Calibri" w:hAnsi="Calibri"/>
                <w:b w:val="0"/>
                <w:sz w:val="19"/>
              </w:rPr>
              <w:t>First annual capital-governance review; assess triggers for 2028 hires; refresh forecast; report Year-1 KPIs to the Board.</w:t>
            </w:r>
          </w:p>
        </w:tc>
      </w:tr>
    </w:tbl>
    <w:p>
      <w:pPr>
        <w:spacing w:after="40"/>
      </w:pPr>
    </w:p>
    <w:p>
      <w:pPr>
        <w:pStyle w:val="Heading2"/>
      </w:pPr>
      <w:r>
        <w:rPr>
          <w:rFonts w:ascii="Calibri" w:hAnsi="Calibri"/>
          <w:color w:val="2E7D8A"/>
          <w:sz w:val="25"/>
        </w:rPr>
        <w:t>Years 2–5 — annual</w:t>
      </w:r>
    </w:p>
    <w:tbl>
      <w:tblPr>
        <w:tblStyle w:val="TableGrid"/>
        <w:tblW w:type="auto" w:w="0"/>
        <w:jc w:val="center"/>
        <w:tblLook w:firstColumn="1" w:firstRow="1" w:lastColumn="0" w:lastRow="0" w:noHBand="0" w:noVBand="1" w:val="04A0"/>
      </w:tblPr>
      <w:tblGrid>
        <w:gridCol w:w="4320"/>
        <w:gridCol w:w="4320"/>
      </w:tblGrid>
      <w:tr>
        <w:tc>
          <w:tcPr>
            <w:tcW w:type="dxa" w:w="1152"/>
            <w:shd w:val="clear" w:color="auto" w:fill="1F3B4D"/>
          </w:tcPr>
          <w:p>
            <w:pPr>
              <w:spacing w:after="40" w:before="40"/>
            </w:pPr>
            <w:r/>
            <w:r>
              <w:rPr>
                <w:rFonts w:ascii="Calibri" w:hAnsi="Calibri"/>
                <w:b/>
                <w:color w:val="FFFFFF"/>
                <w:sz w:val="19"/>
              </w:rPr>
              <w:t>Year</w:t>
            </w:r>
          </w:p>
        </w:tc>
        <w:tc>
          <w:tcPr>
            <w:tcW w:type="dxa" w:w="8640"/>
            <w:shd w:val="clear" w:color="auto" w:fill="1F3B4D"/>
          </w:tcPr>
          <w:p>
            <w:pPr>
              <w:spacing w:after="40" w:before="40"/>
              <w:jc w:val="center"/>
            </w:pPr>
            <w:r/>
            <w:r>
              <w:rPr>
                <w:rFonts w:ascii="Calibri" w:hAnsi="Calibri"/>
                <w:b/>
                <w:color w:val="FFFFFF"/>
                <w:sz w:val="19"/>
              </w:rPr>
              <w:t>Focus</w:t>
            </w:r>
          </w:p>
        </w:tc>
      </w:tr>
      <w:tr>
        <w:tc>
          <w:tcPr>
            <w:tcW w:type="dxa" w:w="1152"/>
          </w:tcPr>
          <w:p>
            <w:pPr>
              <w:spacing w:after="40" w:before="40"/>
            </w:pPr>
            <w:r/>
            <w:r>
              <w:rPr>
                <w:rFonts w:ascii="Calibri" w:hAnsi="Calibri"/>
                <w:b w:val="0"/>
                <w:sz w:val="19"/>
              </w:rPr>
              <w:t>2028</w:t>
            </w:r>
          </w:p>
        </w:tc>
        <w:tc>
          <w:tcPr>
            <w:tcW w:type="dxa" w:w="8640"/>
          </w:tcPr>
          <w:p>
            <w:pPr>
              <w:spacing w:after="40" w:before="40"/>
              <w:jc w:val="right"/>
            </w:pPr>
            <w:r/>
            <w:r>
              <w:rPr>
                <w:rFonts w:ascii="Calibri" w:hAnsi="Calibri"/>
                <w:b w:val="0"/>
                <w:sz w:val="19"/>
              </w:rPr>
              <w:t>Scale residential sales and support; add project coordinator and install/repair techs on triggers; grow business fiber.</w:t>
            </w:r>
          </w:p>
        </w:tc>
      </w:tr>
      <w:tr>
        <w:tc>
          <w:tcPr>
            <w:tcW w:type="dxa" w:w="1152"/>
            <w:shd w:val="clear" w:color="auto" w:fill="F2F6FA"/>
          </w:tcPr>
          <w:p>
            <w:pPr>
              <w:spacing w:after="40" w:before="40"/>
            </w:pPr>
            <w:r/>
            <w:r>
              <w:rPr>
                <w:rFonts w:ascii="Calibri" w:hAnsi="Calibri"/>
                <w:b w:val="0"/>
                <w:sz w:val="19"/>
              </w:rPr>
              <w:t>2029</w:t>
            </w:r>
          </w:p>
        </w:tc>
        <w:tc>
          <w:tcPr>
            <w:tcW w:type="dxa" w:w="8640"/>
            <w:shd w:val="clear" w:color="auto" w:fill="F2F6FA"/>
          </w:tcPr>
          <w:p>
            <w:pPr>
              <w:spacing w:after="40" w:before="40"/>
              <w:jc w:val="right"/>
            </w:pPr>
            <w:r/>
            <w:r>
              <w:rPr>
                <w:rFonts w:ascii="Calibri" w:hAnsi="Calibri"/>
                <w:b w:val="0"/>
                <w:sz w:val="19"/>
              </w:rPr>
              <w:t>Add enterprise sales, construction inspector, and GIS specialist; push penetration on maturing plant; grow wholesale.</w:t>
            </w:r>
          </w:p>
        </w:tc>
      </w:tr>
      <w:tr>
        <w:tc>
          <w:tcPr>
            <w:tcW w:type="dxa" w:w="1152"/>
          </w:tcPr>
          <w:p>
            <w:pPr>
              <w:spacing w:after="40" w:before="40"/>
            </w:pPr>
            <w:r/>
            <w:r>
              <w:rPr>
                <w:rFonts w:ascii="Calibri" w:hAnsi="Calibri"/>
                <w:b w:val="0"/>
                <w:sz w:val="19"/>
              </w:rPr>
              <w:t>2030</w:t>
            </w:r>
          </w:p>
        </w:tc>
        <w:tc>
          <w:tcPr>
            <w:tcW w:type="dxa" w:w="8640"/>
          </w:tcPr>
          <w:p>
            <w:pPr>
              <w:spacing w:after="40" w:before="40"/>
              <w:jc w:val="right"/>
            </w:pPr>
            <w:r/>
            <w:r>
              <w:rPr>
                <w:rFonts w:ascii="Calibri" w:hAnsi="Calibri"/>
                <w:b w:val="0"/>
                <w:sz w:val="19"/>
              </w:rPr>
              <w:t>Add OSP supervisor, marketing specialist, and Customer Experience Manager; harden retention; optimize cost per sub.</w:t>
            </w:r>
          </w:p>
        </w:tc>
      </w:tr>
      <w:tr>
        <w:tc>
          <w:tcPr>
            <w:tcW w:type="dxa" w:w="1152"/>
            <w:shd w:val="clear" w:color="auto" w:fill="F2F6FA"/>
          </w:tcPr>
          <w:p>
            <w:pPr>
              <w:spacing w:after="40" w:before="40"/>
            </w:pPr>
            <w:r/>
            <w:r>
              <w:rPr>
                <w:rFonts w:ascii="Calibri" w:hAnsi="Calibri"/>
                <w:b w:val="0"/>
                <w:sz w:val="19"/>
              </w:rPr>
              <w:t>2031</w:t>
            </w:r>
          </w:p>
        </w:tc>
        <w:tc>
          <w:tcPr>
            <w:tcW w:type="dxa" w:w="8640"/>
            <w:shd w:val="clear" w:color="auto" w:fill="F2F6FA"/>
          </w:tcPr>
          <w:p>
            <w:pPr>
              <w:spacing w:after="40" w:before="40"/>
              <w:jc w:val="right"/>
            </w:pPr>
            <w:r/>
            <w:r>
              <w:rPr>
                <w:rFonts w:ascii="Calibri" w:hAnsi="Calibri"/>
                <w:b w:val="0"/>
                <w:sz w:val="19"/>
              </w:rPr>
              <w:t>Add data analyst and warehouse/inventory specialist; consolidate margins above 27%; plan the next capital cycle.</w:t>
            </w:r>
          </w:p>
        </w:tc>
      </w:tr>
    </w:tbl>
    <w:p>
      <w:pPr>
        <w:spacing w:after="40"/>
      </w:pPr>
    </w:p>
    <w:p>
      <w:r>
        <w:br w:type="page"/>
      </w:r>
    </w:p>
    <w:p>
      <w:pPr>
        <w:pStyle w:val="Heading1"/>
      </w:pPr>
      <w:r>
        <w:rPr>
          <w:rFonts w:ascii="Calibri" w:hAnsi="Calibri"/>
          <w:color w:val="1F3B4D"/>
          <w:sz w:val="32"/>
        </w:rPr>
        <w:t>15. Management Recommendations</w:t>
      </w:r>
    </w:p>
    <w:p>
      <w:pPr>
        <w:pStyle w:val="Heading2"/>
      </w:pPr>
      <w:r>
        <w:rPr>
          <w:rFonts w:ascii="Calibri" w:hAnsi="Calibri"/>
          <w:color w:val="2E7D8A"/>
          <w:sz w:val="25"/>
        </w:rPr>
        <w:t>Recommended base-case strategy</w:t>
      </w:r>
    </w:p>
    <w:p>
      <w:pPr>
        <w:spacing w:after="120"/>
      </w:pPr>
      <w:r>
        <w:rPr>
          <w:i w:val="0"/>
          <w:sz w:val="21"/>
        </w:rPr>
        <w:t>Adopt the Base Case: disciplined $10M/yr deployment, moderate subscriber and revenue growth, trigger-based staffing, and EBITDA margin expansion from about 5.2% to ~24.4% — turning the current slight operating loss into a scaling, EBITDA-positive business. It balances growth with capital discipline and stays within the $50M funding envelope, supported by substantial grant awards.</w:t>
      </w:r>
    </w:p>
    <w:p>
      <w:pPr>
        <w:pStyle w:val="Heading2"/>
      </w:pPr>
      <w:r>
        <w:rPr>
          <w:rFonts w:ascii="Calibri" w:hAnsi="Calibri"/>
          <w:color w:val="2E7D8A"/>
          <w:sz w:val="25"/>
        </w:rPr>
        <w:t>Recommended five-year capital allocation</w:t>
      </w:r>
    </w:p>
    <w:p>
      <w:pPr>
        <w:spacing w:after="120"/>
      </w:pPr>
      <w:r>
        <w:rPr>
          <w:i w:val="0"/>
          <w:sz w:val="21"/>
        </w:rPr>
        <w:t>Weight capital toward revenue-generating plant — fiber-to-the-home (~24%), distribution (~13%), backbone (~8%), and business/enterprise (~7%) — while fully funding grant matching (~10%), the equipment refresh ($400K/yr), and a capital contingency reserve. Deploy against ROI-gated, demand-led projects and hold uncommitted capital rather than force spend.</w:t>
      </w:r>
    </w:p>
    <w:p>
      <w:pPr>
        <w:pStyle w:val="Heading2"/>
      </w:pPr>
      <w:r>
        <w:rPr>
          <w:rFonts w:ascii="Calibri" w:hAnsi="Calibri"/>
          <w:color w:val="2E7D8A"/>
          <w:sz w:val="25"/>
        </w:rPr>
        <w:t>Recommended pace of network expansion</w:t>
      </w:r>
    </w:p>
    <w:p>
      <w:pPr>
        <w:spacing w:after="120"/>
      </w:pPr>
      <w:r>
        <w:rPr>
          <w:i w:val="0"/>
          <w:sz w:val="21"/>
        </w:rPr>
        <w:t>Add roughly 3,300–4,800 new passings per year (front-loaded), reaching about 33,100 homes and businesses passed by 2031, sequenced to demand and grant availability.</w:t>
      </w:r>
    </w:p>
    <w:p>
      <w:pPr>
        <w:pStyle w:val="Heading2"/>
      </w:pPr>
      <w:r>
        <w:rPr>
          <w:rFonts w:ascii="Calibri" w:hAnsi="Calibri"/>
          <w:color w:val="2E7D8A"/>
          <w:sz w:val="25"/>
        </w:rPr>
        <w:t>Staffing additions needed to support growth</w:t>
      </w:r>
    </w:p>
    <w:p>
      <w:pPr>
        <w:spacing w:after="120"/>
      </w:pPr>
      <w:r>
        <w:rPr>
          <w:i w:val="0"/>
          <w:sz w:val="21"/>
        </w:rPr>
        <w:t>Grow from 18 authorized positions to about 39 by 2031, led by network engineering/NOC, splicing, field install/repair, residential and enterprise sales, customer experience/support, and GIS/data — each gated on a measurable trigger.</w:t>
      </w:r>
    </w:p>
    <w:p>
      <w:pPr>
        <w:pStyle w:val="Heading2"/>
      </w:pPr>
      <w:r>
        <w:rPr>
          <w:rFonts w:ascii="Calibri" w:hAnsi="Calibri"/>
          <w:color w:val="2E7D8A"/>
          <w:sz w:val="25"/>
        </w:rPr>
        <w:t>Minimum performance required to justify the investment</w:t>
      </w:r>
    </w:p>
    <w:p>
      <w:pPr>
        <w:pStyle w:val="ListBullet"/>
        <w:spacing w:after="60"/>
      </w:pPr>
      <w:r>
        <w:rPr>
          <w:b/>
        </w:rPr>
        <w:t xml:space="preserve">Subscribers: </w:t>
      </w:r>
      <w:r>
        <w:t xml:space="preserve"> Reach at least ~9,711 internet subscribers by 2031 (≈85% of base-case target).</w:t>
      </w:r>
    </w:p>
    <w:p>
      <w:pPr>
        <w:pStyle w:val="ListBullet"/>
        <w:spacing w:after="60"/>
      </w:pPr>
      <w:r>
        <w:rPr>
          <w:b/>
        </w:rPr>
        <w:t xml:space="preserve">Revenue &amp; margin: </w:t>
      </w:r>
      <w:r>
        <w:t xml:space="preserve"> Achieve at least ~$9.2M of 2031 revenue and hold 2031 EBITDA margin at or above 20%.</w:t>
      </w:r>
    </w:p>
    <w:p>
      <w:pPr>
        <w:pStyle w:val="ListBullet"/>
        <w:spacing w:after="60"/>
      </w:pPr>
      <w:r>
        <w:rPr>
          <w:b/>
        </w:rPr>
        <w:t xml:space="preserve">Capital efficiency: </w:t>
      </w:r>
      <w:r>
        <w:t xml:space="preserve"> Keep total capital cost per net new subscriber near or below ~$8,000 on average over the plan (this metric includes all capital, not just plant).</w:t>
      </w:r>
    </w:p>
    <w:p>
      <w:pPr>
        <w:pStyle w:val="Heading2"/>
      </w:pPr>
      <w:r>
        <w:rPr>
          <w:rFonts w:ascii="Calibri" w:hAnsi="Calibri"/>
          <w:color w:val="2E7D8A"/>
          <w:sz w:val="25"/>
        </w:rPr>
        <w:t>Most important Year-1 decisions</w:t>
      </w:r>
    </w:p>
    <w:p>
      <w:pPr>
        <w:pStyle w:val="ListBullet"/>
        <w:spacing w:after="60"/>
      </w:pPr>
      <w:r>
        <w:t xml:space="preserve"> Approve capital-allocation governance and the ROI gate for projects.</w:t>
      </w:r>
    </w:p>
    <w:p>
      <w:pPr>
        <w:pStyle w:val="ListBullet"/>
        <w:spacing w:after="60"/>
      </w:pPr>
      <w:r>
        <w:t xml:space="preserve"> Fill the three open positions and ratify the hiring-trigger framework.</w:t>
      </w:r>
    </w:p>
    <w:p>
      <w:pPr>
        <w:pStyle w:val="ListBullet"/>
        <w:spacing w:after="60"/>
      </w:pPr>
      <w:r>
        <w:t xml:space="preserve"> Commit to monthly KPI reporting and quarterly forecast updates.</w:t>
      </w:r>
    </w:p>
    <w:p>
      <w:pPr>
        <w:pStyle w:val="ListBullet"/>
        <w:spacing w:after="60"/>
      </w:pPr>
      <w:r>
        <w:t xml:space="preserve"> Confirm the equipment-lifecycle standards and $400K refresh schedule.</w:t>
      </w:r>
    </w:p>
    <w:p>
      <w:pPr>
        <w:pStyle w:val="Heading2"/>
      </w:pPr>
      <w:r>
        <w:rPr>
          <w:rFonts w:ascii="Calibri" w:hAnsi="Calibri"/>
          <w:color w:val="2E7D8A"/>
          <w:sz w:val="25"/>
        </w:rPr>
        <w:t>Information management must provide to replace placeholders</w:t>
      </w:r>
    </w:p>
    <w:p>
      <w:pPr>
        <w:pStyle w:val="ListBullet"/>
        <w:spacing w:after="60"/>
      </w:pPr>
      <w:r>
        <w:t xml:space="preserve"> Actual subscriber split (residential/business/enterprise) and product-line ARPU.</w:t>
      </w:r>
    </w:p>
    <w:p>
      <w:pPr>
        <w:pStyle w:val="ListBullet"/>
        <w:spacing w:after="60"/>
      </w:pPr>
      <w:r>
        <w:t xml:space="preserve"> Actual homes/businesses passed and the grant-funded build footprint by year.</w:t>
      </w:r>
    </w:p>
    <w:p>
      <w:pPr>
        <w:pStyle w:val="ListBullet"/>
        <w:spacing w:after="60"/>
      </w:pPr>
      <w:r>
        <w:t xml:space="preserve"> Fully-loaded labor rates, benefit loads, and workers'-comp class rates.</w:t>
      </w:r>
    </w:p>
    <w:p>
      <w:pPr>
        <w:pStyle w:val="ListBullet"/>
        <w:spacing w:after="60"/>
      </w:pPr>
      <w:r>
        <w:t xml:space="preserve"> Transit, transport, pole-attachment, and voice-platform contract rates.</w:t>
      </w:r>
    </w:p>
    <w:p>
      <w:pPr>
        <w:pStyle w:val="ListBullet"/>
        <w:spacing w:after="60"/>
      </w:pPr>
      <w:r>
        <w:t xml:space="preserve"> Existing net plant value and the fixed-asset depreciation schedule.</w:t>
      </w:r>
    </w:p>
    <w:p>
      <w:pPr>
        <w:pStyle w:val="ListBullet"/>
        <w:spacing w:after="60"/>
      </w:pPr>
      <w:r>
        <w:t xml:space="preserve"> Grant award terms and any existing debt, lease, or financing obligations.</w:t>
      </w:r>
    </w:p>
    <w:p>
      <w:pPr>
        <w:pStyle w:val="Heading2"/>
      </w:pPr>
      <w:r>
        <w:rPr>
          <w:rFonts w:ascii="Calibri" w:hAnsi="Calibri"/>
          <w:color w:val="2E7D8A"/>
          <w:sz w:val="25"/>
        </w:rPr>
        <w:t>90-day action plan</w:t>
      </w:r>
    </w:p>
    <w:tbl>
      <w:tblPr>
        <w:tblStyle w:val="TableGrid"/>
        <w:tblW w:type="auto" w:w="0"/>
        <w:jc w:val="center"/>
        <w:tblLook w:firstColumn="1" w:firstRow="1" w:lastColumn="0" w:lastRow="0" w:noHBand="0" w:noVBand="1" w:val="04A0"/>
      </w:tblPr>
      <w:tblGrid>
        <w:gridCol w:w="4320"/>
        <w:gridCol w:w="4320"/>
      </w:tblGrid>
      <w:tr>
        <w:tc>
          <w:tcPr>
            <w:tcW w:type="dxa" w:w="1296"/>
            <w:shd w:val="clear" w:color="auto" w:fill="1F3B4D"/>
          </w:tcPr>
          <w:p>
            <w:pPr>
              <w:spacing w:after="40" w:before="40"/>
            </w:pPr>
            <w:r/>
            <w:r>
              <w:rPr>
                <w:rFonts w:ascii="Calibri" w:hAnsi="Calibri"/>
                <w:b/>
                <w:color w:val="FFFFFF"/>
                <w:sz w:val="19"/>
              </w:rPr>
              <w:t>Days</w:t>
            </w:r>
          </w:p>
        </w:tc>
        <w:tc>
          <w:tcPr>
            <w:tcW w:type="dxa" w:w="8496"/>
            <w:shd w:val="clear" w:color="auto" w:fill="1F3B4D"/>
          </w:tcPr>
          <w:p>
            <w:pPr>
              <w:spacing w:after="40" w:before="40"/>
              <w:jc w:val="center"/>
            </w:pPr>
            <w:r/>
            <w:r>
              <w:rPr>
                <w:rFonts w:ascii="Calibri" w:hAnsi="Calibri"/>
                <w:b/>
                <w:color w:val="FFFFFF"/>
                <w:sz w:val="19"/>
              </w:rPr>
              <w:t>Action</w:t>
            </w:r>
          </w:p>
        </w:tc>
      </w:tr>
      <w:tr>
        <w:tc>
          <w:tcPr>
            <w:tcW w:type="dxa" w:w="1296"/>
          </w:tcPr>
          <w:p>
            <w:pPr>
              <w:spacing w:after="40" w:before="40"/>
            </w:pPr>
            <w:r/>
            <w:r>
              <w:rPr>
                <w:rFonts w:ascii="Calibri" w:hAnsi="Calibri"/>
                <w:b w:val="0"/>
                <w:sz w:val="19"/>
              </w:rPr>
              <w:t>0–30</w:t>
            </w:r>
          </w:p>
        </w:tc>
        <w:tc>
          <w:tcPr>
            <w:tcW w:type="dxa" w:w="8496"/>
          </w:tcPr>
          <w:p>
            <w:pPr>
              <w:spacing w:after="40" w:before="40"/>
              <w:jc w:val="right"/>
            </w:pPr>
            <w:r/>
            <w:r>
              <w:rPr>
                <w:rFonts w:ascii="Calibri" w:hAnsi="Calibri"/>
                <w:b w:val="0"/>
                <w:sz w:val="19"/>
              </w:rPr>
              <w:t>Approve the Base Case and capital governance; open recruiting for the 3 vacancies; stand up the KPI dashboard from the Excel model; assign placeholder-owners to collect actual data.</w:t>
            </w:r>
          </w:p>
        </w:tc>
      </w:tr>
      <w:tr>
        <w:tc>
          <w:tcPr>
            <w:tcW w:type="dxa" w:w="1296"/>
            <w:shd w:val="clear" w:color="auto" w:fill="F2F6FA"/>
          </w:tcPr>
          <w:p>
            <w:pPr>
              <w:spacing w:after="40" w:before="40"/>
            </w:pPr>
            <w:r/>
            <w:r>
              <w:rPr>
                <w:rFonts w:ascii="Calibri" w:hAnsi="Calibri"/>
                <w:b w:val="0"/>
                <w:sz w:val="19"/>
              </w:rPr>
              <w:t>31–60</w:t>
            </w:r>
          </w:p>
        </w:tc>
        <w:tc>
          <w:tcPr>
            <w:tcW w:type="dxa" w:w="8496"/>
            <w:shd w:val="clear" w:color="auto" w:fill="F2F6FA"/>
          </w:tcPr>
          <w:p>
            <w:pPr>
              <w:spacing w:after="40" w:before="40"/>
              <w:jc w:val="right"/>
            </w:pPr>
            <w:r/>
            <w:r>
              <w:rPr>
                <w:rFonts w:ascii="Calibri" w:hAnsi="Calibri"/>
                <w:b w:val="0"/>
                <w:sz w:val="19"/>
              </w:rPr>
              <w:t>Finalize construction-prioritization and ROI-gate criteria; replace top-priority placeholders (subscriber split, ARPU, passings, labor rates) with actuals; issue the first monthly KPI report.</w:t>
            </w:r>
          </w:p>
        </w:tc>
      </w:tr>
      <w:tr>
        <w:tc>
          <w:tcPr>
            <w:tcW w:type="dxa" w:w="1296"/>
          </w:tcPr>
          <w:p>
            <w:pPr>
              <w:spacing w:after="40" w:before="40"/>
            </w:pPr>
            <w:r/>
            <w:r>
              <w:rPr>
                <w:rFonts w:ascii="Calibri" w:hAnsi="Calibri"/>
                <w:b w:val="0"/>
                <w:sz w:val="19"/>
              </w:rPr>
              <w:t>61–90</w:t>
            </w:r>
          </w:p>
        </w:tc>
        <w:tc>
          <w:tcPr>
            <w:tcW w:type="dxa" w:w="8496"/>
          </w:tcPr>
          <w:p>
            <w:pPr>
              <w:spacing w:after="40" w:before="40"/>
              <w:jc w:val="right"/>
            </w:pPr>
            <w:r/>
            <w:r>
              <w:rPr>
                <w:rFonts w:ascii="Calibri" w:hAnsi="Calibri"/>
                <w:b w:val="0"/>
                <w:sz w:val="19"/>
              </w:rPr>
              <w:t>Complete Q1 hires; run the first quarterly forecast update in the model; present a refreshed plan and Year-1 milestones to the Board; lock equipment-lifecycle standards.</w:t>
            </w:r>
          </w:p>
        </w:tc>
      </w:tr>
    </w:tbl>
    <w:p>
      <w:pPr>
        <w:spacing w:after="40"/>
      </w:pPr>
    </w:p>
    <w:p>
      <w:r>
        <w:br w:type="page"/>
      </w:r>
    </w:p>
    <w:p>
      <w:pPr>
        <w:pStyle w:val="Heading1"/>
      </w:pPr>
      <w:r>
        <w:rPr>
          <w:rFonts w:ascii="Calibri" w:hAnsi="Calibri"/>
          <w:color w:val="1F3B4D"/>
          <w:sz w:val="32"/>
        </w:rPr>
        <w:t>16. Appendices</w:t>
      </w:r>
    </w:p>
    <w:p>
      <w:pPr>
        <w:pStyle w:val="Heading2"/>
      </w:pPr>
      <w:r>
        <w:rPr>
          <w:rFonts w:ascii="Calibri" w:hAnsi="Calibri"/>
          <w:color w:val="2E7D8A"/>
          <w:sz w:val="25"/>
        </w:rPr>
        <w:t>Appendix A — Data classification &amp; assumption log</w:t>
      </w:r>
    </w:p>
    <w:p>
      <w:pPr>
        <w:spacing w:after="120"/>
      </w:pPr>
      <w:r>
        <w:rPr>
          <w:i w:val="0"/>
          <w:sz w:val="21"/>
        </w:rPr>
        <w:t>All figures are tagged: [ACTUAL] supplied (unaudited), [ASSUMPTION] editable, [CALC] derived, [TARGET] recommended, [PLACEHOLDER] pending management input. No source-data conflicts were identified because no competing internal sources existed. See the accompanying Source-Data Inventory &amp; Assumption Log and the Excel 'Assumptions' tab.</w:t>
      </w:r>
    </w:p>
    <w:p>
      <w:pPr>
        <w:pStyle w:val="Heading2"/>
      </w:pPr>
      <w:r>
        <w:rPr>
          <w:rFonts w:ascii="Calibri" w:hAnsi="Calibri"/>
          <w:color w:val="2E7D8A"/>
          <w:sz w:val="25"/>
        </w:rPr>
        <w:t>Appendix B — Companion files</w:t>
      </w:r>
    </w:p>
    <w:p>
      <w:pPr>
        <w:pStyle w:val="ListBullet"/>
        <w:spacing w:after="60"/>
      </w:pPr>
      <w:r>
        <w:rPr>
          <w:b/>
        </w:rPr>
        <w:t xml:space="preserve">Excel: </w:t>
      </w:r>
      <w:r>
        <w:t xml:space="preserve"> RIVR_Tech_Five_Year_Financial_Model_2027-2031.xlsx — 18-tab formula-driven model with scenario selector.</w:t>
      </w:r>
    </w:p>
    <w:p>
      <w:pPr>
        <w:pStyle w:val="ListBullet"/>
        <w:spacing w:after="60"/>
      </w:pPr>
      <w:r>
        <w:rPr>
          <w:b/>
        </w:rPr>
        <w:t xml:space="preserve">PowerPoint: </w:t>
      </w:r>
      <w:r>
        <w:t xml:space="preserve"> RIVR_Tech_Five_Year_Executive_Presentation_2027-2031.pptx — board presentation.</w:t>
      </w:r>
    </w:p>
    <w:p>
      <w:pPr>
        <w:pStyle w:val="Heading2"/>
      </w:pPr>
      <w:r>
        <w:rPr>
          <w:rFonts w:ascii="Calibri" w:hAnsi="Calibri"/>
          <w:color w:val="2E7D8A"/>
          <w:sz w:val="25"/>
        </w:rPr>
        <w:t>Appendix C — Organizational charts</w:t>
      </w:r>
    </w:p>
    <w:p>
      <w:pPr>
        <w:spacing w:after="120"/>
      </w:pPr>
      <w:r>
        <w:rPr>
          <w:i w:val="0"/>
          <w:sz w:val="21"/>
        </w:rPr>
        <w:t>Current (2026): Chief Operations Officer at the top; Director of Outside Plant leads 2 Supervisors, 2 Project Coordinators, and 5 Fiber Technicians (+2 open); Sales Coordinator leads 3 Sales Representatives (+1 open).</w:t>
      </w:r>
    </w:p>
    <w:p>
      <w:pPr>
        <w:spacing w:after="120"/>
      </w:pPr>
      <w:r>
        <w:rPr>
          <w:i w:val="0"/>
          <w:sz w:val="21"/>
        </w:rPr>
        <w:t>Proposed (2031): Chief Operations Officer over five functions — Network Engineering &amp; NOC; Outside Plant (supervisors, splicers, inspectors, install/repair techs, GIS); Sales &amp; Marketing (residential + enterprise reps, marketing specialist); Customer Experience &amp; Support; and Business Operations (project coordinators, data analyst, warehouse/inventory, fleet/facilities, administrative support).</w:t>
      </w:r>
    </w:p>
    <w:p>
      <w:pPr>
        <w:pStyle w:val="Heading2"/>
      </w:pPr>
      <w:r>
        <w:rPr>
          <w:rFonts w:ascii="Calibri" w:hAnsi="Calibri"/>
          <w:color w:val="2E7D8A"/>
          <w:sz w:val="25"/>
        </w:rPr>
        <w:t>Appendix D — Full KPI set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744"/>
            <w:shd w:val="clear" w:color="auto" w:fill="1F3B4D"/>
          </w:tcPr>
          <w:p>
            <w:pPr>
              <w:spacing w:after="40" w:before="40"/>
            </w:pPr>
            <w:r/>
            <w:r>
              <w:rPr>
                <w:rFonts w:ascii="Calibri" w:hAnsi="Calibri"/>
                <w:b/>
                <w:color w:val="FFFFFF"/>
                <w:sz w:val="18"/>
              </w:rPr>
              <w:t>KPI</w:t>
            </w:r>
          </w:p>
        </w:tc>
        <w:tc>
          <w:tcPr>
            <w:tcW w:type="dxa" w:w="1368"/>
            <w:shd w:val="clear" w:color="auto" w:fill="1F3B4D"/>
          </w:tcPr>
          <w:p>
            <w:pPr>
              <w:spacing w:after="40" w:before="40"/>
              <w:jc w:val="center"/>
            </w:pPr>
            <w:r/>
            <w:r>
              <w:rPr>
                <w:rFonts w:ascii="Calibri" w:hAnsi="Calibri"/>
                <w:b/>
                <w:color w:val="FFFFFF"/>
                <w:sz w:val="18"/>
              </w:rPr>
              <w:t>2027</w:t>
            </w:r>
          </w:p>
        </w:tc>
        <w:tc>
          <w:tcPr>
            <w:tcW w:type="dxa" w:w="1368"/>
            <w:shd w:val="clear" w:color="auto" w:fill="1F3B4D"/>
          </w:tcPr>
          <w:p>
            <w:pPr>
              <w:spacing w:after="40" w:before="40"/>
              <w:jc w:val="center"/>
            </w:pPr>
            <w:r/>
            <w:r>
              <w:rPr>
                <w:rFonts w:ascii="Calibri" w:hAnsi="Calibri"/>
                <w:b/>
                <w:color w:val="FFFFFF"/>
                <w:sz w:val="18"/>
              </w:rPr>
              <w:t>2028</w:t>
            </w:r>
          </w:p>
        </w:tc>
        <w:tc>
          <w:tcPr>
            <w:tcW w:type="dxa" w:w="1368"/>
            <w:shd w:val="clear" w:color="auto" w:fill="1F3B4D"/>
          </w:tcPr>
          <w:p>
            <w:pPr>
              <w:spacing w:after="40" w:before="40"/>
              <w:jc w:val="center"/>
            </w:pPr>
            <w:r/>
            <w:r>
              <w:rPr>
                <w:rFonts w:ascii="Calibri" w:hAnsi="Calibri"/>
                <w:b/>
                <w:color w:val="FFFFFF"/>
                <w:sz w:val="18"/>
              </w:rPr>
              <w:t>2029</w:t>
            </w:r>
          </w:p>
        </w:tc>
        <w:tc>
          <w:tcPr>
            <w:tcW w:type="dxa" w:w="1368"/>
            <w:shd w:val="clear" w:color="auto" w:fill="1F3B4D"/>
          </w:tcPr>
          <w:p>
            <w:pPr>
              <w:spacing w:after="40" w:before="40"/>
              <w:jc w:val="center"/>
            </w:pPr>
            <w:r/>
            <w:r>
              <w:rPr>
                <w:rFonts w:ascii="Calibri" w:hAnsi="Calibri"/>
                <w:b/>
                <w:color w:val="FFFFFF"/>
                <w:sz w:val="18"/>
              </w:rPr>
              <w:t>2030</w:t>
            </w:r>
          </w:p>
        </w:tc>
        <w:tc>
          <w:tcPr>
            <w:tcW w:type="dxa" w:w="1368"/>
            <w:shd w:val="clear" w:color="auto" w:fill="1F3B4D"/>
          </w:tcPr>
          <w:p>
            <w:pPr>
              <w:spacing w:after="40" w:before="40"/>
              <w:jc w:val="center"/>
            </w:pPr>
            <w:r/>
            <w:r>
              <w:rPr>
                <w:rFonts w:ascii="Calibri" w:hAnsi="Calibri"/>
                <w:b/>
                <w:color w:val="FFFFFF"/>
                <w:sz w:val="18"/>
              </w:rPr>
              <w:t>2031</w:t>
            </w:r>
          </w:p>
        </w:tc>
      </w:tr>
      <w:tr>
        <w:tc>
          <w:tcPr>
            <w:tcW w:type="dxa" w:w="3744"/>
          </w:tcPr>
          <w:p>
            <w:pPr>
              <w:spacing w:after="40" w:before="40"/>
            </w:pPr>
            <w:r/>
            <w:r>
              <w:rPr>
                <w:rFonts w:ascii="Calibri" w:hAnsi="Calibri"/>
                <w:b w:val="0"/>
                <w:sz w:val="18"/>
              </w:rPr>
              <w:t>Beginning subscribers</w:t>
            </w:r>
          </w:p>
        </w:tc>
        <w:tc>
          <w:tcPr>
            <w:tcW w:type="dxa" w:w="1368"/>
          </w:tcPr>
          <w:p>
            <w:pPr>
              <w:spacing w:after="40" w:before="40"/>
              <w:jc w:val="right"/>
            </w:pPr>
            <w:r/>
            <w:r>
              <w:rPr>
                <w:rFonts w:ascii="Calibri" w:hAnsi="Calibri"/>
                <w:b w:val="0"/>
                <w:sz w:val="18"/>
              </w:rPr>
              <w:t>4,823</w:t>
            </w:r>
          </w:p>
        </w:tc>
        <w:tc>
          <w:tcPr>
            <w:tcW w:type="dxa" w:w="1368"/>
          </w:tcPr>
          <w:p>
            <w:pPr>
              <w:spacing w:after="40" w:before="40"/>
              <w:jc w:val="right"/>
            </w:pPr>
            <w:r/>
            <w:r>
              <w:rPr>
                <w:rFonts w:ascii="Calibri" w:hAnsi="Calibri"/>
                <w:b w:val="0"/>
                <w:sz w:val="18"/>
              </w:rPr>
              <w:t>6,180</w:t>
            </w:r>
          </w:p>
        </w:tc>
        <w:tc>
          <w:tcPr>
            <w:tcW w:type="dxa" w:w="1368"/>
          </w:tcPr>
          <w:p>
            <w:pPr>
              <w:spacing w:after="40" w:before="40"/>
              <w:jc w:val="right"/>
            </w:pPr>
            <w:r/>
            <w:r>
              <w:rPr>
                <w:rFonts w:ascii="Calibri" w:hAnsi="Calibri"/>
                <w:b w:val="0"/>
                <w:sz w:val="18"/>
              </w:rPr>
              <w:t>7,733</w:t>
            </w:r>
          </w:p>
        </w:tc>
        <w:tc>
          <w:tcPr>
            <w:tcW w:type="dxa" w:w="1368"/>
          </w:tcPr>
          <w:p>
            <w:pPr>
              <w:spacing w:after="40" w:before="40"/>
              <w:jc w:val="right"/>
            </w:pPr>
            <w:r/>
            <w:r>
              <w:rPr>
                <w:rFonts w:ascii="Calibri" w:hAnsi="Calibri"/>
                <w:b w:val="0"/>
                <w:sz w:val="18"/>
              </w:rPr>
              <w:t>9,236</w:t>
            </w:r>
          </w:p>
        </w:tc>
        <w:tc>
          <w:tcPr>
            <w:tcW w:type="dxa" w:w="1368"/>
          </w:tcPr>
          <w:p>
            <w:pPr>
              <w:spacing w:after="40" w:before="40"/>
              <w:jc w:val="right"/>
            </w:pPr>
            <w:r/>
            <w:r>
              <w:rPr>
                <w:rFonts w:ascii="Calibri" w:hAnsi="Calibri"/>
                <w:b w:val="0"/>
                <w:sz w:val="18"/>
              </w:rPr>
              <w:t>10,477</w:t>
            </w:r>
          </w:p>
        </w:tc>
      </w:tr>
      <w:tr>
        <w:tc>
          <w:tcPr>
            <w:tcW w:type="dxa" w:w="3744"/>
            <w:shd w:val="clear" w:color="auto" w:fill="F2F6FA"/>
          </w:tcPr>
          <w:p>
            <w:pPr>
              <w:spacing w:after="40" w:before="40"/>
            </w:pPr>
            <w:r/>
            <w:r>
              <w:rPr>
                <w:rFonts w:ascii="Calibri" w:hAnsi="Calibri"/>
                <w:b w:val="0"/>
                <w:sz w:val="18"/>
              </w:rPr>
              <w:t>Ending subscribers</w:t>
            </w:r>
          </w:p>
        </w:tc>
        <w:tc>
          <w:tcPr>
            <w:tcW w:type="dxa" w:w="1368"/>
            <w:shd w:val="clear" w:color="auto" w:fill="F2F6FA"/>
          </w:tcPr>
          <w:p>
            <w:pPr>
              <w:spacing w:after="40" w:before="40"/>
              <w:jc w:val="right"/>
            </w:pPr>
            <w:r/>
            <w:r>
              <w:rPr>
                <w:rFonts w:ascii="Calibri" w:hAnsi="Calibri"/>
                <w:b w:val="0"/>
                <w:sz w:val="18"/>
              </w:rPr>
              <w:t>6,180</w:t>
            </w:r>
          </w:p>
        </w:tc>
        <w:tc>
          <w:tcPr>
            <w:tcW w:type="dxa" w:w="1368"/>
            <w:shd w:val="clear" w:color="auto" w:fill="F2F6FA"/>
          </w:tcPr>
          <w:p>
            <w:pPr>
              <w:spacing w:after="40" w:before="40"/>
              <w:jc w:val="right"/>
            </w:pPr>
            <w:r/>
            <w:r>
              <w:rPr>
                <w:rFonts w:ascii="Calibri" w:hAnsi="Calibri"/>
                <w:b w:val="0"/>
                <w:sz w:val="18"/>
              </w:rPr>
              <w:t>7,733</w:t>
            </w:r>
          </w:p>
        </w:tc>
        <w:tc>
          <w:tcPr>
            <w:tcW w:type="dxa" w:w="1368"/>
            <w:shd w:val="clear" w:color="auto" w:fill="F2F6FA"/>
          </w:tcPr>
          <w:p>
            <w:pPr>
              <w:spacing w:after="40" w:before="40"/>
              <w:jc w:val="right"/>
            </w:pPr>
            <w:r/>
            <w:r>
              <w:rPr>
                <w:rFonts w:ascii="Calibri" w:hAnsi="Calibri"/>
                <w:b w:val="0"/>
                <w:sz w:val="18"/>
              </w:rPr>
              <w:t>9,236</w:t>
            </w:r>
          </w:p>
        </w:tc>
        <w:tc>
          <w:tcPr>
            <w:tcW w:type="dxa" w:w="1368"/>
            <w:shd w:val="clear" w:color="auto" w:fill="F2F6FA"/>
          </w:tcPr>
          <w:p>
            <w:pPr>
              <w:spacing w:after="40" w:before="40"/>
              <w:jc w:val="right"/>
            </w:pPr>
            <w:r/>
            <w:r>
              <w:rPr>
                <w:rFonts w:ascii="Calibri" w:hAnsi="Calibri"/>
                <w:b w:val="0"/>
                <w:sz w:val="18"/>
              </w:rPr>
              <w:t>10,477</w:t>
            </w:r>
          </w:p>
        </w:tc>
        <w:tc>
          <w:tcPr>
            <w:tcW w:type="dxa" w:w="1368"/>
            <w:shd w:val="clear" w:color="auto" w:fill="F2F6FA"/>
          </w:tcPr>
          <w:p>
            <w:pPr>
              <w:spacing w:after="40" w:before="40"/>
              <w:jc w:val="right"/>
            </w:pPr>
            <w:r/>
            <w:r>
              <w:rPr>
                <w:rFonts w:ascii="Calibri" w:hAnsi="Calibri"/>
                <w:b w:val="0"/>
                <w:sz w:val="18"/>
              </w:rPr>
              <w:t>11,425</w:t>
            </w:r>
          </w:p>
        </w:tc>
      </w:tr>
      <w:tr>
        <w:tc>
          <w:tcPr>
            <w:tcW w:type="dxa" w:w="3744"/>
          </w:tcPr>
          <w:p>
            <w:pPr>
              <w:spacing w:after="40" w:before="40"/>
            </w:pPr>
            <w:r/>
            <w:r>
              <w:rPr>
                <w:rFonts w:ascii="Calibri" w:hAnsi="Calibri"/>
                <w:b w:val="0"/>
                <w:sz w:val="18"/>
              </w:rPr>
              <w:t>Gross additions</w:t>
            </w:r>
          </w:p>
        </w:tc>
        <w:tc>
          <w:tcPr>
            <w:tcW w:type="dxa" w:w="1368"/>
          </w:tcPr>
          <w:p>
            <w:pPr>
              <w:spacing w:after="40" w:before="40"/>
              <w:jc w:val="right"/>
            </w:pPr>
            <w:r/>
            <w:r>
              <w:rPr>
                <w:rFonts w:ascii="Calibri" w:hAnsi="Calibri"/>
                <w:b w:val="0"/>
                <w:sz w:val="18"/>
              </w:rPr>
              <w:t>1,941</w:t>
            </w:r>
          </w:p>
        </w:tc>
        <w:tc>
          <w:tcPr>
            <w:tcW w:type="dxa" w:w="1368"/>
          </w:tcPr>
          <w:p>
            <w:pPr>
              <w:spacing w:after="40" w:before="40"/>
              <w:jc w:val="right"/>
            </w:pPr>
            <w:r/>
            <w:r>
              <w:rPr>
                <w:rFonts w:ascii="Calibri" w:hAnsi="Calibri"/>
                <w:b w:val="0"/>
                <w:sz w:val="18"/>
              </w:rPr>
              <w:t>2,218</w:t>
            </w:r>
          </w:p>
        </w:tc>
        <w:tc>
          <w:tcPr>
            <w:tcW w:type="dxa" w:w="1368"/>
          </w:tcPr>
          <w:p>
            <w:pPr>
              <w:spacing w:after="40" w:before="40"/>
              <w:jc w:val="right"/>
            </w:pPr>
            <w:r/>
            <w:r>
              <w:rPr>
                <w:rFonts w:ascii="Calibri" w:hAnsi="Calibri"/>
                <w:b w:val="0"/>
                <w:sz w:val="18"/>
              </w:rPr>
              <w:t>2,334</w:t>
            </w:r>
          </w:p>
        </w:tc>
        <w:tc>
          <w:tcPr>
            <w:tcW w:type="dxa" w:w="1368"/>
          </w:tcPr>
          <w:p>
            <w:pPr>
              <w:spacing w:after="40" w:before="40"/>
              <w:jc w:val="right"/>
            </w:pPr>
            <w:r/>
            <w:r>
              <w:rPr>
                <w:rFonts w:ascii="Calibri" w:hAnsi="Calibri"/>
                <w:b w:val="0"/>
                <w:sz w:val="18"/>
              </w:rPr>
              <w:t>2,234</w:t>
            </w:r>
          </w:p>
        </w:tc>
        <w:tc>
          <w:tcPr>
            <w:tcW w:type="dxa" w:w="1368"/>
          </w:tcPr>
          <w:p>
            <w:pPr>
              <w:spacing w:after="40" w:before="40"/>
              <w:jc w:val="right"/>
            </w:pPr>
            <w:r/>
            <w:r>
              <w:rPr>
                <w:rFonts w:ascii="Calibri" w:hAnsi="Calibri"/>
                <w:b w:val="0"/>
                <w:sz w:val="18"/>
              </w:rPr>
              <w:t>2,073</w:t>
            </w:r>
          </w:p>
        </w:tc>
      </w:tr>
      <w:tr>
        <w:tc>
          <w:tcPr>
            <w:tcW w:type="dxa" w:w="3744"/>
            <w:shd w:val="clear" w:color="auto" w:fill="F2F6FA"/>
          </w:tcPr>
          <w:p>
            <w:pPr>
              <w:spacing w:after="40" w:before="40"/>
            </w:pPr>
            <w:r/>
            <w:r>
              <w:rPr>
                <w:rFonts w:ascii="Calibri" w:hAnsi="Calibri"/>
                <w:b w:val="0"/>
                <w:sz w:val="18"/>
              </w:rPr>
              <w:t>Net additions</w:t>
            </w:r>
          </w:p>
        </w:tc>
        <w:tc>
          <w:tcPr>
            <w:tcW w:type="dxa" w:w="1368"/>
            <w:shd w:val="clear" w:color="auto" w:fill="F2F6FA"/>
          </w:tcPr>
          <w:p>
            <w:pPr>
              <w:spacing w:after="40" w:before="40"/>
              <w:jc w:val="right"/>
            </w:pPr>
            <w:r/>
            <w:r>
              <w:rPr>
                <w:rFonts w:ascii="Calibri" w:hAnsi="Calibri"/>
                <w:b w:val="0"/>
                <w:sz w:val="18"/>
              </w:rPr>
              <w:t>1,357</w:t>
            </w:r>
          </w:p>
        </w:tc>
        <w:tc>
          <w:tcPr>
            <w:tcW w:type="dxa" w:w="1368"/>
            <w:shd w:val="clear" w:color="auto" w:fill="F2F6FA"/>
          </w:tcPr>
          <w:p>
            <w:pPr>
              <w:spacing w:after="40" w:before="40"/>
              <w:jc w:val="right"/>
            </w:pPr>
            <w:r/>
            <w:r>
              <w:rPr>
                <w:rFonts w:ascii="Calibri" w:hAnsi="Calibri"/>
                <w:b w:val="0"/>
                <w:sz w:val="18"/>
              </w:rPr>
              <w:t>1,553</w:t>
            </w:r>
          </w:p>
        </w:tc>
        <w:tc>
          <w:tcPr>
            <w:tcW w:type="dxa" w:w="1368"/>
            <w:shd w:val="clear" w:color="auto" w:fill="F2F6FA"/>
          </w:tcPr>
          <w:p>
            <w:pPr>
              <w:spacing w:after="40" w:before="40"/>
              <w:jc w:val="right"/>
            </w:pPr>
            <w:r/>
            <w:r>
              <w:rPr>
                <w:rFonts w:ascii="Calibri" w:hAnsi="Calibri"/>
                <w:b w:val="0"/>
                <w:sz w:val="18"/>
              </w:rPr>
              <w:t>1,503</w:t>
            </w:r>
          </w:p>
        </w:tc>
        <w:tc>
          <w:tcPr>
            <w:tcW w:type="dxa" w:w="1368"/>
            <w:shd w:val="clear" w:color="auto" w:fill="F2F6FA"/>
          </w:tcPr>
          <w:p>
            <w:pPr>
              <w:spacing w:after="40" w:before="40"/>
              <w:jc w:val="right"/>
            </w:pPr>
            <w:r/>
            <w:r>
              <w:rPr>
                <w:rFonts w:ascii="Calibri" w:hAnsi="Calibri"/>
                <w:b w:val="0"/>
                <w:sz w:val="18"/>
              </w:rPr>
              <w:t>1,241</w:t>
            </w:r>
          </w:p>
        </w:tc>
        <w:tc>
          <w:tcPr>
            <w:tcW w:type="dxa" w:w="1368"/>
            <w:shd w:val="clear" w:color="auto" w:fill="F2F6FA"/>
          </w:tcPr>
          <w:p>
            <w:pPr>
              <w:spacing w:after="40" w:before="40"/>
              <w:jc w:val="right"/>
            </w:pPr>
            <w:r/>
            <w:r>
              <w:rPr>
                <w:rFonts w:ascii="Calibri" w:hAnsi="Calibri"/>
                <w:b w:val="0"/>
                <w:sz w:val="18"/>
              </w:rPr>
              <w:t>948</w:t>
            </w:r>
          </w:p>
        </w:tc>
      </w:tr>
      <w:tr>
        <w:tc>
          <w:tcPr>
            <w:tcW w:type="dxa" w:w="3744"/>
          </w:tcPr>
          <w:p>
            <w:pPr>
              <w:spacing w:after="40" w:before="40"/>
            </w:pPr>
            <w:r/>
            <w:r>
              <w:rPr>
                <w:rFonts w:ascii="Calibri" w:hAnsi="Calibri"/>
                <w:b w:val="0"/>
                <w:sz w:val="18"/>
              </w:rPr>
              <w:t>Homes &amp; businesses passed</w:t>
            </w:r>
          </w:p>
        </w:tc>
        <w:tc>
          <w:tcPr>
            <w:tcW w:type="dxa" w:w="1368"/>
          </w:tcPr>
          <w:p>
            <w:pPr>
              <w:spacing w:after="40" w:before="40"/>
              <w:jc w:val="right"/>
            </w:pPr>
            <w:r/>
            <w:r>
              <w:rPr>
                <w:rFonts w:ascii="Calibri" w:hAnsi="Calibri"/>
                <w:b w:val="0"/>
                <w:sz w:val="18"/>
              </w:rPr>
              <w:t>17,050</w:t>
            </w:r>
          </w:p>
        </w:tc>
        <w:tc>
          <w:tcPr>
            <w:tcW w:type="dxa" w:w="1368"/>
          </w:tcPr>
          <w:p>
            <w:pPr>
              <w:spacing w:after="40" w:before="40"/>
              <w:jc w:val="right"/>
            </w:pPr>
            <w:r/>
            <w:r>
              <w:rPr>
                <w:rFonts w:ascii="Calibri" w:hAnsi="Calibri"/>
                <w:b w:val="0"/>
                <w:sz w:val="18"/>
              </w:rPr>
              <w:t>21,550</w:t>
            </w:r>
          </w:p>
        </w:tc>
        <w:tc>
          <w:tcPr>
            <w:tcW w:type="dxa" w:w="1368"/>
          </w:tcPr>
          <w:p>
            <w:pPr>
              <w:spacing w:after="40" w:before="40"/>
              <w:jc w:val="right"/>
            </w:pPr>
            <w:r/>
            <w:r>
              <w:rPr>
                <w:rFonts w:ascii="Calibri" w:hAnsi="Calibri"/>
                <w:b w:val="0"/>
                <w:sz w:val="18"/>
              </w:rPr>
              <w:t>25,725</w:t>
            </w:r>
          </w:p>
        </w:tc>
        <w:tc>
          <w:tcPr>
            <w:tcW w:type="dxa" w:w="1368"/>
          </w:tcPr>
          <w:p>
            <w:pPr>
              <w:spacing w:after="40" w:before="40"/>
              <w:jc w:val="right"/>
            </w:pPr>
            <w:r/>
            <w:r>
              <w:rPr>
                <w:rFonts w:ascii="Calibri" w:hAnsi="Calibri"/>
                <w:b w:val="0"/>
                <w:sz w:val="18"/>
              </w:rPr>
              <w:t>29,575</w:t>
            </w:r>
          </w:p>
        </w:tc>
        <w:tc>
          <w:tcPr>
            <w:tcW w:type="dxa" w:w="1368"/>
          </w:tcPr>
          <w:p>
            <w:pPr>
              <w:spacing w:after="40" w:before="40"/>
              <w:jc w:val="right"/>
            </w:pPr>
            <w:r/>
            <w:r>
              <w:rPr>
                <w:rFonts w:ascii="Calibri" w:hAnsi="Calibri"/>
                <w:b w:val="0"/>
                <w:sz w:val="18"/>
              </w:rPr>
              <w:t>33,100</w:t>
            </w:r>
          </w:p>
        </w:tc>
      </w:tr>
      <w:tr>
        <w:tc>
          <w:tcPr>
            <w:tcW w:type="dxa" w:w="3744"/>
            <w:shd w:val="clear" w:color="auto" w:fill="F2F6FA"/>
          </w:tcPr>
          <w:p>
            <w:pPr>
              <w:spacing w:after="40" w:before="40"/>
            </w:pPr>
            <w:r/>
            <w:r>
              <w:rPr>
                <w:rFonts w:ascii="Calibri" w:hAnsi="Calibri"/>
                <w:b w:val="0"/>
                <w:sz w:val="18"/>
              </w:rPr>
              <w:t>Take rate</w:t>
            </w:r>
          </w:p>
        </w:tc>
        <w:tc>
          <w:tcPr>
            <w:tcW w:type="dxa" w:w="1368"/>
            <w:shd w:val="clear" w:color="auto" w:fill="F2F6FA"/>
          </w:tcPr>
          <w:p>
            <w:pPr>
              <w:spacing w:after="40" w:before="40"/>
              <w:jc w:val="right"/>
            </w:pPr>
            <w:r/>
            <w:r>
              <w:rPr>
                <w:rFonts w:ascii="Calibri" w:hAnsi="Calibri"/>
                <w:b w:val="0"/>
                <w:sz w:val="18"/>
              </w:rPr>
              <w:t>36.2%</w:t>
            </w:r>
          </w:p>
        </w:tc>
        <w:tc>
          <w:tcPr>
            <w:tcW w:type="dxa" w:w="1368"/>
            <w:shd w:val="clear" w:color="auto" w:fill="F2F6FA"/>
          </w:tcPr>
          <w:p>
            <w:pPr>
              <w:spacing w:after="40" w:before="40"/>
              <w:jc w:val="right"/>
            </w:pPr>
            <w:r/>
            <w:r>
              <w:rPr>
                <w:rFonts w:ascii="Calibri" w:hAnsi="Calibri"/>
                <w:b w:val="0"/>
                <w:sz w:val="18"/>
              </w:rPr>
              <w:t>35.9%</w:t>
            </w:r>
          </w:p>
        </w:tc>
        <w:tc>
          <w:tcPr>
            <w:tcW w:type="dxa" w:w="1368"/>
            <w:shd w:val="clear" w:color="auto" w:fill="F2F6FA"/>
          </w:tcPr>
          <w:p>
            <w:pPr>
              <w:spacing w:after="40" w:before="40"/>
              <w:jc w:val="right"/>
            </w:pPr>
            <w:r/>
            <w:r>
              <w:rPr>
                <w:rFonts w:ascii="Calibri" w:hAnsi="Calibri"/>
                <w:b w:val="0"/>
                <w:sz w:val="18"/>
              </w:rPr>
              <w:t>35.9%</w:t>
            </w:r>
          </w:p>
        </w:tc>
        <w:tc>
          <w:tcPr>
            <w:tcW w:type="dxa" w:w="1368"/>
            <w:shd w:val="clear" w:color="auto" w:fill="F2F6FA"/>
          </w:tcPr>
          <w:p>
            <w:pPr>
              <w:spacing w:after="40" w:before="40"/>
              <w:jc w:val="right"/>
            </w:pPr>
            <w:r/>
            <w:r>
              <w:rPr>
                <w:rFonts w:ascii="Calibri" w:hAnsi="Calibri"/>
                <w:b w:val="0"/>
                <w:sz w:val="18"/>
              </w:rPr>
              <w:t>35.4%</w:t>
            </w:r>
          </w:p>
        </w:tc>
        <w:tc>
          <w:tcPr>
            <w:tcW w:type="dxa" w:w="1368"/>
            <w:shd w:val="clear" w:color="auto" w:fill="F2F6FA"/>
          </w:tcPr>
          <w:p>
            <w:pPr>
              <w:spacing w:after="40" w:before="40"/>
              <w:jc w:val="right"/>
            </w:pPr>
            <w:r/>
            <w:r>
              <w:rPr>
                <w:rFonts w:ascii="Calibri" w:hAnsi="Calibri"/>
                <w:b w:val="0"/>
                <w:sz w:val="18"/>
              </w:rPr>
              <w:t>34.5%</w:t>
            </w:r>
          </w:p>
        </w:tc>
      </w:tr>
      <w:tr>
        <w:tc>
          <w:tcPr>
            <w:tcW w:type="dxa" w:w="3744"/>
          </w:tcPr>
          <w:p>
            <w:pPr>
              <w:spacing w:after="40" w:before="40"/>
            </w:pPr>
            <w:r/>
            <w:r>
              <w:rPr>
                <w:rFonts w:ascii="Calibri" w:hAnsi="Calibri"/>
                <w:b w:val="0"/>
                <w:sz w:val="18"/>
              </w:rPr>
              <w:t>Subscribers per employee</w:t>
            </w:r>
          </w:p>
        </w:tc>
        <w:tc>
          <w:tcPr>
            <w:tcW w:type="dxa" w:w="1368"/>
          </w:tcPr>
          <w:p>
            <w:pPr>
              <w:spacing w:after="40" w:before="40"/>
              <w:jc w:val="right"/>
            </w:pPr>
            <w:r/>
            <w:r>
              <w:rPr>
                <w:rFonts w:ascii="Calibri" w:hAnsi="Calibri"/>
                <w:b w:val="0"/>
                <w:sz w:val="18"/>
              </w:rPr>
              <w:t>294</w:t>
            </w:r>
          </w:p>
        </w:tc>
        <w:tc>
          <w:tcPr>
            <w:tcW w:type="dxa" w:w="1368"/>
          </w:tcPr>
          <w:p>
            <w:pPr>
              <w:spacing w:after="40" w:before="40"/>
              <w:jc w:val="right"/>
            </w:pPr>
            <w:r/>
            <w:r>
              <w:rPr>
                <w:rFonts w:ascii="Calibri" w:hAnsi="Calibri"/>
                <w:b w:val="0"/>
                <w:sz w:val="18"/>
              </w:rPr>
              <w:t>297</w:t>
            </w:r>
          </w:p>
        </w:tc>
        <w:tc>
          <w:tcPr>
            <w:tcW w:type="dxa" w:w="1368"/>
          </w:tcPr>
          <w:p>
            <w:pPr>
              <w:spacing w:after="40" w:before="40"/>
              <w:jc w:val="right"/>
            </w:pPr>
            <w:r/>
            <w:r>
              <w:rPr>
                <w:rFonts w:ascii="Calibri" w:hAnsi="Calibri"/>
                <w:b w:val="0"/>
                <w:sz w:val="18"/>
              </w:rPr>
              <w:t>298</w:t>
            </w:r>
          </w:p>
        </w:tc>
        <w:tc>
          <w:tcPr>
            <w:tcW w:type="dxa" w:w="1368"/>
          </w:tcPr>
          <w:p>
            <w:pPr>
              <w:spacing w:after="40" w:before="40"/>
              <w:jc w:val="right"/>
            </w:pPr>
            <w:r/>
            <w:r>
              <w:rPr>
                <w:rFonts w:ascii="Calibri" w:hAnsi="Calibri"/>
                <w:b w:val="0"/>
                <w:sz w:val="18"/>
              </w:rPr>
              <w:t>299</w:t>
            </w:r>
          </w:p>
        </w:tc>
        <w:tc>
          <w:tcPr>
            <w:tcW w:type="dxa" w:w="1368"/>
          </w:tcPr>
          <w:p>
            <w:pPr>
              <w:spacing w:after="40" w:before="40"/>
              <w:jc w:val="right"/>
            </w:pPr>
            <w:r/>
            <w:r>
              <w:rPr>
                <w:rFonts w:ascii="Calibri" w:hAnsi="Calibri"/>
                <w:b w:val="0"/>
                <w:sz w:val="18"/>
              </w:rPr>
              <w:t>293</w:t>
            </w:r>
          </w:p>
        </w:tc>
      </w:tr>
      <w:tr>
        <w:tc>
          <w:tcPr>
            <w:tcW w:type="dxa" w:w="3744"/>
            <w:shd w:val="clear" w:color="auto" w:fill="F2F6FA"/>
          </w:tcPr>
          <w:p>
            <w:pPr>
              <w:spacing w:after="40" w:before="40"/>
            </w:pPr>
            <w:r/>
            <w:r>
              <w:rPr>
                <w:rFonts w:ascii="Calibri" w:hAnsi="Calibri"/>
                <w:b w:val="0"/>
                <w:sz w:val="18"/>
              </w:rPr>
              <w:t>Subscribers per technician</w:t>
            </w:r>
          </w:p>
        </w:tc>
        <w:tc>
          <w:tcPr>
            <w:tcW w:type="dxa" w:w="1368"/>
            <w:shd w:val="clear" w:color="auto" w:fill="F2F6FA"/>
          </w:tcPr>
          <w:p>
            <w:pPr>
              <w:spacing w:after="40" w:before="40"/>
              <w:jc w:val="right"/>
            </w:pPr>
            <w:r/>
            <w:r>
              <w:rPr>
                <w:rFonts w:ascii="Calibri" w:hAnsi="Calibri"/>
                <w:b w:val="0"/>
                <w:sz w:val="18"/>
              </w:rPr>
              <w:t>687</w:t>
            </w:r>
          </w:p>
        </w:tc>
        <w:tc>
          <w:tcPr>
            <w:tcW w:type="dxa" w:w="1368"/>
            <w:shd w:val="clear" w:color="auto" w:fill="F2F6FA"/>
          </w:tcPr>
          <w:p>
            <w:pPr>
              <w:spacing w:after="40" w:before="40"/>
              <w:jc w:val="right"/>
            </w:pPr>
            <w:r/>
            <w:r>
              <w:rPr>
                <w:rFonts w:ascii="Calibri" w:hAnsi="Calibri"/>
                <w:b w:val="0"/>
                <w:sz w:val="18"/>
              </w:rPr>
              <w:t>703</w:t>
            </w:r>
          </w:p>
        </w:tc>
        <w:tc>
          <w:tcPr>
            <w:tcW w:type="dxa" w:w="1368"/>
            <w:shd w:val="clear" w:color="auto" w:fill="F2F6FA"/>
          </w:tcPr>
          <w:p>
            <w:pPr>
              <w:spacing w:after="40" w:before="40"/>
              <w:jc w:val="right"/>
            </w:pPr>
            <w:r/>
            <w:r>
              <w:rPr>
                <w:rFonts w:ascii="Calibri" w:hAnsi="Calibri"/>
                <w:b w:val="0"/>
                <w:sz w:val="18"/>
              </w:rPr>
              <w:t>710</w:t>
            </w:r>
          </w:p>
        </w:tc>
        <w:tc>
          <w:tcPr>
            <w:tcW w:type="dxa" w:w="1368"/>
            <w:shd w:val="clear" w:color="auto" w:fill="F2F6FA"/>
          </w:tcPr>
          <w:p>
            <w:pPr>
              <w:spacing w:after="40" w:before="40"/>
              <w:jc w:val="right"/>
            </w:pPr>
            <w:r/>
            <w:r>
              <w:rPr>
                <w:rFonts w:ascii="Calibri" w:hAnsi="Calibri"/>
                <w:b w:val="0"/>
                <w:sz w:val="18"/>
              </w:rPr>
              <w:t>698</w:t>
            </w:r>
          </w:p>
        </w:tc>
        <w:tc>
          <w:tcPr>
            <w:tcW w:type="dxa" w:w="1368"/>
            <w:shd w:val="clear" w:color="auto" w:fill="F2F6FA"/>
          </w:tcPr>
          <w:p>
            <w:pPr>
              <w:spacing w:after="40" w:before="40"/>
              <w:jc w:val="right"/>
            </w:pPr>
            <w:r/>
            <w:r>
              <w:rPr>
                <w:rFonts w:ascii="Calibri" w:hAnsi="Calibri"/>
                <w:b w:val="0"/>
                <w:sz w:val="18"/>
              </w:rPr>
              <w:t>714</w:t>
            </w:r>
          </w:p>
        </w:tc>
      </w:tr>
      <w:tr>
        <w:tc>
          <w:tcPr>
            <w:tcW w:type="dxa" w:w="3744"/>
          </w:tcPr>
          <w:p>
            <w:pPr>
              <w:spacing w:after="40" w:before="40"/>
            </w:pPr>
            <w:r/>
            <w:r>
              <w:rPr>
                <w:rFonts w:ascii="Calibri" w:hAnsi="Calibri"/>
                <w:b w:val="0"/>
                <w:sz w:val="18"/>
              </w:rPr>
              <w:t>Capital cost per passing</w:t>
            </w:r>
          </w:p>
        </w:tc>
        <w:tc>
          <w:tcPr>
            <w:tcW w:type="dxa" w:w="1368"/>
          </w:tcPr>
          <w:p>
            <w:pPr>
              <w:spacing w:after="40" w:before="40"/>
              <w:jc w:val="right"/>
            </w:pPr>
            <w:r/>
            <w:r>
              <w:rPr>
                <w:rFonts w:ascii="Calibri" w:hAnsi="Calibri"/>
                <w:b w:val="0"/>
                <w:sz w:val="18"/>
              </w:rPr>
              <w:t>$2,003</w:t>
            </w:r>
          </w:p>
        </w:tc>
        <w:tc>
          <w:tcPr>
            <w:tcW w:type="dxa" w:w="1368"/>
          </w:tcPr>
          <w:p>
            <w:pPr>
              <w:spacing w:after="40" w:before="40"/>
              <w:jc w:val="right"/>
            </w:pPr>
            <w:r/>
            <w:r>
              <w:rPr>
                <w:rFonts w:ascii="Calibri" w:hAnsi="Calibri"/>
                <w:b w:val="0"/>
                <w:sz w:val="18"/>
              </w:rPr>
              <w:t>$2,180</w:t>
            </w:r>
          </w:p>
        </w:tc>
        <w:tc>
          <w:tcPr>
            <w:tcW w:type="dxa" w:w="1368"/>
          </w:tcPr>
          <w:p>
            <w:pPr>
              <w:spacing w:after="40" w:before="40"/>
              <w:jc w:val="right"/>
            </w:pPr>
            <w:r/>
            <w:r>
              <w:rPr>
                <w:rFonts w:ascii="Calibri" w:hAnsi="Calibri"/>
                <w:b w:val="0"/>
                <w:sz w:val="18"/>
              </w:rPr>
              <w:t>$2,395</w:t>
            </w:r>
          </w:p>
        </w:tc>
        <w:tc>
          <w:tcPr>
            <w:tcW w:type="dxa" w:w="1368"/>
          </w:tcPr>
          <w:p>
            <w:pPr>
              <w:spacing w:after="40" w:before="40"/>
              <w:jc w:val="right"/>
            </w:pPr>
            <w:r/>
            <w:r>
              <w:rPr>
                <w:rFonts w:ascii="Calibri" w:hAnsi="Calibri"/>
                <w:b w:val="0"/>
                <w:sz w:val="18"/>
              </w:rPr>
              <w:t>$2,548</w:t>
            </w:r>
          </w:p>
        </w:tc>
        <w:tc>
          <w:tcPr>
            <w:tcW w:type="dxa" w:w="1368"/>
          </w:tcPr>
          <w:p>
            <w:pPr>
              <w:spacing w:after="40" w:before="40"/>
              <w:jc w:val="right"/>
            </w:pPr>
            <w:r/>
            <w:r>
              <w:rPr>
                <w:rFonts w:ascii="Calibri" w:hAnsi="Calibri"/>
                <w:b w:val="0"/>
                <w:sz w:val="18"/>
              </w:rPr>
              <w:t>$2,755</w:t>
            </w:r>
          </w:p>
        </w:tc>
      </w:tr>
      <w:tr>
        <w:tc>
          <w:tcPr>
            <w:tcW w:type="dxa" w:w="3744"/>
            <w:shd w:val="clear" w:color="auto" w:fill="F2F6FA"/>
          </w:tcPr>
          <w:p>
            <w:pPr>
              <w:spacing w:after="40" w:before="40"/>
            </w:pPr>
            <w:r/>
            <w:r>
              <w:rPr>
                <w:rFonts w:ascii="Calibri" w:hAnsi="Calibri"/>
                <w:b w:val="0"/>
                <w:sz w:val="18"/>
              </w:rPr>
              <w:t>Customer acquisition cost</w:t>
            </w:r>
          </w:p>
        </w:tc>
        <w:tc>
          <w:tcPr>
            <w:tcW w:type="dxa" w:w="1368"/>
            <w:shd w:val="clear" w:color="auto" w:fill="F2F6FA"/>
          </w:tcPr>
          <w:p>
            <w:pPr>
              <w:spacing w:after="40" w:before="40"/>
              <w:jc w:val="right"/>
            </w:pPr>
            <w:r/>
            <w:r>
              <w:rPr>
                <w:rFonts w:ascii="Calibri" w:hAnsi="Calibri"/>
                <w:b w:val="0"/>
                <w:sz w:val="18"/>
              </w:rPr>
              <w:t>$324</w:t>
            </w:r>
          </w:p>
        </w:tc>
        <w:tc>
          <w:tcPr>
            <w:tcW w:type="dxa" w:w="1368"/>
            <w:shd w:val="clear" w:color="auto" w:fill="F2F6FA"/>
          </w:tcPr>
          <w:p>
            <w:pPr>
              <w:spacing w:after="40" w:before="40"/>
              <w:jc w:val="right"/>
            </w:pPr>
            <w:r/>
            <w:r>
              <w:rPr>
                <w:rFonts w:ascii="Calibri" w:hAnsi="Calibri"/>
                <w:b w:val="0"/>
                <w:sz w:val="18"/>
              </w:rPr>
              <w:t>$341</w:t>
            </w:r>
          </w:p>
        </w:tc>
        <w:tc>
          <w:tcPr>
            <w:tcW w:type="dxa" w:w="1368"/>
            <w:shd w:val="clear" w:color="auto" w:fill="F2F6FA"/>
          </w:tcPr>
          <w:p>
            <w:pPr>
              <w:spacing w:after="40" w:before="40"/>
              <w:jc w:val="right"/>
            </w:pPr>
            <w:r/>
            <w:r>
              <w:rPr>
                <w:rFonts w:ascii="Calibri" w:hAnsi="Calibri"/>
                <w:b w:val="0"/>
                <w:sz w:val="18"/>
              </w:rPr>
              <w:t>$384</w:t>
            </w:r>
          </w:p>
        </w:tc>
        <w:tc>
          <w:tcPr>
            <w:tcW w:type="dxa" w:w="1368"/>
            <w:shd w:val="clear" w:color="auto" w:fill="F2F6FA"/>
          </w:tcPr>
          <w:p>
            <w:pPr>
              <w:spacing w:after="40" w:before="40"/>
              <w:jc w:val="right"/>
            </w:pPr>
            <w:r/>
            <w:r>
              <w:rPr>
                <w:rFonts w:ascii="Calibri" w:hAnsi="Calibri"/>
                <w:b w:val="0"/>
                <w:sz w:val="18"/>
              </w:rPr>
              <w:t>$462</w:t>
            </w:r>
          </w:p>
        </w:tc>
        <w:tc>
          <w:tcPr>
            <w:tcW w:type="dxa" w:w="1368"/>
            <w:shd w:val="clear" w:color="auto" w:fill="F2F6FA"/>
          </w:tcPr>
          <w:p>
            <w:pPr>
              <w:spacing w:after="40" w:before="40"/>
              <w:jc w:val="right"/>
            </w:pPr>
            <w:r/>
            <w:r>
              <w:rPr>
                <w:rFonts w:ascii="Calibri" w:hAnsi="Calibri"/>
                <w:b w:val="0"/>
                <w:sz w:val="18"/>
              </w:rPr>
              <w:t>$555</w:t>
            </w:r>
          </w:p>
        </w:tc>
      </w:tr>
    </w:tbl>
    <w:p>
      <w:pPr>
        <w:spacing w:after="4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 xml:space="preserve">RIVR Tech — Five-Year Business Plan (FY2027–FY2031)  ·  CONFIDENTIAL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